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223456" w14:textId="6F5CB7AD" w:rsidR="008A1A24" w:rsidRDefault="004D0FFA" w:rsidP="007D23CA">
      <w:pPr>
        <w:tabs>
          <w:tab w:val="left" w:pos="709"/>
        </w:tabs>
        <w:rPr>
          <w:rFonts w:cs="Arial"/>
          <w:b/>
          <w:color w:val="0070C0"/>
          <w:sz w:val="40"/>
          <w:szCs w:val="40"/>
        </w:rPr>
      </w:pPr>
      <w:r>
        <w:rPr>
          <w:noProof/>
          <w:lang w:val="en-AU" w:eastAsia="en-AU"/>
        </w:rPr>
        <mc:AlternateContent>
          <mc:Choice Requires="wps">
            <w:drawing>
              <wp:anchor distT="0" distB="0" distL="114300" distR="114300" simplePos="0" relativeHeight="251656189" behindDoc="0" locked="0" layoutInCell="1" allowOverlap="1" wp14:anchorId="27CEAB19" wp14:editId="2A5EB705">
                <wp:simplePos x="0" y="0"/>
                <wp:positionH relativeFrom="column">
                  <wp:posOffset>2478405</wp:posOffset>
                </wp:positionH>
                <wp:positionV relativeFrom="paragraph">
                  <wp:posOffset>-546100</wp:posOffset>
                </wp:positionV>
                <wp:extent cx="3213100" cy="476250"/>
                <wp:effectExtent l="0" t="0" r="0" b="0"/>
                <wp:wrapNone/>
                <wp:docPr id="248" name="Text Box 2" descr="Marine Monitoring Program" title="Marine Monitoring Program"/>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0" cy="476250"/>
                        </a:xfrm>
                        <a:prstGeom prst="rect">
                          <a:avLst/>
                        </a:prstGeom>
                        <a:noFill/>
                        <a:ln w="9525">
                          <a:noFill/>
                          <a:miter lim="800000"/>
                          <a:headEnd/>
                          <a:tailEnd/>
                        </a:ln>
                      </wps:spPr>
                      <wps:txbx>
                        <w:txbxContent>
                          <w:p w14:paraId="10335075" w14:textId="77777777" w:rsidR="00312BEC" w:rsidRPr="007E481A" w:rsidRDefault="00312BEC" w:rsidP="006B4E2B">
                            <w:pPr>
                              <w:rPr>
                                <w:rFonts w:ascii="Myriad Pro" w:hAnsi="Myriad Pro"/>
                                <w:color w:val="244061" w:themeColor="accent1" w:themeShade="80"/>
                                <w:sz w:val="24"/>
                                <w:szCs w:val="24"/>
                              </w:rPr>
                            </w:pPr>
                            <w:r w:rsidRPr="007E481A">
                              <w:rPr>
                                <w:rFonts w:ascii="Myriad Pro" w:hAnsi="Myriad Pro"/>
                                <w:color w:val="244061" w:themeColor="accent1" w:themeShade="80"/>
                                <w:sz w:val="24"/>
                                <w:szCs w:val="24"/>
                              </w:rPr>
                              <w:t>MARINE MONITORING PROGRAM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alt="Title: Marine Monitoring Program - Description: Marine Monitoring Program" style="position:absolute;left:0;text-align:left;margin-left:195.15pt;margin-top:-43pt;width:253pt;height:37.5pt;z-index:2516561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" filled="f" stroked="f">
                <v:textbox>
                  <w:txbxContent>
                    <w:p w14:paraId="10335075" w14:textId="77777777" w:rsidR="00312BEC" w:rsidRPr="007E481A" w:rsidRDefault="00312BEC" w:rsidP="006B4E2B">
                      <w:pPr>
                        <w:rPr>
                          <w:rFonts w:ascii="Myriad Pro" w:hAnsi="Myriad Pro"/>
                          <w:color w:val="244061" w:themeColor="accent1" w:themeShade="80"/>
                          <w:sz w:val="24"/>
                          <w:szCs w:val="24"/>
                        </w:rPr>
                      </w:pPr>
                      <w:r w:rsidRPr="007E481A">
                        <w:rPr>
                          <w:rFonts w:ascii="Myriad Pro" w:hAnsi="Myriad Pro"/>
                          <w:color w:val="244061" w:themeColor="accent1" w:themeShade="80"/>
                          <w:sz w:val="24"/>
                          <w:szCs w:val="24"/>
                        </w:rPr>
                        <w:t>MARINE MONITORING PROGRAM</w:t>
                      </w:r>
                    </w:p>
                  </w:txbxContent>
                </v:textbox>
              </v:shape>
            </w:pict>
          </mc:Fallback>
        </mc:AlternateContent>
      </w:r>
      <w:r w:rsidR="00C149A6">
        <w:rPr>
          <w:noProof/>
          <w:lang w:val="en-AU" w:eastAsia="en-AU"/>
        </w:rPr>
        <mc:AlternateContent>
          <mc:Choice Requires="wps">
            <w:drawing>
              <wp:anchor distT="0" distB="0" distL="114300" distR="114300" simplePos="0" relativeHeight="251675648" behindDoc="0" locked="0" layoutInCell="1" allowOverlap="1" wp14:anchorId="44B4B56C" wp14:editId="11E60F65">
                <wp:simplePos x="0" y="0"/>
                <wp:positionH relativeFrom="column">
                  <wp:posOffset>2478405</wp:posOffset>
                </wp:positionH>
                <wp:positionV relativeFrom="paragraph">
                  <wp:posOffset>-71755</wp:posOffset>
                </wp:positionV>
                <wp:extent cx="2374265" cy="2714625"/>
                <wp:effectExtent l="0" t="0" r="0" b="0"/>
                <wp:wrapNone/>
                <wp:docPr id="2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714625"/>
                        </a:xfrm>
                        <a:prstGeom prst="rect">
                          <a:avLst/>
                        </a:prstGeom>
                        <a:noFill/>
                        <a:ln w="9525">
                          <a:noFill/>
                          <a:miter lim="800000"/>
                          <a:headEnd/>
                          <a:tailEnd/>
                        </a:ln>
                      </wps:spPr>
                      <wps:txbx>
                        <w:txbxContent>
                          <w:p w14:paraId="3EC92ABE" w14:textId="77777777" w:rsidR="00312BEC" w:rsidRPr="00C149A6" w:rsidRDefault="00312BEC" w:rsidP="009242CC">
                            <w:pPr>
                              <w:spacing w:after="0" w:line="192" w:lineRule="auto"/>
                              <w:jc w:val="left"/>
                              <w:rPr>
                                <w:rFonts w:ascii="Myriad Pro" w:hAnsi="Myriad Pro"/>
                                <w:color w:val="244061" w:themeColor="accent1" w:themeShade="80"/>
                                <w:sz w:val="60"/>
                                <w:szCs w:val="60"/>
                              </w:rPr>
                            </w:pPr>
                            <w:r w:rsidRPr="00C149A6">
                              <w:rPr>
                                <w:rFonts w:ascii="Myriad Pro" w:hAnsi="Myriad Pro"/>
                                <w:color w:val="244061" w:themeColor="accent1" w:themeShade="80"/>
                                <w:sz w:val="60"/>
                                <w:szCs w:val="60"/>
                              </w:rPr>
                              <w:t xml:space="preserve">Annual </w:t>
                            </w:r>
                          </w:p>
                          <w:p w14:paraId="467996F6" w14:textId="77777777" w:rsidR="00312BEC" w:rsidRPr="00C149A6" w:rsidRDefault="00312BEC" w:rsidP="009242CC">
                            <w:pPr>
                              <w:spacing w:after="0" w:line="192" w:lineRule="auto"/>
                              <w:jc w:val="left"/>
                              <w:rPr>
                                <w:rFonts w:ascii="Myriad Pro" w:hAnsi="Myriad Pro"/>
                                <w:b/>
                                <w:color w:val="244061" w:themeColor="accent1" w:themeShade="80"/>
                                <w:sz w:val="60"/>
                                <w:szCs w:val="60"/>
                              </w:rPr>
                            </w:pPr>
                            <w:r w:rsidRPr="00C149A6">
                              <w:rPr>
                                <w:rFonts w:ascii="Myriad Pro" w:hAnsi="Myriad Pro"/>
                                <w:color w:val="244061" w:themeColor="accent1" w:themeShade="80"/>
                                <w:sz w:val="60"/>
                                <w:szCs w:val="60"/>
                              </w:rPr>
                              <w:t>Report</w:t>
                            </w:r>
                            <w:r w:rsidRPr="00C149A6">
                              <w:rPr>
                                <w:rFonts w:ascii="Myriad Pro" w:hAnsi="Myriad Pro"/>
                                <w:color w:val="244061" w:themeColor="accent1" w:themeShade="80"/>
                                <w:sz w:val="60"/>
                                <w:szCs w:val="60"/>
                              </w:rPr>
                              <w:br/>
                              <w:t>for</w:t>
                            </w:r>
                            <w:r w:rsidRPr="00C149A6">
                              <w:rPr>
                                <w:rFonts w:ascii="Myriad Pro" w:hAnsi="Myriad Pro"/>
                                <w:color w:val="244061" w:themeColor="accent1" w:themeShade="80"/>
                                <w:sz w:val="60"/>
                                <w:szCs w:val="60"/>
                              </w:rPr>
                              <w:br/>
                            </w:r>
                            <w:r w:rsidRPr="00C149A6">
                              <w:rPr>
                                <w:rFonts w:ascii="Myriad Pro" w:hAnsi="Myriad Pro"/>
                                <w:b/>
                                <w:color w:val="244061" w:themeColor="accent1" w:themeShade="80"/>
                                <w:sz w:val="60"/>
                                <w:szCs w:val="60"/>
                              </w:rPr>
                              <w:t xml:space="preserve">inshore </w:t>
                            </w:r>
                          </w:p>
                          <w:p w14:paraId="41A13056" w14:textId="77777777" w:rsidR="00312BEC" w:rsidRPr="00C149A6" w:rsidRDefault="00312BEC" w:rsidP="009242CC">
                            <w:pPr>
                              <w:spacing w:after="0" w:line="192" w:lineRule="auto"/>
                              <w:jc w:val="left"/>
                              <w:rPr>
                                <w:rFonts w:ascii="Myriad Pro" w:hAnsi="Myriad Pro"/>
                                <w:b/>
                                <w:color w:val="244061" w:themeColor="accent1" w:themeShade="80"/>
                                <w:sz w:val="60"/>
                                <w:szCs w:val="60"/>
                              </w:rPr>
                            </w:pPr>
                            <w:proofErr w:type="gramStart"/>
                            <w:r w:rsidRPr="00C149A6">
                              <w:rPr>
                                <w:rFonts w:ascii="Myriad Pro" w:hAnsi="Myriad Pro"/>
                                <w:b/>
                                <w:color w:val="244061" w:themeColor="accent1" w:themeShade="80"/>
                                <w:sz w:val="60"/>
                                <w:szCs w:val="60"/>
                              </w:rPr>
                              <w:t>coral</w:t>
                            </w:r>
                            <w:proofErr w:type="gramEnd"/>
                            <w:r w:rsidRPr="00C149A6">
                              <w:rPr>
                                <w:rFonts w:ascii="Myriad Pro" w:hAnsi="Myriad Pro"/>
                                <w:b/>
                                <w:color w:val="244061" w:themeColor="accent1" w:themeShade="80"/>
                                <w:sz w:val="60"/>
                                <w:szCs w:val="60"/>
                              </w:rPr>
                              <w:t xml:space="preserve"> </w:t>
                            </w:r>
                          </w:p>
                          <w:p w14:paraId="5FC82C55" w14:textId="77777777" w:rsidR="00312BEC" w:rsidRPr="00C149A6" w:rsidRDefault="00312BEC" w:rsidP="009242CC">
                            <w:pPr>
                              <w:spacing w:after="0" w:line="192" w:lineRule="auto"/>
                              <w:jc w:val="left"/>
                              <w:rPr>
                                <w:rFonts w:ascii="Myriad Pro" w:hAnsi="Myriad Pro"/>
                                <w:sz w:val="60"/>
                                <w:szCs w:val="60"/>
                              </w:rPr>
                            </w:pPr>
                            <w:proofErr w:type="gramStart"/>
                            <w:r w:rsidRPr="00C149A6">
                              <w:rPr>
                                <w:rFonts w:ascii="Myriad Pro" w:hAnsi="Myriad Pro"/>
                                <w:b/>
                                <w:color w:val="244061" w:themeColor="accent1" w:themeShade="80"/>
                                <w:sz w:val="60"/>
                                <w:szCs w:val="60"/>
                              </w:rPr>
                              <w:t>reef</w:t>
                            </w:r>
                            <w:proofErr w:type="gramEnd"/>
                            <w:r w:rsidRPr="00C149A6">
                              <w:rPr>
                                <w:rFonts w:ascii="Myriad Pro" w:hAnsi="Myriad Pro"/>
                                <w:b/>
                                <w:color w:val="244061" w:themeColor="accent1" w:themeShade="80"/>
                                <w:sz w:val="60"/>
                                <w:szCs w:val="60"/>
                              </w:rPr>
                              <w:br/>
                            </w:r>
                            <w:r w:rsidRPr="00C149A6">
                              <w:rPr>
                                <w:rFonts w:ascii="Myriad Pro" w:hAnsi="Myriad Pro"/>
                                <w:color w:val="244061" w:themeColor="accent1" w:themeShade="80"/>
                                <w:sz w:val="60"/>
                                <w:szCs w:val="60"/>
                              </w:rPr>
                              <w:t>monitoring</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27" type="#_x0000_t202" style="position:absolute;left:0;text-align:left;margin-left:195.15pt;margin-top:-5.65pt;width:186.95pt;height:213.75pt;z-index:25167564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" filled="f" stroked="f">
                <v:textbox>
                  <w:txbxContent>
                    <w:p w14:paraId="3EC92ABE" w14:textId="77777777" w:rsidR="00312BEC" w:rsidRPr="00C149A6" w:rsidRDefault="00312BEC" w:rsidP="009242CC">
                      <w:pPr>
                        <w:spacing w:after="0" w:line="192" w:lineRule="auto"/>
                        <w:jc w:val="left"/>
                        <w:rPr>
                          <w:rFonts w:ascii="Myriad Pro" w:hAnsi="Myriad Pro"/>
                          <w:color w:val="244061" w:themeColor="accent1" w:themeShade="80"/>
                          <w:sz w:val="60"/>
                          <w:szCs w:val="60"/>
                        </w:rPr>
                      </w:pPr>
                      <w:r w:rsidRPr="00C149A6">
                        <w:rPr>
                          <w:rFonts w:ascii="Myriad Pro" w:hAnsi="Myriad Pro"/>
                          <w:color w:val="244061" w:themeColor="accent1" w:themeShade="80"/>
                          <w:sz w:val="60"/>
                          <w:szCs w:val="60"/>
                        </w:rPr>
                        <w:t xml:space="preserve">Annual </w:t>
                      </w:r>
                    </w:p>
                    <w:p w14:paraId="467996F6" w14:textId="77777777" w:rsidR="00312BEC" w:rsidRPr="00C149A6" w:rsidRDefault="00312BEC" w:rsidP="009242CC">
                      <w:pPr>
                        <w:spacing w:after="0" w:line="192" w:lineRule="auto"/>
                        <w:jc w:val="left"/>
                        <w:rPr>
                          <w:rFonts w:ascii="Myriad Pro" w:hAnsi="Myriad Pro"/>
                          <w:b/>
                          <w:color w:val="244061" w:themeColor="accent1" w:themeShade="80"/>
                          <w:sz w:val="60"/>
                          <w:szCs w:val="60"/>
                        </w:rPr>
                      </w:pPr>
                      <w:r w:rsidRPr="00C149A6">
                        <w:rPr>
                          <w:rFonts w:ascii="Myriad Pro" w:hAnsi="Myriad Pro"/>
                          <w:color w:val="244061" w:themeColor="accent1" w:themeShade="80"/>
                          <w:sz w:val="60"/>
                          <w:szCs w:val="60"/>
                        </w:rPr>
                        <w:t>Report</w:t>
                      </w:r>
                      <w:r w:rsidRPr="00C149A6">
                        <w:rPr>
                          <w:rFonts w:ascii="Myriad Pro" w:hAnsi="Myriad Pro"/>
                          <w:color w:val="244061" w:themeColor="accent1" w:themeShade="80"/>
                          <w:sz w:val="60"/>
                          <w:szCs w:val="60"/>
                        </w:rPr>
                        <w:br/>
                        <w:t>for</w:t>
                      </w:r>
                      <w:r w:rsidRPr="00C149A6">
                        <w:rPr>
                          <w:rFonts w:ascii="Myriad Pro" w:hAnsi="Myriad Pro"/>
                          <w:color w:val="244061" w:themeColor="accent1" w:themeShade="80"/>
                          <w:sz w:val="60"/>
                          <w:szCs w:val="60"/>
                        </w:rPr>
                        <w:br/>
                      </w:r>
                      <w:r w:rsidRPr="00C149A6">
                        <w:rPr>
                          <w:rFonts w:ascii="Myriad Pro" w:hAnsi="Myriad Pro"/>
                          <w:b/>
                          <w:color w:val="244061" w:themeColor="accent1" w:themeShade="80"/>
                          <w:sz w:val="60"/>
                          <w:szCs w:val="60"/>
                        </w:rPr>
                        <w:t xml:space="preserve">inshore </w:t>
                      </w:r>
                    </w:p>
                    <w:p w14:paraId="41A13056" w14:textId="77777777" w:rsidR="00312BEC" w:rsidRPr="00C149A6" w:rsidRDefault="00312BEC" w:rsidP="009242CC">
                      <w:pPr>
                        <w:spacing w:after="0" w:line="192" w:lineRule="auto"/>
                        <w:jc w:val="left"/>
                        <w:rPr>
                          <w:rFonts w:ascii="Myriad Pro" w:hAnsi="Myriad Pro"/>
                          <w:b/>
                          <w:color w:val="244061" w:themeColor="accent1" w:themeShade="80"/>
                          <w:sz w:val="60"/>
                          <w:szCs w:val="60"/>
                        </w:rPr>
                      </w:pPr>
                      <w:proofErr w:type="gramStart"/>
                      <w:r w:rsidRPr="00C149A6">
                        <w:rPr>
                          <w:rFonts w:ascii="Myriad Pro" w:hAnsi="Myriad Pro"/>
                          <w:b/>
                          <w:color w:val="244061" w:themeColor="accent1" w:themeShade="80"/>
                          <w:sz w:val="60"/>
                          <w:szCs w:val="60"/>
                        </w:rPr>
                        <w:t>coral</w:t>
                      </w:r>
                      <w:proofErr w:type="gramEnd"/>
                      <w:r w:rsidRPr="00C149A6">
                        <w:rPr>
                          <w:rFonts w:ascii="Myriad Pro" w:hAnsi="Myriad Pro"/>
                          <w:b/>
                          <w:color w:val="244061" w:themeColor="accent1" w:themeShade="80"/>
                          <w:sz w:val="60"/>
                          <w:szCs w:val="60"/>
                        </w:rPr>
                        <w:t xml:space="preserve"> </w:t>
                      </w:r>
                    </w:p>
                    <w:p w14:paraId="5FC82C55" w14:textId="77777777" w:rsidR="00312BEC" w:rsidRPr="00C149A6" w:rsidRDefault="00312BEC" w:rsidP="009242CC">
                      <w:pPr>
                        <w:spacing w:after="0" w:line="192" w:lineRule="auto"/>
                        <w:jc w:val="left"/>
                        <w:rPr>
                          <w:rFonts w:ascii="Myriad Pro" w:hAnsi="Myriad Pro"/>
                          <w:sz w:val="60"/>
                          <w:szCs w:val="60"/>
                        </w:rPr>
                      </w:pPr>
                      <w:proofErr w:type="gramStart"/>
                      <w:r w:rsidRPr="00C149A6">
                        <w:rPr>
                          <w:rFonts w:ascii="Myriad Pro" w:hAnsi="Myriad Pro"/>
                          <w:b/>
                          <w:color w:val="244061" w:themeColor="accent1" w:themeShade="80"/>
                          <w:sz w:val="60"/>
                          <w:szCs w:val="60"/>
                        </w:rPr>
                        <w:t>reef</w:t>
                      </w:r>
                      <w:proofErr w:type="gramEnd"/>
                      <w:r w:rsidRPr="00C149A6">
                        <w:rPr>
                          <w:rFonts w:ascii="Myriad Pro" w:hAnsi="Myriad Pro"/>
                          <w:b/>
                          <w:color w:val="244061" w:themeColor="accent1" w:themeShade="80"/>
                          <w:sz w:val="60"/>
                          <w:szCs w:val="60"/>
                        </w:rPr>
                        <w:br/>
                      </w:r>
                      <w:r w:rsidRPr="00C149A6">
                        <w:rPr>
                          <w:rFonts w:ascii="Myriad Pro" w:hAnsi="Myriad Pro"/>
                          <w:color w:val="244061" w:themeColor="accent1" w:themeShade="80"/>
                          <w:sz w:val="60"/>
                          <w:szCs w:val="60"/>
                        </w:rPr>
                        <w:t>monitoring</w:t>
                      </w:r>
                    </w:p>
                  </w:txbxContent>
                </v:textbox>
              </v:shape>
            </w:pict>
          </mc:Fallback>
        </mc:AlternateContent>
      </w:r>
      <w:r w:rsidR="00C149A6">
        <w:rPr>
          <w:noProof/>
          <w:lang w:val="en-AU" w:eastAsia="en-AU"/>
        </w:rPr>
        <mc:AlternateContent>
          <mc:Choice Requires="wps">
            <w:drawing>
              <wp:anchor distT="0" distB="0" distL="114300" distR="114300" simplePos="0" relativeHeight="251679744" behindDoc="0" locked="0" layoutInCell="1" allowOverlap="1" wp14:anchorId="4D7F161E" wp14:editId="52FF61FB">
                <wp:simplePos x="0" y="0"/>
                <wp:positionH relativeFrom="column">
                  <wp:posOffset>2521585</wp:posOffset>
                </wp:positionH>
                <wp:positionV relativeFrom="paragraph">
                  <wp:posOffset>-328930</wp:posOffset>
                </wp:positionV>
                <wp:extent cx="2984500" cy="0"/>
                <wp:effectExtent l="0" t="0" r="25400" b="19050"/>
                <wp:wrapNone/>
                <wp:docPr id="247" name="Straight Connector 247" descr="Front cover design feature" title="Straight connector"/>
                <wp:cNvGraphicFramePr/>
                <a:graphic xmlns:a="http://schemas.openxmlformats.org/drawingml/2006/main">
                  <a:graphicData uri="http://schemas.microsoft.com/office/word/2010/wordprocessingShape">
                    <wps:wsp>
                      <wps:cNvCnPr/>
                      <wps:spPr>
                        <a:xfrm>
                          <a:off x="0" y="0"/>
                          <a:ext cx="2984500" cy="0"/>
                        </a:xfrm>
                        <a:prstGeom prst="line">
                          <a:avLst/>
                        </a:prstGeom>
                        <a:ln>
                          <a:solidFill>
                            <a:srgbClr val="00CC99"/>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Straight Connector 247" o:spid="_x0000_s1026" alt="Title: Straight connector - Description: Front cover design feature" style="position:absolute;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8.55pt,-25.9pt" to="433.55pt,-2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" strokecolor="#0c9"/>
            </w:pict>
          </mc:Fallback>
        </mc:AlternateContent>
      </w:r>
    </w:p>
    <w:p w14:paraId="223E7074" w14:textId="4C910699" w:rsidR="008A1A24" w:rsidRPr="00F4692D" w:rsidRDefault="00312BEC">
      <w:pPr>
        <w:rPr>
          <w:rFonts w:cs="Arial"/>
          <w:b/>
          <w:color w:val="0070C0"/>
          <w:sz w:val="40"/>
          <w:szCs w:val="40"/>
        </w:rPr>
      </w:pPr>
      <w:r>
        <w:rPr>
          <w:noProof/>
          <w:lang w:val="en-AU" w:eastAsia="en-AU"/>
        </w:rPr>
        <mc:AlternateContent>
          <mc:Choice Requires="wps">
            <w:drawing>
              <wp:anchor distT="0" distB="0" distL="114300" distR="114300" simplePos="0" relativeHeight="251657214" behindDoc="0" locked="0" layoutInCell="1" allowOverlap="1" wp14:anchorId="350CC7C2" wp14:editId="63D638C4">
                <wp:simplePos x="0" y="0"/>
                <wp:positionH relativeFrom="column">
                  <wp:posOffset>2592705</wp:posOffset>
                </wp:positionH>
                <wp:positionV relativeFrom="paragraph">
                  <wp:posOffset>2065020</wp:posOffset>
                </wp:positionV>
                <wp:extent cx="2962275" cy="762000"/>
                <wp:effectExtent l="0" t="0" r="0" b="0"/>
                <wp:wrapNone/>
                <wp:docPr id="244" name="Text Box 2" descr="2014-2015" title="Year of report"/>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275" cy="762000"/>
                        </a:xfrm>
                        <a:prstGeom prst="rect">
                          <a:avLst/>
                        </a:prstGeom>
                        <a:noFill/>
                        <a:ln w="9525">
                          <a:noFill/>
                          <a:miter lim="800000"/>
                          <a:headEnd/>
                          <a:tailEnd/>
                        </a:ln>
                      </wps:spPr>
                      <wps:txbx>
                        <w:txbxContent>
                          <w:p w14:paraId="53B1D340" w14:textId="77777777" w:rsidR="00312BEC" w:rsidRPr="00F73F9F" w:rsidRDefault="00312BEC" w:rsidP="00F73F9F">
                            <w:pPr>
                              <w:spacing w:before="240"/>
                              <w:rPr>
                                <w:rFonts w:ascii="Myriad Pro" w:hAnsi="Myriad Pro"/>
                                <w:color w:val="FFFFFF" w:themeColor="background1"/>
                                <w:sz w:val="56"/>
                                <w:szCs w:val="56"/>
                              </w:rPr>
                            </w:pPr>
                            <w:r w:rsidRPr="00F73F9F">
                              <w:rPr>
                                <w:rFonts w:ascii="Myriad Pro" w:hAnsi="Myriad Pro"/>
                                <w:color w:val="FFFFFF" w:themeColor="background1"/>
                                <w:sz w:val="56"/>
                                <w:szCs w:val="56"/>
                              </w:rPr>
                              <w:t xml:space="preserve">2 0 1 </w:t>
                            </w:r>
                            <w:proofErr w:type="gramStart"/>
                            <w:r w:rsidRPr="00F73F9F">
                              <w:rPr>
                                <w:rFonts w:ascii="Myriad Pro" w:hAnsi="Myriad Pro"/>
                                <w:color w:val="FFFFFF" w:themeColor="background1"/>
                                <w:sz w:val="56"/>
                                <w:szCs w:val="56"/>
                              </w:rPr>
                              <w:t>4  –</w:t>
                            </w:r>
                            <w:proofErr w:type="gramEnd"/>
                            <w:r w:rsidRPr="00F73F9F">
                              <w:rPr>
                                <w:rFonts w:ascii="Myriad Pro" w:hAnsi="Myriad Pro"/>
                                <w:color w:val="FFFFFF" w:themeColor="background1"/>
                                <w:sz w:val="56"/>
                                <w:szCs w:val="56"/>
                              </w:rPr>
                              <w:t xml:space="preserve"> </w:t>
                            </w:r>
                            <w:r>
                              <w:rPr>
                                <w:rFonts w:ascii="Myriad Pro" w:hAnsi="Myriad Pro"/>
                                <w:color w:val="FFFFFF" w:themeColor="background1"/>
                                <w:sz w:val="56"/>
                                <w:szCs w:val="56"/>
                              </w:rPr>
                              <w:t xml:space="preserve"> </w:t>
                            </w:r>
                            <w:r w:rsidRPr="00F73F9F">
                              <w:rPr>
                                <w:rFonts w:ascii="Myriad Pro" w:hAnsi="Myriad Pro"/>
                                <w:color w:val="FFFFFF" w:themeColor="background1"/>
                                <w:sz w:val="56"/>
                                <w:szCs w:val="56"/>
                              </w:rPr>
                              <w:t>2 0</w:t>
                            </w:r>
                            <w:r>
                              <w:rPr>
                                <w:rFonts w:ascii="Myriad Pro" w:hAnsi="Myriad Pro"/>
                                <w:color w:val="FFFFFF" w:themeColor="background1"/>
                                <w:sz w:val="56"/>
                                <w:szCs w:val="56"/>
                              </w:rPr>
                              <w:t xml:space="preserve"> </w:t>
                            </w:r>
                            <w:r w:rsidRPr="00F73F9F">
                              <w:rPr>
                                <w:rFonts w:ascii="Myriad Pro" w:hAnsi="Myriad Pro"/>
                                <w:color w:val="FFFFFF" w:themeColor="background1"/>
                                <w:sz w:val="56"/>
                                <w:szCs w:val="56"/>
                              </w:rPr>
                              <w:t>1</w:t>
                            </w:r>
                            <w:r>
                              <w:rPr>
                                <w:rFonts w:ascii="Myriad Pro" w:hAnsi="Myriad Pro"/>
                                <w:color w:val="FFFFFF" w:themeColor="background1"/>
                                <w:sz w:val="56"/>
                                <w:szCs w:val="56"/>
                              </w:rPr>
                              <w:t xml:space="preserve"> </w:t>
                            </w:r>
                            <w:r w:rsidRPr="00F73F9F">
                              <w:rPr>
                                <w:rFonts w:ascii="Myriad Pro" w:hAnsi="Myriad Pro"/>
                                <w:color w:val="FFFFFF" w:themeColor="background1"/>
                                <w:sz w:val="56"/>
                                <w:szCs w:val="56"/>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alt="Title: Year of report - Description: 2014-2015" style="position:absolute;left:0;text-align:left;margin-left:204.15pt;margin-top:162.6pt;width:233.25pt;height:60pt;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" filled="f" stroked="f">
                <v:textbox>
                  <w:txbxContent>
                    <w:p w14:paraId="53B1D340" w14:textId="77777777" w:rsidR="00312BEC" w:rsidRPr="00F73F9F" w:rsidRDefault="00312BEC" w:rsidP="00F73F9F">
                      <w:pPr>
                        <w:spacing w:before="240"/>
                        <w:rPr>
                          <w:rFonts w:ascii="Myriad Pro" w:hAnsi="Myriad Pro"/>
                          <w:color w:val="FFFFFF" w:themeColor="background1"/>
                          <w:sz w:val="56"/>
                          <w:szCs w:val="56"/>
                        </w:rPr>
                      </w:pPr>
                      <w:r w:rsidRPr="00F73F9F">
                        <w:rPr>
                          <w:rFonts w:ascii="Myriad Pro" w:hAnsi="Myriad Pro"/>
                          <w:color w:val="FFFFFF" w:themeColor="background1"/>
                          <w:sz w:val="56"/>
                          <w:szCs w:val="56"/>
                        </w:rPr>
                        <w:t xml:space="preserve">2 0 1 </w:t>
                      </w:r>
                      <w:proofErr w:type="gramStart"/>
                      <w:r w:rsidRPr="00F73F9F">
                        <w:rPr>
                          <w:rFonts w:ascii="Myriad Pro" w:hAnsi="Myriad Pro"/>
                          <w:color w:val="FFFFFF" w:themeColor="background1"/>
                          <w:sz w:val="56"/>
                          <w:szCs w:val="56"/>
                        </w:rPr>
                        <w:t>4  –</w:t>
                      </w:r>
                      <w:proofErr w:type="gramEnd"/>
                      <w:r w:rsidRPr="00F73F9F">
                        <w:rPr>
                          <w:rFonts w:ascii="Myriad Pro" w:hAnsi="Myriad Pro"/>
                          <w:color w:val="FFFFFF" w:themeColor="background1"/>
                          <w:sz w:val="56"/>
                          <w:szCs w:val="56"/>
                        </w:rPr>
                        <w:t xml:space="preserve"> </w:t>
                      </w:r>
                      <w:r>
                        <w:rPr>
                          <w:rFonts w:ascii="Myriad Pro" w:hAnsi="Myriad Pro"/>
                          <w:color w:val="FFFFFF" w:themeColor="background1"/>
                          <w:sz w:val="56"/>
                          <w:szCs w:val="56"/>
                        </w:rPr>
                        <w:t xml:space="preserve"> </w:t>
                      </w:r>
                      <w:r w:rsidRPr="00F73F9F">
                        <w:rPr>
                          <w:rFonts w:ascii="Myriad Pro" w:hAnsi="Myriad Pro"/>
                          <w:color w:val="FFFFFF" w:themeColor="background1"/>
                          <w:sz w:val="56"/>
                          <w:szCs w:val="56"/>
                        </w:rPr>
                        <w:t>2 0</w:t>
                      </w:r>
                      <w:r>
                        <w:rPr>
                          <w:rFonts w:ascii="Myriad Pro" w:hAnsi="Myriad Pro"/>
                          <w:color w:val="FFFFFF" w:themeColor="background1"/>
                          <w:sz w:val="56"/>
                          <w:szCs w:val="56"/>
                        </w:rPr>
                        <w:t xml:space="preserve"> </w:t>
                      </w:r>
                      <w:r w:rsidRPr="00F73F9F">
                        <w:rPr>
                          <w:rFonts w:ascii="Myriad Pro" w:hAnsi="Myriad Pro"/>
                          <w:color w:val="FFFFFF" w:themeColor="background1"/>
                          <w:sz w:val="56"/>
                          <w:szCs w:val="56"/>
                        </w:rPr>
                        <w:t>1</w:t>
                      </w:r>
                      <w:r>
                        <w:rPr>
                          <w:rFonts w:ascii="Myriad Pro" w:hAnsi="Myriad Pro"/>
                          <w:color w:val="FFFFFF" w:themeColor="background1"/>
                          <w:sz w:val="56"/>
                          <w:szCs w:val="56"/>
                        </w:rPr>
                        <w:t xml:space="preserve"> </w:t>
                      </w:r>
                      <w:r w:rsidRPr="00F73F9F">
                        <w:rPr>
                          <w:rFonts w:ascii="Myriad Pro" w:hAnsi="Myriad Pro"/>
                          <w:color w:val="FFFFFF" w:themeColor="background1"/>
                          <w:sz w:val="56"/>
                          <w:szCs w:val="56"/>
                        </w:rPr>
                        <w:t>5</w:t>
                      </w:r>
                    </w:p>
                  </w:txbxContent>
                </v:textbox>
              </v:shape>
            </w:pict>
          </mc:Fallback>
        </mc:AlternateContent>
      </w:r>
      <w:r w:rsidR="00C43B68">
        <w:rPr>
          <w:noProof/>
          <w:lang w:val="en-AU" w:eastAsia="en-AU"/>
        </w:rPr>
        <mc:AlternateContent>
          <mc:Choice Requires="wps">
            <w:drawing>
              <wp:anchor distT="0" distB="0" distL="114300" distR="114300" simplePos="0" relativeHeight="251663360" behindDoc="0" locked="0" layoutInCell="1" allowOverlap="1" wp14:anchorId="1B414EAD" wp14:editId="33740FA6">
                <wp:simplePos x="0" y="0"/>
                <wp:positionH relativeFrom="column">
                  <wp:posOffset>-1272540</wp:posOffset>
                </wp:positionH>
                <wp:positionV relativeFrom="paragraph">
                  <wp:posOffset>8764905</wp:posOffset>
                </wp:positionV>
                <wp:extent cx="7035800" cy="469900"/>
                <wp:effectExtent l="0" t="0" r="0" b="63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5800" cy="469900"/>
                        </a:xfrm>
                        <a:prstGeom prst="rect">
                          <a:avLst/>
                        </a:prstGeom>
                        <a:noFill/>
                        <a:ln w="9525">
                          <a:noFill/>
                          <a:miter lim="800000"/>
                          <a:headEnd/>
                          <a:tailEnd/>
                        </a:ln>
                      </wps:spPr>
                      <wps:txbx>
                        <w:txbxContent>
                          <w:p w14:paraId="3FBC2627" w14:textId="07889618" w:rsidR="00312BEC" w:rsidRPr="009242CC" w:rsidRDefault="00312BEC" w:rsidP="008A1A24">
                            <w:pPr>
                              <w:rPr>
                                <w:rFonts w:cs="Arial"/>
                                <w:szCs w:val="22"/>
                              </w:rPr>
                            </w:pPr>
                            <w:r w:rsidRPr="009242CC">
                              <w:rPr>
                                <w:rFonts w:cs="Arial"/>
                                <w:szCs w:val="22"/>
                              </w:rPr>
                              <w:t xml:space="preserve">Angus Thompson, Paul Costello, Johnston Davidson, Murray Logan, </w:t>
                            </w:r>
                            <w:r>
                              <w:t xml:space="preserve">Greg Coleman, </w:t>
                            </w:r>
                            <w:r w:rsidRPr="009242CC">
                              <w:rPr>
                                <w:rFonts w:cs="Arial"/>
                                <w:szCs w:val="22"/>
                              </w:rPr>
                              <w:t>Kevin Gunn, Britta Schaffelke</w:t>
                            </w:r>
                          </w:p>
                          <w:p w14:paraId="30108062" w14:textId="77777777" w:rsidR="00312BEC" w:rsidRPr="002450CE" w:rsidRDefault="00312BEC" w:rsidP="008A1A24">
                            <w:pPr>
                              <w:rPr>
                                <w:rFonts w:ascii="Verdana" w:hAnsi="Verdana"/>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100.2pt;margin-top:690.15pt;width:554pt;height:3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" filled="f" stroked="f">
                <v:textbox>
                  <w:txbxContent>
                    <w:p w14:paraId="3FBC2627" w14:textId="07889618" w:rsidR="00312BEC" w:rsidRPr="009242CC" w:rsidRDefault="00312BEC" w:rsidP="008A1A24">
                      <w:pPr>
                        <w:rPr>
                          <w:rFonts w:cs="Arial"/>
                          <w:szCs w:val="22"/>
                        </w:rPr>
                      </w:pPr>
                      <w:r w:rsidRPr="009242CC">
                        <w:rPr>
                          <w:rFonts w:cs="Arial"/>
                          <w:szCs w:val="22"/>
                        </w:rPr>
                        <w:t xml:space="preserve">Angus Thompson, Paul Costello, Johnston Davidson, Murray Logan, </w:t>
                      </w:r>
                      <w:r>
                        <w:t xml:space="preserve">Greg Coleman, </w:t>
                      </w:r>
                      <w:r w:rsidRPr="009242CC">
                        <w:rPr>
                          <w:rFonts w:cs="Arial"/>
                          <w:szCs w:val="22"/>
                        </w:rPr>
                        <w:t>Kevin Gunn, Britta Schaffelke</w:t>
                      </w:r>
                    </w:p>
                    <w:p w14:paraId="30108062" w14:textId="77777777" w:rsidR="00312BEC" w:rsidRPr="002450CE" w:rsidRDefault="00312BEC" w:rsidP="008A1A24">
                      <w:pPr>
                        <w:rPr>
                          <w:rFonts w:ascii="Verdana" w:hAnsi="Verdana"/>
                          <w:sz w:val="24"/>
                          <w:szCs w:val="24"/>
                        </w:rPr>
                      </w:pPr>
                    </w:p>
                  </w:txbxContent>
                </v:textbox>
              </v:shape>
            </w:pict>
          </mc:Fallback>
        </mc:AlternateContent>
      </w:r>
      <w:r w:rsidR="00844DF9">
        <w:rPr>
          <w:noProof/>
          <w:lang w:val="en-AU" w:eastAsia="en-AU"/>
        </w:rPr>
        <mc:AlternateContent>
          <mc:Choice Requires="wps">
            <w:drawing>
              <wp:anchor distT="0" distB="0" distL="114300" distR="114300" simplePos="0" relativeHeight="251655164" behindDoc="0" locked="0" layoutInCell="1" allowOverlap="1" wp14:anchorId="0689341E" wp14:editId="72B7030E">
                <wp:simplePos x="0" y="0"/>
                <wp:positionH relativeFrom="column">
                  <wp:posOffset>2592705</wp:posOffset>
                </wp:positionH>
                <wp:positionV relativeFrom="paragraph">
                  <wp:posOffset>2276475</wp:posOffset>
                </wp:positionV>
                <wp:extent cx="2847975" cy="473075"/>
                <wp:effectExtent l="0" t="0" r="28575" b="22225"/>
                <wp:wrapNone/>
                <wp:docPr id="246" name="Rectangle 246" descr="Front cover design feature" title="Rectangle"/>
                <wp:cNvGraphicFramePr/>
                <a:graphic xmlns:a="http://schemas.openxmlformats.org/drawingml/2006/main">
                  <a:graphicData uri="http://schemas.microsoft.com/office/word/2010/wordprocessingShape">
                    <wps:wsp>
                      <wps:cNvSpPr/>
                      <wps:spPr>
                        <a:xfrm>
                          <a:off x="0" y="0"/>
                          <a:ext cx="2847975" cy="473075"/>
                        </a:xfrm>
                        <a:prstGeom prst="rect">
                          <a:avLst/>
                        </a:prstGeom>
                        <a:solidFill>
                          <a:srgbClr val="00CC99"/>
                        </a:solidFill>
                        <a:ln>
                          <a:solidFill>
                            <a:srgbClr val="00CC99"/>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2899E5" w14:textId="77777777" w:rsidR="00312BEC" w:rsidRDefault="00312BEC" w:rsidP="00F73F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46" o:spid="_x0000_s1030" alt="Title: Rectangle - Description: Front cover design feature" style="position:absolute;left:0;text-align:left;margin-left:204.15pt;margin-top:179.25pt;width:224.25pt;height:37.25pt;z-index:2516551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" fillcolor="#0c9" strokecolor="#0c9" strokeweight="2pt">
                <v:textbox>
                  <w:txbxContent>
                    <w:p w14:paraId="742899E5" w14:textId="77777777" w:rsidR="00312BEC" w:rsidRDefault="00312BEC" w:rsidP="00F73F9F">
                      <w:pPr>
                        <w:jc w:val="center"/>
                      </w:pPr>
                    </w:p>
                  </w:txbxContent>
                </v:textbox>
              </v:rect>
            </w:pict>
          </mc:Fallback>
        </mc:AlternateContent>
      </w:r>
      <w:r w:rsidR="00326869">
        <w:rPr>
          <w:noProof/>
          <w:lang w:val="en-AU" w:eastAsia="en-AU"/>
        </w:rPr>
        <w:drawing>
          <wp:anchor distT="0" distB="0" distL="114300" distR="114300" simplePos="0" relativeHeight="251666432" behindDoc="1" locked="0" layoutInCell="1" allowOverlap="1" wp14:anchorId="3F0A4A39" wp14:editId="08CE3A90">
            <wp:simplePos x="0" y="0"/>
            <wp:positionH relativeFrom="column">
              <wp:posOffset>-1274445</wp:posOffset>
            </wp:positionH>
            <wp:positionV relativeFrom="paragraph">
              <wp:posOffset>2857500</wp:posOffset>
            </wp:positionV>
            <wp:extent cx="6711950" cy="5829300"/>
            <wp:effectExtent l="0" t="0" r="0" b="0"/>
            <wp:wrapNone/>
            <wp:docPr id="36" name="Picture 36" descr="Report cover photo of coral reef" title="Report cover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ubleCone Is S2 2m Extras 2014_015 BD.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711950" cy="5829300"/>
                    </a:xfrm>
                    <a:prstGeom prst="rect">
                      <a:avLst/>
                    </a:prstGeom>
                  </pic:spPr>
                </pic:pic>
              </a:graphicData>
            </a:graphic>
            <wp14:sizeRelH relativeFrom="page">
              <wp14:pctWidth>0</wp14:pctWidth>
            </wp14:sizeRelH>
            <wp14:sizeRelV relativeFrom="page">
              <wp14:pctHeight>0</wp14:pctHeight>
            </wp14:sizeRelV>
          </wp:anchor>
        </w:drawing>
      </w:r>
      <w:r w:rsidR="0067214C">
        <w:rPr>
          <w:noProof/>
          <w:lang w:val="en-AU" w:eastAsia="en-AU"/>
        </w:rPr>
        <w:drawing>
          <wp:anchor distT="0" distB="0" distL="114300" distR="114300" simplePos="0" relativeHeight="251668480" behindDoc="0" locked="0" layoutInCell="1" allowOverlap="1" wp14:anchorId="6AA94F39" wp14:editId="7C511E49">
            <wp:simplePos x="0" y="0"/>
            <wp:positionH relativeFrom="column">
              <wp:posOffset>-435610</wp:posOffset>
            </wp:positionH>
            <wp:positionV relativeFrom="paragraph">
              <wp:posOffset>-531495</wp:posOffset>
            </wp:positionV>
            <wp:extent cx="1136650" cy="2697480"/>
            <wp:effectExtent l="0" t="0" r="6350" b="7620"/>
            <wp:wrapSquare wrapText="bothSides"/>
            <wp:docPr id="34" name="Picture 34" descr="Title logos for GBRMPA and AIMS" title="Title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N_AIMS Stacked.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136650" cy="2697480"/>
                    </a:xfrm>
                    <a:prstGeom prst="rect">
                      <a:avLst/>
                    </a:prstGeom>
                  </pic:spPr>
                </pic:pic>
              </a:graphicData>
            </a:graphic>
          </wp:anchor>
        </w:drawing>
      </w:r>
      <w:r w:rsidR="008A1A24">
        <w:rPr>
          <w:rFonts w:cs="Arial"/>
          <w:b/>
          <w:color w:val="0070C0"/>
          <w:sz w:val="40"/>
          <w:szCs w:val="40"/>
        </w:rPr>
        <w:br w:type="page"/>
      </w:r>
    </w:p>
    <w:p w14:paraId="506CE83C" w14:textId="77777777" w:rsidR="008A1A24" w:rsidRPr="001953B5" w:rsidRDefault="008A1A24">
      <w:pPr>
        <w:rPr>
          <w:color w:val="0070C0"/>
        </w:rPr>
        <w:sectPr w:rsidR="008A1A24" w:rsidRPr="001953B5" w:rsidSect="006608FC">
          <w:headerReference w:type="default" r:id="rId16"/>
          <w:footerReference w:type="even" r:id="rId17"/>
          <w:footerReference w:type="default" r:id="rId18"/>
          <w:headerReference w:type="first" r:id="rId19"/>
          <w:footerReference w:type="first" r:id="rId20"/>
          <w:pgSz w:w="11907" w:h="16840" w:code="9"/>
          <w:pgMar w:top="1418" w:right="1418" w:bottom="1418" w:left="1418" w:header="864" w:footer="720" w:gutter="0"/>
          <w:pgNumType w:fmt="lowerRoman" w:start="1"/>
          <w:cols w:space="720"/>
        </w:sectPr>
      </w:pPr>
    </w:p>
    <w:p w14:paraId="7D161451" w14:textId="77777777" w:rsidR="008A1A24" w:rsidRPr="00C43B68" w:rsidRDefault="008A1A24" w:rsidP="00C43B68">
      <w:pPr>
        <w:pStyle w:val="Infopage"/>
        <w:spacing w:before="120"/>
      </w:pPr>
    </w:p>
    <w:p w14:paraId="5316756A" w14:textId="77777777" w:rsidR="008A1A24" w:rsidRPr="00C43B68" w:rsidRDefault="008A1A24" w:rsidP="00C43B68">
      <w:pPr>
        <w:pStyle w:val="Infopage"/>
        <w:spacing w:before="120"/>
      </w:pPr>
    </w:p>
    <w:p w14:paraId="1FA34571" w14:textId="77777777" w:rsidR="008A1A24" w:rsidRPr="002C71C7" w:rsidRDefault="008A1A24" w:rsidP="00C43B68">
      <w:pPr>
        <w:pStyle w:val="Infopage"/>
        <w:spacing w:before="120"/>
      </w:pPr>
      <w:r w:rsidRPr="002C71C7">
        <w:t>Australian Institute of Marine Science</w:t>
      </w:r>
    </w:p>
    <w:p w14:paraId="55ABC309" w14:textId="77777777" w:rsidR="008A1A24" w:rsidRPr="002C71C7" w:rsidRDefault="008A1A24" w:rsidP="00C43B68">
      <w:pPr>
        <w:pStyle w:val="Infopage"/>
        <w:tabs>
          <w:tab w:val="left" w:pos="2700"/>
          <w:tab w:val="left" w:pos="5040"/>
        </w:tabs>
        <w:spacing w:before="120"/>
      </w:pPr>
      <w:r w:rsidRPr="002C71C7">
        <w:t>PMB No 3</w:t>
      </w:r>
    </w:p>
    <w:p w14:paraId="396618F2" w14:textId="77777777" w:rsidR="008A1A24" w:rsidRPr="002C71C7" w:rsidRDefault="008A1A24" w:rsidP="00C43B68">
      <w:pPr>
        <w:pStyle w:val="Infopage"/>
        <w:tabs>
          <w:tab w:val="left" w:pos="2700"/>
          <w:tab w:val="left" w:pos="5040"/>
        </w:tabs>
        <w:spacing w:before="120"/>
      </w:pPr>
      <w:r w:rsidRPr="002C71C7">
        <w:t>Townsville MC Qld 4810</w:t>
      </w:r>
    </w:p>
    <w:p w14:paraId="1CD7CC3D" w14:textId="77777777" w:rsidR="00C43B68" w:rsidRDefault="00C43B68" w:rsidP="0030610B">
      <w:pPr>
        <w:pStyle w:val="Infopage"/>
        <w:spacing w:before="120"/>
      </w:pPr>
    </w:p>
    <w:p w14:paraId="1DC30F36" w14:textId="77777777" w:rsidR="00C43B68" w:rsidRDefault="00C43B68" w:rsidP="0030610B">
      <w:pPr>
        <w:pStyle w:val="Infopage"/>
        <w:spacing w:before="120"/>
      </w:pPr>
    </w:p>
    <w:p w14:paraId="5F2B564B" w14:textId="77777777" w:rsidR="0030610B" w:rsidRDefault="0030610B" w:rsidP="0030610B">
      <w:pPr>
        <w:pStyle w:val="Infopage"/>
        <w:spacing w:before="120"/>
      </w:pPr>
    </w:p>
    <w:p w14:paraId="1C9A669F" w14:textId="77777777" w:rsidR="0030610B" w:rsidRDefault="0030610B" w:rsidP="0030610B">
      <w:pPr>
        <w:pStyle w:val="Infopage"/>
        <w:spacing w:before="120"/>
      </w:pPr>
    </w:p>
    <w:p w14:paraId="6A5FA066" w14:textId="77777777" w:rsidR="0030610B" w:rsidRDefault="0030610B" w:rsidP="0030610B">
      <w:pPr>
        <w:pStyle w:val="Infopage"/>
        <w:spacing w:before="120"/>
      </w:pPr>
    </w:p>
    <w:p w14:paraId="7199638F" w14:textId="77777777" w:rsidR="0030610B" w:rsidRPr="002C71C7" w:rsidRDefault="0030610B" w:rsidP="0030610B">
      <w:pPr>
        <w:pStyle w:val="Infopage"/>
        <w:spacing w:before="120"/>
      </w:pPr>
    </w:p>
    <w:p w14:paraId="248D647B" w14:textId="77777777" w:rsidR="0030610B" w:rsidRPr="002C71C7" w:rsidRDefault="0030610B" w:rsidP="0030610B">
      <w:pPr>
        <w:pBdr>
          <w:top w:val="single" w:sz="12" w:space="1" w:color="0070C0"/>
          <w:left w:val="single" w:sz="12" w:space="4" w:color="0070C0"/>
          <w:bottom w:val="single" w:sz="12" w:space="1" w:color="0070C0"/>
          <w:right w:val="single" w:sz="12" w:space="4" w:color="0070C0"/>
        </w:pBdr>
        <w:spacing w:before="120"/>
        <w:rPr>
          <w:rFonts w:ascii="Arial Narrow" w:eastAsia="MS Mincho" w:hAnsi="Arial Narrow" w:cs="Arial"/>
          <w:szCs w:val="22"/>
          <w:lang w:eastAsia="ja-JP"/>
        </w:rPr>
      </w:pPr>
      <w:r>
        <w:rPr>
          <w:rFonts w:ascii="Arial Narrow" w:eastAsia="MS Mincho" w:hAnsi="Arial Narrow" w:cs="Arial"/>
          <w:szCs w:val="22"/>
          <w:lang w:eastAsia="ja-JP"/>
        </w:rPr>
        <w:t xml:space="preserve">© Copyright </w:t>
      </w:r>
      <w:r w:rsidRPr="002C71C7">
        <w:rPr>
          <w:rFonts w:ascii="Arial Narrow" w:eastAsia="MS Mincho" w:hAnsi="Arial Narrow" w:cs="Arial"/>
          <w:szCs w:val="22"/>
          <w:lang w:eastAsia="ja-JP"/>
        </w:rPr>
        <w:t>Australian Institute of Marine Science (AIMS) 201</w:t>
      </w:r>
      <w:r>
        <w:rPr>
          <w:rFonts w:ascii="Arial Narrow" w:eastAsia="MS Mincho" w:hAnsi="Arial Narrow" w:cs="Arial"/>
          <w:szCs w:val="22"/>
          <w:lang w:eastAsia="ja-JP"/>
        </w:rPr>
        <w:t>6</w:t>
      </w:r>
      <w:r w:rsidRPr="002C71C7">
        <w:rPr>
          <w:rFonts w:ascii="Arial Narrow" w:eastAsia="MS Mincho" w:hAnsi="Arial Narrow" w:cs="Arial"/>
          <w:szCs w:val="22"/>
          <w:lang w:eastAsia="ja-JP"/>
        </w:rPr>
        <w:t xml:space="preserve"> </w:t>
      </w:r>
    </w:p>
    <w:p w14:paraId="5F547C27" w14:textId="77777777" w:rsidR="0030610B" w:rsidRPr="002C71C7" w:rsidRDefault="0030610B" w:rsidP="0030610B">
      <w:pPr>
        <w:spacing w:before="120"/>
        <w:rPr>
          <w:rFonts w:ascii="Arial Narrow" w:eastAsia="MS Mincho" w:hAnsi="Arial Narrow" w:cs="Arial"/>
          <w:szCs w:val="22"/>
          <w:lang w:eastAsia="ja-JP"/>
        </w:rPr>
      </w:pPr>
      <w:r w:rsidRPr="002C71C7">
        <w:rPr>
          <w:rFonts w:ascii="Arial Narrow" w:eastAsia="MS Mincho" w:hAnsi="Arial Narrow" w:cs="Arial"/>
          <w:szCs w:val="22"/>
          <w:lang w:eastAsia="ja-JP"/>
        </w:rPr>
        <w:t>All rights are reserved and no part of this document may be reproduced, stored or copied in any form or by any means whatsoever except with the prior written permission of AIMS.</w:t>
      </w:r>
    </w:p>
    <w:p w14:paraId="472BCA38" w14:textId="77777777" w:rsidR="00C43B68" w:rsidRDefault="00C43B68" w:rsidP="0030610B">
      <w:pPr>
        <w:pStyle w:val="Infopage"/>
        <w:spacing w:before="120"/>
      </w:pPr>
    </w:p>
    <w:p w14:paraId="75F9AF51" w14:textId="77777777" w:rsidR="0030610B" w:rsidRPr="009E3F11" w:rsidRDefault="0030610B" w:rsidP="0030610B">
      <w:pPr>
        <w:rPr>
          <w:rFonts w:ascii="Arial Narrow" w:eastAsia="MS Mincho" w:hAnsi="Arial Narrow" w:cs="Arial"/>
          <w:szCs w:val="22"/>
          <w:lang w:val="en-AU" w:eastAsia="ja-JP"/>
        </w:rPr>
      </w:pPr>
    </w:p>
    <w:p w14:paraId="06C7A2A0" w14:textId="77777777" w:rsidR="00670BC8" w:rsidRDefault="00670BC8" w:rsidP="0030610B">
      <w:pPr>
        <w:pStyle w:val="Infopage"/>
        <w:spacing w:before="120"/>
        <w:rPr>
          <w:rFonts w:ascii="Arial" w:hAnsi="Arial" w:cs="Arial"/>
          <w:sz w:val="20"/>
          <w:szCs w:val="20"/>
          <w:lang w:eastAsia="en-AU"/>
        </w:rPr>
      </w:pPr>
      <w:r>
        <w:t xml:space="preserve">ISBN </w:t>
      </w:r>
      <w:r w:rsidR="009E24B7">
        <w:rPr>
          <w:rFonts w:ascii="Arial" w:hAnsi="Arial" w:cs="Arial"/>
          <w:sz w:val="20"/>
          <w:szCs w:val="20"/>
          <w:lang w:eastAsia="en-AU"/>
        </w:rPr>
        <w:t>9781922126924</w:t>
      </w:r>
    </w:p>
    <w:p w14:paraId="33B692B1" w14:textId="77777777" w:rsidR="00670BC8" w:rsidRDefault="00670BC8" w:rsidP="0030610B">
      <w:pPr>
        <w:pStyle w:val="Infopage"/>
        <w:spacing w:before="120"/>
      </w:pPr>
    </w:p>
    <w:p w14:paraId="7E265D79" w14:textId="77777777" w:rsidR="008A1A24" w:rsidRPr="002C71C7" w:rsidRDefault="008A1A24" w:rsidP="0030610B">
      <w:pPr>
        <w:pStyle w:val="Infopage"/>
        <w:spacing w:before="120"/>
      </w:pPr>
      <w:r w:rsidRPr="002C71C7">
        <w:t>This report should be cited as:</w:t>
      </w:r>
    </w:p>
    <w:p w14:paraId="20DCEE9C" w14:textId="1C90521B" w:rsidR="000449B0" w:rsidRDefault="008A1A24" w:rsidP="0030610B">
      <w:pPr>
        <w:pStyle w:val="Infopage"/>
        <w:spacing w:before="120"/>
      </w:pPr>
      <w:proofErr w:type="gramStart"/>
      <w:r w:rsidRPr="002C71C7">
        <w:t xml:space="preserve">Thompson A, Costello P, Davidson </w:t>
      </w:r>
      <w:r w:rsidRPr="002C71C7">
        <w:rPr>
          <w:rFonts w:cs="Arial"/>
        </w:rPr>
        <w:t>J</w:t>
      </w:r>
      <w:r>
        <w:rPr>
          <w:rFonts w:cs="Arial"/>
        </w:rPr>
        <w:t>,</w:t>
      </w:r>
      <w:r w:rsidR="001541DE" w:rsidRPr="001541DE">
        <w:t xml:space="preserve"> </w:t>
      </w:r>
      <w:r w:rsidR="001541DE" w:rsidRPr="002C71C7">
        <w:t xml:space="preserve">Logan M, </w:t>
      </w:r>
      <w:bookmarkStart w:id="0" w:name="_GoBack"/>
      <w:bookmarkEnd w:id="0"/>
      <w:r w:rsidR="007A2798">
        <w:t xml:space="preserve">Coleman G, </w:t>
      </w:r>
      <w:r w:rsidRPr="002C71C7">
        <w:rPr>
          <w:rFonts w:cs="Arial"/>
        </w:rPr>
        <w:t xml:space="preserve">Gunn K, </w:t>
      </w:r>
      <w:r w:rsidRPr="002C71C7">
        <w:t>Schaffelke B (201</w:t>
      </w:r>
      <w:r w:rsidR="000A2218">
        <w:t>6</w:t>
      </w:r>
      <w:r w:rsidRPr="002C71C7">
        <w:t>) Marine Monitoring Program.</w:t>
      </w:r>
      <w:proofErr w:type="gramEnd"/>
      <w:r w:rsidRPr="002C71C7">
        <w:t xml:space="preserve"> Annua</w:t>
      </w:r>
      <w:r w:rsidR="001541DE">
        <w:t xml:space="preserve">l Report </w:t>
      </w:r>
      <w:r w:rsidR="000A2218">
        <w:t xml:space="preserve">for </w:t>
      </w:r>
      <w:r w:rsidR="00326869">
        <w:t xml:space="preserve">inshore </w:t>
      </w:r>
      <w:r w:rsidR="000A2218">
        <w:t>coral reef monitoring:</w:t>
      </w:r>
      <w:r w:rsidR="001541DE">
        <w:t xml:space="preserve"> 201</w:t>
      </w:r>
      <w:r w:rsidR="008C2ED4">
        <w:t>4</w:t>
      </w:r>
      <w:r w:rsidR="001541DE">
        <w:t xml:space="preserve"> to 201</w:t>
      </w:r>
      <w:r w:rsidR="008C2ED4">
        <w:t>5</w:t>
      </w:r>
      <w:r w:rsidRPr="002C71C7">
        <w:t xml:space="preserve">. Report for the Great Barrier Reef Marine Park Authority. </w:t>
      </w:r>
      <w:proofErr w:type="gramStart"/>
      <w:r w:rsidRPr="002C71C7">
        <w:t>Australian Institute of Marine Science, Townsville.</w:t>
      </w:r>
      <w:r w:rsidR="00F17819" w:rsidRPr="00F17819">
        <w:t xml:space="preserve">133 </w:t>
      </w:r>
      <w:r w:rsidRPr="00F17819">
        <w:t>pp.</w:t>
      </w:r>
      <w:proofErr w:type="gramEnd"/>
    </w:p>
    <w:p w14:paraId="56BA8FB1" w14:textId="77777777" w:rsidR="000449B0" w:rsidRDefault="000449B0" w:rsidP="0030610B">
      <w:pPr>
        <w:pStyle w:val="Infopage"/>
        <w:spacing w:before="120"/>
      </w:pPr>
    </w:p>
    <w:p w14:paraId="56FDAE9E" w14:textId="77777777" w:rsidR="008A1A24" w:rsidRDefault="00F4692D" w:rsidP="0030610B">
      <w:pPr>
        <w:pStyle w:val="Infopage"/>
        <w:spacing w:before="120"/>
      </w:pPr>
      <w:r w:rsidRPr="009E3F11">
        <w:rPr>
          <w:rFonts w:eastAsia="MS Mincho" w:cs="Arial"/>
          <w:lang w:val="en-AU" w:eastAsia="ja-JP"/>
        </w:rPr>
        <w:t>Front cover image</w:t>
      </w:r>
      <w:r>
        <w:rPr>
          <w:rFonts w:eastAsia="MS Mincho" w:cs="Arial"/>
          <w:lang w:val="en-AU" w:eastAsia="ja-JP"/>
        </w:rPr>
        <w:t>:</w:t>
      </w:r>
      <w:r>
        <w:t xml:space="preserve"> </w:t>
      </w:r>
      <w:r w:rsidR="000449B0">
        <w:t>The reef-flat coral community at Double Cone Island, Central Great Barrier Reef</w:t>
      </w:r>
      <w:r>
        <w:t xml:space="preserve"> © AIMS 2014</w:t>
      </w:r>
      <w:r w:rsidR="000449B0">
        <w:t>. Photographer</w:t>
      </w:r>
      <w:r>
        <w:t>:</w:t>
      </w:r>
      <w:r w:rsidR="000449B0">
        <w:t xml:space="preserve"> Johnston Davidson.</w:t>
      </w:r>
    </w:p>
    <w:p w14:paraId="5D20CD58" w14:textId="77777777" w:rsidR="00F4692D" w:rsidRDefault="00F4692D" w:rsidP="0030610B">
      <w:pPr>
        <w:pStyle w:val="Infopage"/>
        <w:spacing w:before="120"/>
      </w:pPr>
    </w:p>
    <w:p w14:paraId="1EE51943" w14:textId="77777777" w:rsidR="008A1A24" w:rsidRPr="002C71C7" w:rsidRDefault="008A1A24" w:rsidP="0030610B">
      <w:pPr>
        <w:spacing w:before="120"/>
        <w:rPr>
          <w:rFonts w:ascii="Arial Narrow" w:eastAsia="MS Mincho" w:hAnsi="Arial Narrow" w:cs="Arial"/>
          <w:b/>
          <w:szCs w:val="22"/>
          <w:lang w:eastAsia="ja-JP"/>
        </w:rPr>
      </w:pPr>
      <w:r w:rsidRPr="002C71C7">
        <w:rPr>
          <w:rFonts w:ascii="Arial Narrow" w:eastAsia="MS Mincho" w:hAnsi="Arial Narrow" w:cs="Arial"/>
          <w:b/>
          <w:szCs w:val="22"/>
          <w:lang w:eastAsia="ja-JP"/>
        </w:rPr>
        <w:t>DISCLAIMER</w:t>
      </w:r>
    </w:p>
    <w:p w14:paraId="5606F163" w14:textId="77777777" w:rsidR="008A1A24" w:rsidRDefault="008A1A24" w:rsidP="0030610B">
      <w:pPr>
        <w:spacing w:before="120"/>
        <w:rPr>
          <w:rFonts w:ascii="Arial Narrow" w:eastAsia="MS Mincho" w:hAnsi="Arial Narrow" w:cs="Arial"/>
          <w:szCs w:val="22"/>
          <w:lang w:eastAsia="ja-JP"/>
        </w:rPr>
      </w:pPr>
      <w:r w:rsidRPr="002C71C7">
        <w:rPr>
          <w:rFonts w:ascii="Arial Narrow" w:eastAsia="MS Mincho" w:hAnsi="Arial Narrow" w:cs="Arial"/>
          <w:szCs w:val="22"/>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14:paraId="636738D5" w14:textId="77777777" w:rsidR="00F4692D" w:rsidRDefault="00F4692D" w:rsidP="0030610B">
      <w:pPr>
        <w:spacing w:before="120"/>
        <w:rPr>
          <w:rFonts w:ascii="Arial Narrow" w:eastAsia="MS Mincho" w:hAnsi="Arial Narrow" w:cs="Arial"/>
          <w:szCs w:val="22"/>
          <w:lang w:eastAsia="ja-JP"/>
        </w:rPr>
      </w:pPr>
    </w:p>
    <w:p w14:paraId="09FC235E" w14:textId="77777777" w:rsidR="009E24B7" w:rsidRPr="007A17C3" w:rsidRDefault="009E24B7" w:rsidP="009E24B7">
      <w:pPr>
        <w:pStyle w:val="BodyText3"/>
        <w:spacing w:before="120"/>
        <w:rPr>
          <w:rFonts w:ascii="Arial Narrow" w:eastAsia="Dotum" w:hAnsi="Arial Narrow" w:cs="Arial"/>
          <w:sz w:val="22"/>
          <w:szCs w:val="22"/>
          <w:lang w:val="en-AU"/>
        </w:rPr>
      </w:pPr>
      <w:r w:rsidRPr="007A17C3">
        <w:rPr>
          <w:rFonts w:ascii="Arial Narrow" w:eastAsia="Dotum" w:hAnsi="Arial Narrow" w:cs="Arial"/>
          <w:sz w:val="22"/>
          <w:szCs w:val="22"/>
          <w:lang w:val="en-AU"/>
        </w:rPr>
        <w:t>Direct Enquiries to –</w:t>
      </w:r>
    </w:p>
    <w:p w14:paraId="28E5746A" w14:textId="77777777" w:rsidR="009E24B7" w:rsidRPr="00916836" w:rsidRDefault="009E24B7" w:rsidP="009E24B7">
      <w:pPr>
        <w:pStyle w:val="BodyText3"/>
        <w:spacing w:after="0"/>
        <w:rPr>
          <w:rFonts w:ascii="Arial Narrow" w:hAnsi="Arial Narrow" w:cs="Arial"/>
          <w:sz w:val="22"/>
          <w:szCs w:val="22"/>
          <w:lang w:val="en-AU"/>
        </w:rPr>
      </w:pPr>
      <w:r>
        <w:rPr>
          <w:rFonts w:ascii="Arial Narrow" w:hAnsi="Arial Narrow" w:cs="Arial"/>
          <w:sz w:val="22"/>
          <w:szCs w:val="22"/>
        </w:rPr>
        <w:t xml:space="preserve">Dr. </w:t>
      </w:r>
      <w:r w:rsidRPr="009E24B7">
        <w:rPr>
          <w:rFonts w:ascii="Arial Narrow" w:hAnsi="Arial Narrow" w:cs="Arial"/>
          <w:sz w:val="22"/>
          <w:szCs w:val="22"/>
        </w:rPr>
        <w:t>Angus Thompson</w:t>
      </w:r>
    </w:p>
    <w:p w14:paraId="05AFC0E1" w14:textId="77777777" w:rsidR="009E24B7" w:rsidRPr="00916836" w:rsidRDefault="009E24B7" w:rsidP="009E24B7">
      <w:pPr>
        <w:pStyle w:val="BodyText3"/>
        <w:spacing w:after="0"/>
        <w:rPr>
          <w:rFonts w:ascii="Arial Narrow" w:hAnsi="Arial Narrow" w:cs="Arial"/>
          <w:sz w:val="22"/>
          <w:szCs w:val="22"/>
          <w:lang w:val="en-AU"/>
        </w:rPr>
      </w:pPr>
      <w:r w:rsidRPr="00916836">
        <w:rPr>
          <w:rFonts w:ascii="Arial Narrow" w:hAnsi="Arial Narrow" w:cs="Arial"/>
          <w:sz w:val="22"/>
          <w:szCs w:val="22"/>
          <w:lang w:val="en-AU"/>
        </w:rPr>
        <w:t>Phone: +61 7</w:t>
      </w:r>
      <w:r>
        <w:rPr>
          <w:rFonts w:ascii="Arial Narrow" w:hAnsi="Arial Narrow" w:cs="Arial"/>
          <w:sz w:val="22"/>
          <w:szCs w:val="22"/>
          <w:lang w:val="en-AU"/>
        </w:rPr>
        <w:t xml:space="preserve"> </w:t>
      </w:r>
      <w:r w:rsidRPr="009E24B7">
        <w:rPr>
          <w:rFonts w:ascii="Arial Narrow" w:hAnsi="Arial Narrow" w:cs="Arial"/>
          <w:sz w:val="22"/>
          <w:szCs w:val="22"/>
        </w:rPr>
        <w:t xml:space="preserve">4753 4329 </w:t>
      </w:r>
      <w:r w:rsidRPr="00916836">
        <w:rPr>
          <w:rFonts w:ascii="Arial Narrow" w:hAnsi="Arial Narrow" w:cs="Arial"/>
          <w:sz w:val="22"/>
          <w:szCs w:val="22"/>
          <w:lang w:val="en-AU"/>
        </w:rPr>
        <w:t xml:space="preserve"> </w:t>
      </w:r>
    </w:p>
    <w:p w14:paraId="42873E52" w14:textId="77777777" w:rsidR="009E24B7" w:rsidRPr="00916836" w:rsidRDefault="009E24B7" w:rsidP="009E24B7">
      <w:pPr>
        <w:pStyle w:val="BodyText3"/>
        <w:spacing w:after="0"/>
        <w:rPr>
          <w:rFonts w:ascii="Arial Narrow" w:hAnsi="Arial Narrow" w:cs="Arial"/>
          <w:sz w:val="22"/>
          <w:szCs w:val="22"/>
          <w:lang w:val="en-AU"/>
        </w:rPr>
      </w:pPr>
      <w:r>
        <w:rPr>
          <w:rFonts w:ascii="Arial Narrow" w:hAnsi="Arial Narrow" w:cs="Arial"/>
          <w:sz w:val="22"/>
          <w:szCs w:val="22"/>
          <w:lang w:val="en-AU"/>
        </w:rPr>
        <w:t>Fax: +61 7</w:t>
      </w:r>
      <w:r w:rsidRPr="009E24B7">
        <w:rPr>
          <w:rFonts w:ascii="Arial Narrow" w:hAnsi="Arial Narrow" w:cs="Arial"/>
          <w:sz w:val="22"/>
          <w:szCs w:val="22"/>
          <w:lang w:val="en-AU"/>
        </w:rPr>
        <w:t xml:space="preserve"> 4772 5852</w:t>
      </w:r>
    </w:p>
    <w:p w14:paraId="596EADAC" w14:textId="77777777" w:rsidR="009E24B7" w:rsidRPr="009E24B7" w:rsidRDefault="009E24B7" w:rsidP="009E24B7">
      <w:pPr>
        <w:pStyle w:val="BodyText3"/>
        <w:spacing w:after="0"/>
        <w:rPr>
          <w:rFonts w:ascii="Arial Narrow" w:hAnsi="Arial Narrow" w:cs="Arial"/>
          <w:sz w:val="20"/>
          <w:szCs w:val="20"/>
          <w:lang w:val="en-AU"/>
        </w:rPr>
      </w:pPr>
      <w:r w:rsidRPr="00916836">
        <w:rPr>
          <w:rFonts w:ascii="Arial Narrow" w:hAnsi="Arial Narrow" w:cs="Arial"/>
          <w:sz w:val="22"/>
          <w:szCs w:val="22"/>
          <w:lang w:val="en-AU"/>
        </w:rPr>
        <w:t>E</w:t>
      </w:r>
      <w:r w:rsidRPr="009E24B7">
        <w:rPr>
          <w:rFonts w:ascii="Arial Narrow" w:hAnsi="Arial Narrow" w:cs="Arial"/>
          <w:sz w:val="22"/>
          <w:szCs w:val="22"/>
          <w:lang w:val="en-AU"/>
        </w:rPr>
        <w:t xml:space="preserve">mail: </w:t>
      </w:r>
      <w:hyperlink r:id="rId21" w:history="1">
        <w:r w:rsidRPr="009E24B7">
          <w:rPr>
            <w:rStyle w:val="Hyperlink"/>
            <w:rFonts w:ascii="Arial Narrow" w:hAnsi="Arial Narrow"/>
            <w:sz w:val="22"/>
            <w:szCs w:val="22"/>
          </w:rPr>
          <w:t>a.thompson@aims.gov.au</w:t>
        </w:r>
      </w:hyperlink>
    </w:p>
    <w:p w14:paraId="68549022" w14:textId="77777777" w:rsidR="007D23CA" w:rsidRDefault="009E24B7" w:rsidP="009E24B7">
      <w:pPr>
        <w:pStyle w:val="BodyText3"/>
        <w:spacing w:after="0"/>
      </w:pPr>
      <w:r w:rsidRPr="00916836">
        <w:rPr>
          <w:rFonts w:ascii="Arial Narrow" w:hAnsi="Arial Narrow" w:cs="Arial"/>
          <w:sz w:val="22"/>
          <w:szCs w:val="22"/>
          <w:lang w:val="en-AU"/>
        </w:rPr>
        <w:t>We</w:t>
      </w:r>
      <w:r w:rsidRPr="009E24B7">
        <w:rPr>
          <w:rFonts w:ascii="Arial Narrow" w:hAnsi="Arial Narrow" w:cs="Arial"/>
          <w:sz w:val="22"/>
          <w:szCs w:val="22"/>
          <w:lang w:val="en-AU"/>
        </w:rPr>
        <w:t xml:space="preserve">b: </w:t>
      </w:r>
      <w:hyperlink r:id="rId22" w:history="1">
        <w:r w:rsidRPr="009E24B7">
          <w:rPr>
            <w:rStyle w:val="Hyperlink"/>
            <w:rFonts w:ascii="Arial Narrow" w:hAnsi="Arial Narrow"/>
            <w:sz w:val="22"/>
            <w:szCs w:val="22"/>
          </w:rPr>
          <w:t>http://www.aims.gov.au/</w:t>
        </w:r>
      </w:hyperlink>
      <w:r>
        <w:t xml:space="preserve"> </w:t>
      </w:r>
    </w:p>
    <w:p w14:paraId="0687364E" w14:textId="77777777" w:rsidR="007D23CA" w:rsidRDefault="007D23CA" w:rsidP="009E24B7">
      <w:pPr>
        <w:pStyle w:val="BodyText3"/>
        <w:spacing w:after="0"/>
      </w:pPr>
    </w:p>
    <w:p w14:paraId="0609902E" w14:textId="0F2A50E1" w:rsidR="00F4692D" w:rsidRPr="002C71C7" w:rsidRDefault="009E24B7" w:rsidP="009E24B7">
      <w:pPr>
        <w:pStyle w:val="BodyText3"/>
        <w:spacing w:after="0"/>
        <w:rPr>
          <w:rFonts w:ascii="Arial Narrow" w:eastAsia="MS Mincho" w:hAnsi="Arial Narrow" w:cs="Arial"/>
          <w:szCs w:val="22"/>
          <w:lang w:eastAsia="ja-JP"/>
        </w:rPr>
      </w:pPr>
      <w:r w:rsidRPr="00916836">
        <w:rPr>
          <w:rStyle w:val="Hyperlink"/>
          <w:rFonts w:ascii="Arial Narrow" w:hAnsi="Arial Narrow" w:cs="Arial"/>
          <w:sz w:val="22"/>
          <w:szCs w:val="22"/>
          <w:lang w:val="en-AU"/>
        </w:rPr>
        <w:t xml:space="preserve"> </w:t>
      </w:r>
    </w:p>
    <w:p w14:paraId="37ECEF61" w14:textId="77777777" w:rsidR="008A1A24" w:rsidRPr="002C71C7" w:rsidRDefault="008A1A24">
      <w:pPr>
        <w:spacing w:after="1100"/>
        <w:rPr>
          <w:b/>
          <w:caps/>
          <w:color w:val="0070C0"/>
        </w:rPr>
        <w:sectPr w:rsidR="008A1A24" w:rsidRPr="002C71C7" w:rsidSect="006608FC">
          <w:headerReference w:type="even" r:id="rId23"/>
          <w:headerReference w:type="default" r:id="rId24"/>
          <w:headerReference w:type="first" r:id="rId25"/>
          <w:pgSz w:w="11907" w:h="16840" w:code="9"/>
          <w:pgMar w:top="1418" w:right="1418" w:bottom="1418" w:left="1418" w:header="1008" w:footer="720" w:gutter="0"/>
          <w:pgNumType w:fmt="lowerRoman" w:start="1"/>
          <w:cols w:space="720"/>
        </w:sectPr>
      </w:pPr>
    </w:p>
    <w:p w14:paraId="17A83EB2" w14:textId="77777777" w:rsidR="001F75A1" w:rsidRPr="00F17819" w:rsidRDefault="008A1A24" w:rsidP="001F75A1">
      <w:pPr>
        <w:spacing w:after="360"/>
        <w:jc w:val="center"/>
        <w:rPr>
          <w:rFonts w:ascii="Century Gothic" w:hAnsi="Century Gothic"/>
          <w:b/>
          <w:sz w:val="36"/>
          <w:szCs w:val="36"/>
        </w:rPr>
      </w:pPr>
      <w:r w:rsidRPr="00F17819">
        <w:rPr>
          <w:rFonts w:ascii="Century Gothic" w:hAnsi="Century Gothic"/>
          <w:b/>
          <w:sz w:val="36"/>
          <w:szCs w:val="36"/>
        </w:rPr>
        <w:lastRenderedPageBreak/>
        <w:t>Contents</w:t>
      </w:r>
    </w:p>
    <w:p w14:paraId="2C7A0011" w14:textId="77777777" w:rsidR="00804EEB" w:rsidRPr="00804EEB" w:rsidRDefault="006D0A76" w:rsidP="00804EEB">
      <w:pPr>
        <w:pStyle w:val="TOC1"/>
        <w:spacing w:after="120"/>
        <w:rPr>
          <w:rFonts w:asciiTheme="minorHAnsi" w:eastAsiaTheme="minorEastAsia" w:hAnsiTheme="minorHAnsi" w:cstheme="minorBidi"/>
          <w:szCs w:val="22"/>
          <w:lang w:val="en-AU" w:eastAsia="en-AU"/>
        </w:rPr>
      </w:pPr>
      <w:r w:rsidRPr="008016B6">
        <w:rPr>
          <w:color w:val="0070C0"/>
          <w:szCs w:val="22"/>
        </w:rPr>
        <w:fldChar w:fldCharType="begin"/>
      </w:r>
      <w:r w:rsidRPr="008016B6">
        <w:rPr>
          <w:color w:val="0070C0"/>
          <w:szCs w:val="22"/>
        </w:rPr>
        <w:instrText xml:space="preserve"> TOC \o "1-2" \u </w:instrText>
      </w:r>
      <w:r w:rsidRPr="008016B6">
        <w:rPr>
          <w:color w:val="0070C0"/>
          <w:szCs w:val="22"/>
        </w:rPr>
        <w:fldChar w:fldCharType="separate"/>
      </w:r>
      <w:r w:rsidR="00804EEB">
        <w:t>1.</w:t>
      </w:r>
      <w:r w:rsidR="00804EEB">
        <w:rPr>
          <w:rFonts w:asciiTheme="minorHAnsi" w:eastAsiaTheme="minorEastAsia" w:hAnsiTheme="minorHAnsi" w:cstheme="minorBidi"/>
          <w:szCs w:val="22"/>
          <w:lang w:val="en-AU" w:eastAsia="en-AU"/>
        </w:rPr>
        <w:tab/>
      </w:r>
      <w:r w:rsidR="00804EEB" w:rsidRPr="00804EEB">
        <w:rPr>
          <w:szCs w:val="22"/>
        </w:rPr>
        <w:t>Executive Summary</w:t>
      </w:r>
      <w:r w:rsidR="00804EEB" w:rsidRPr="00804EEB">
        <w:rPr>
          <w:szCs w:val="22"/>
        </w:rPr>
        <w:tab/>
      </w:r>
      <w:r w:rsidR="00804EEB" w:rsidRPr="00804EEB">
        <w:rPr>
          <w:szCs w:val="22"/>
        </w:rPr>
        <w:fldChar w:fldCharType="begin"/>
      </w:r>
      <w:r w:rsidR="00804EEB" w:rsidRPr="00804EEB">
        <w:rPr>
          <w:szCs w:val="22"/>
        </w:rPr>
        <w:instrText xml:space="preserve"> PAGEREF _Toc460490651 \h </w:instrText>
      </w:r>
      <w:r w:rsidR="00804EEB" w:rsidRPr="00804EEB">
        <w:rPr>
          <w:szCs w:val="22"/>
        </w:rPr>
      </w:r>
      <w:r w:rsidR="00804EEB" w:rsidRPr="00804EEB">
        <w:rPr>
          <w:szCs w:val="22"/>
        </w:rPr>
        <w:fldChar w:fldCharType="separate"/>
      </w:r>
      <w:r w:rsidR="00B61881">
        <w:rPr>
          <w:szCs w:val="22"/>
        </w:rPr>
        <w:t>1</w:t>
      </w:r>
      <w:r w:rsidR="00804EEB" w:rsidRPr="00804EEB">
        <w:rPr>
          <w:szCs w:val="22"/>
        </w:rPr>
        <w:fldChar w:fldCharType="end"/>
      </w:r>
    </w:p>
    <w:p w14:paraId="5F615800"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2.</w:t>
      </w:r>
      <w:r w:rsidRPr="00804EEB">
        <w:rPr>
          <w:rFonts w:asciiTheme="minorHAnsi" w:eastAsiaTheme="minorEastAsia" w:hAnsiTheme="minorHAnsi" w:cstheme="minorBidi"/>
          <w:szCs w:val="22"/>
          <w:lang w:val="en-AU" w:eastAsia="en-AU"/>
        </w:rPr>
        <w:tab/>
      </w:r>
      <w:r w:rsidRPr="00804EEB">
        <w:rPr>
          <w:szCs w:val="22"/>
        </w:rPr>
        <w:t>Preface</w:t>
      </w:r>
      <w:r w:rsidRPr="00804EEB">
        <w:rPr>
          <w:szCs w:val="22"/>
        </w:rPr>
        <w:tab/>
      </w:r>
      <w:r w:rsidRPr="00804EEB">
        <w:rPr>
          <w:szCs w:val="22"/>
        </w:rPr>
        <w:fldChar w:fldCharType="begin"/>
      </w:r>
      <w:r w:rsidRPr="00804EEB">
        <w:rPr>
          <w:szCs w:val="22"/>
        </w:rPr>
        <w:instrText xml:space="preserve"> PAGEREF _Toc460490652 \h </w:instrText>
      </w:r>
      <w:r w:rsidRPr="00804EEB">
        <w:rPr>
          <w:szCs w:val="22"/>
        </w:rPr>
      </w:r>
      <w:r w:rsidRPr="00804EEB">
        <w:rPr>
          <w:szCs w:val="22"/>
        </w:rPr>
        <w:fldChar w:fldCharType="separate"/>
      </w:r>
      <w:r w:rsidR="00B61881">
        <w:rPr>
          <w:szCs w:val="22"/>
        </w:rPr>
        <w:t>6</w:t>
      </w:r>
      <w:r w:rsidRPr="00804EEB">
        <w:rPr>
          <w:szCs w:val="22"/>
        </w:rPr>
        <w:fldChar w:fldCharType="end"/>
      </w:r>
    </w:p>
    <w:p w14:paraId="3479F14F"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3.</w:t>
      </w:r>
      <w:r w:rsidRPr="00804EEB">
        <w:rPr>
          <w:rFonts w:asciiTheme="minorHAnsi" w:eastAsiaTheme="minorEastAsia" w:hAnsiTheme="minorHAnsi" w:cstheme="minorBidi"/>
          <w:szCs w:val="22"/>
          <w:lang w:val="en-AU" w:eastAsia="en-AU"/>
        </w:rPr>
        <w:tab/>
      </w:r>
      <w:r w:rsidRPr="00804EEB">
        <w:rPr>
          <w:szCs w:val="22"/>
        </w:rPr>
        <w:t>Introduction</w:t>
      </w:r>
      <w:r w:rsidRPr="00804EEB">
        <w:rPr>
          <w:szCs w:val="22"/>
        </w:rPr>
        <w:tab/>
      </w:r>
      <w:r w:rsidRPr="00804EEB">
        <w:rPr>
          <w:szCs w:val="22"/>
        </w:rPr>
        <w:fldChar w:fldCharType="begin"/>
      </w:r>
      <w:r w:rsidRPr="00804EEB">
        <w:rPr>
          <w:szCs w:val="22"/>
        </w:rPr>
        <w:instrText xml:space="preserve"> PAGEREF _Toc460490653 \h </w:instrText>
      </w:r>
      <w:r w:rsidRPr="00804EEB">
        <w:rPr>
          <w:szCs w:val="22"/>
        </w:rPr>
      </w:r>
      <w:r w:rsidRPr="00804EEB">
        <w:rPr>
          <w:szCs w:val="22"/>
        </w:rPr>
        <w:fldChar w:fldCharType="separate"/>
      </w:r>
      <w:r w:rsidR="00B61881">
        <w:rPr>
          <w:szCs w:val="22"/>
        </w:rPr>
        <w:t>7</w:t>
      </w:r>
      <w:r w:rsidRPr="00804EEB">
        <w:rPr>
          <w:szCs w:val="22"/>
        </w:rPr>
        <w:fldChar w:fldCharType="end"/>
      </w:r>
    </w:p>
    <w:p w14:paraId="452B4076"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4.</w:t>
      </w:r>
      <w:r w:rsidRPr="00804EEB">
        <w:rPr>
          <w:rFonts w:asciiTheme="minorHAnsi" w:eastAsiaTheme="minorEastAsia" w:hAnsiTheme="minorHAnsi" w:cstheme="minorBidi"/>
          <w:szCs w:val="22"/>
          <w:lang w:val="en-AU" w:eastAsia="en-AU"/>
        </w:rPr>
        <w:tab/>
      </w:r>
      <w:r w:rsidRPr="00804EEB">
        <w:rPr>
          <w:szCs w:val="22"/>
        </w:rPr>
        <w:t>Methods</w:t>
      </w:r>
      <w:r w:rsidRPr="00804EEB">
        <w:rPr>
          <w:szCs w:val="22"/>
        </w:rPr>
        <w:tab/>
      </w:r>
      <w:r w:rsidRPr="00804EEB">
        <w:rPr>
          <w:szCs w:val="22"/>
        </w:rPr>
        <w:fldChar w:fldCharType="begin"/>
      </w:r>
      <w:r w:rsidRPr="00804EEB">
        <w:rPr>
          <w:szCs w:val="22"/>
        </w:rPr>
        <w:instrText xml:space="preserve"> PAGEREF _Toc460490654 \h </w:instrText>
      </w:r>
      <w:r w:rsidRPr="00804EEB">
        <w:rPr>
          <w:szCs w:val="22"/>
        </w:rPr>
      </w:r>
      <w:r w:rsidRPr="00804EEB">
        <w:rPr>
          <w:szCs w:val="22"/>
        </w:rPr>
        <w:fldChar w:fldCharType="separate"/>
      </w:r>
      <w:r w:rsidR="00B61881">
        <w:rPr>
          <w:szCs w:val="22"/>
        </w:rPr>
        <w:t>10</w:t>
      </w:r>
      <w:r w:rsidRPr="00804EEB">
        <w:rPr>
          <w:szCs w:val="22"/>
        </w:rPr>
        <w:fldChar w:fldCharType="end"/>
      </w:r>
    </w:p>
    <w:p w14:paraId="2754C3C3"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rFonts w:eastAsia="SimSun"/>
          <w:noProof/>
          <w:sz w:val="22"/>
          <w:szCs w:val="22"/>
        </w:rPr>
        <w:t>4.1</w:t>
      </w:r>
      <w:r w:rsidRPr="00804EEB">
        <w:rPr>
          <w:rFonts w:asciiTheme="minorHAnsi" w:eastAsiaTheme="minorEastAsia" w:hAnsiTheme="minorHAnsi" w:cstheme="minorBidi"/>
          <w:noProof/>
          <w:sz w:val="22"/>
          <w:szCs w:val="22"/>
          <w:lang w:val="en-AU" w:eastAsia="en-AU"/>
        </w:rPr>
        <w:tab/>
      </w:r>
      <w:r w:rsidRPr="00804EEB">
        <w:rPr>
          <w:rFonts w:eastAsia="SimSun"/>
          <w:noProof/>
          <w:sz w:val="22"/>
          <w:szCs w:val="22"/>
        </w:rPr>
        <w:t>Sampling design</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_Toc460490655 \h </w:instrText>
      </w:r>
      <w:r w:rsidRPr="00804EEB">
        <w:rPr>
          <w:noProof/>
          <w:sz w:val="22"/>
          <w:szCs w:val="22"/>
        </w:rPr>
      </w:r>
      <w:r w:rsidRPr="00804EEB">
        <w:rPr>
          <w:noProof/>
          <w:sz w:val="22"/>
          <w:szCs w:val="22"/>
        </w:rPr>
        <w:fldChar w:fldCharType="separate"/>
      </w:r>
      <w:r w:rsidR="00B61881">
        <w:rPr>
          <w:noProof/>
          <w:sz w:val="22"/>
          <w:szCs w:val="22"/>
        </w:rPr>
        <w:t>10</w:t>
      </w:r>
      <w:r w:rsidRPr="00804EEB">
        <w:rPr>
          <w:noProof/>
          <w:sz w:val="22"/>
          <w:szCs w:val="22"/>
        </w:rPr>
        <w:fldChar w:fldCharType="end"/>
      </w:r>
    </w:p>
    <w:p w14:paraId="79E6E1F5"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4.2</w:t>
      </w:r>
      <w:r w:rsidRPr="00804EEB">
        <w:rPr>
          <w:rFonts w:asciiTheme="minorHAnsi" w:eastAsiaTheme="minorEastAsia" w:hAnsiTheme="minorHAnsi" w:cstheme="minorBidi"/>
          <w:noProof/>
          <w:sz w:val="22"/>
          <w:szCs w:val="22"/>
          <w:lang w:val="en-AU" w:eastAsia="en-AU"/>
        </w:rPr>
        <w:tab/>
      </w:r>
      <w:r w:rsidRPr="00804EEB">
        <w:rPr>
          <w:noProof/>
          <w:sz w:val="22"/>
          <w:szCs w:val="22"/>
        </w:rPr>
        <w:t>Coral community sampling</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_Toc460490656 \h </w:instrText>
      </w:r>
      <w:r w:rsidRPr="00804EEB">
        <w:rPr>
          <w:noProof/>
          <w:sz w:val="22"/>
          <w:szCs w:val="22"/>
        </w:rPr>
      </w:r>
      <w:r w:rsidRPr="00804EEB">
        <w:rPr>
          <w:noProof/>
          <w:sz w:val="22"/>
          <w:szCs w:val="22"/>
        </w:rPr>
        <w:fldChar w:fldCharType="separate"/>
      </w:r>
      <w:r w:rsidR="00B61881">
        <w:rPr>
          <w:noProof/>
          <w:sz w:val="22"/>
          <w:szCs w:val="22"/>
        </w:rPr>
        <w:t>14</w:t>
      </w:r>
      <w:r w:rsidRPr="00804EEB">
        <w:rPr>
          <w:noProof/>
          <w:sz w:val="22"/>
          <w:szCs w:val="22"/>
        </w:rPr>
        <w:fldChar w:fldCharType="end"/>
      </w:r>
    </w:p>
    <w:p w14:paraId="29777734"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4.3</w:t>
      </w:r>
      <w:r w:rsidRPr="00804EEB">
        <w:rPr>
          <w:rFonts w:asciiTheme="minorHAnsi" w:eastAsiaTheme="minorEastAsia" w:hAnsiTheme="minorHAnsi" w:cstheme="minorBidi"/>
          <w:noProof/>
          <w:sz w:val="22"/>
          <w:szCs w:val="22"/>
          <w:lang w:val="en-AU" w:eastAsia="en-AU"/>
        </w:rPr>
        <w:tab/>
      </w:r>
      <w:r w:rsidRPr="00804EEB">
        <w:rPr>
          <w:noProof/>
          <w:sz w:val="22"/>
          <w:szCs w:val="22"/>
        </w:rPr>
        <w:t>Environmental sampling</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_Toc460490657 \h </w:instrText>
      </w:r>
      <w:r w:rsidRPr="00804EEB">
        <w:rPr>
          <w:noProof/>
          <w:sz w:val="22"/>
          <w:szCs w:val="22"/>
        </w:rPr>
      </w:r>
      <w:r w:rsidRPr="00804EEB">
        <w:rPr>
          <w:noProof/>
          <w:sz w:val="22"/>
          <w:szCs w:val="22"/>
        </w:rPr>
        <w:fldChar w:fldCharType="separate"/>
      </w:r>
      <w:r w:rsidR="00B61881">
        <w:rPr>
          <w:noProof/>
          <w:sz w:val="22"/>
          <w:szCs w:val="22"/>
        </w:rPr>
        <w:t>15</w:t>
      </w:r>
      <w:r w:rsidRPr="00804EEB">
        <w:rPr>
          <w:noProof/>
          <w:sz w:val="22"/>
          <w:szCs w:val="22"/>
        </w:rPr>
        <w:fldChar w:fldCharType="end"/>
      </w:r>
    </w:p>
    <w:p w14:paraId="6724E1D3"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4.4 Coral reef data analysis and presentation</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_Toc460490658 \h </w:instrText>
      </w:r>
      <w:r w:rsidRPr="00804EEB">
        <w:rPr>
          <w:noProof/>
          <w:sz w:val="22"/>
          <w:szCs w:val="22"/>
        </w:rPr>
      </w:r>
      <w:r w:rsidRPr="00804EEB">
        <w:rPr>
          <w:noProof/>
          <w:sz w:val="22"/>
          <w:szCs w:val="22"/>
        </w:rPr>
        <w:fldChar w:fldCharType="separate"/>
      </w:r>
      <w:r w:rsidR="00B61881">
        <w:rPr>
          <w:noProof/>
          <w:sz w:val="22"/>
          <w:szCs w:val="22"/>
        </w:rPr>
        <w:t>17</w:t>
      </w:r>
      <w:r w:rsidRPr="00804EEB">
        <w:rPr>
          <w:noProof/>
          <w:sz w:val="22"/>
          <w:szCs w:val="22"/>
        </w:rPr>
        <w:fldChar w:fldCharType="end"/>
      </w:r>
    </w:p>
    <w:p w14:paraId="0CF856FD"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4.5 Pressure presentation</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_Toc460490659 \h </w:instrText>
      </w:r>
      <w:r w:rsidRPr="00804EEB">
        <w:rPr>
          <w:noProof/>
          <w:sz w:val="22"/>
          <w:szCs w:val="22"/>
        </w:rPr>
      </w:r>
      <w:r w:rsidRPr="00804EEB">
        <w:rPr>
          <w:noProof/>
          <w:sz w:val="22"/>
          <w:szCs w:val="22"/>
        </w:rPr>
        <w:fldChar w:fldCharType="separate"/>
      </w:r>
      <w:r w:rsidR="00B61881">
        <w:rPr>
          <w:noProof/>
          <w:sz w:val="22"/>
          <w:szCs w:val="22"/>
        </w:rPr>
        <w:t>20</w:t>
      </w:r>
      <w:r w:rsidRPr="00804EEB">
        <w:rPr>
          <w:noProof/>
          <w:sz w:val="22"/>
          <w:szCs w:val="22"/>
        </w:rPr>
        <w:fldChar w:fldCharType="end"/>
      </w:r>
    </w:p>
    <w:p w14:paraId="2E2DDAA3"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5.</w:t>
      </w:r>
      <w:r w:rsidRPr="00804EEB">
        <w:rPr>
          <w:rFonts w:asciiTheme="minorHAnsi" w:eastAsiaTheme="minorEastAsia" w:hAnsiTheme="minorHAnsi" w:cstheme="minorBidi"/>
          <w:szCs w:val="22"/>
          <w:lang w:val="en-AU" w:eastAsia="en-AU"/>
        </w:rPr>
        <w:tab/>
      </w:r>
      <w:r w:rsidRPr="00804EEB">
        <w:rPr>
          <w:szCs w:val="22"/>
        </w:rPr>
        <w:t>Results and discussion</w:t>
      </w:r>
      <w:r w:rsidRPr="00804EEB">
        <w:rPr>
          <w:szCs w:val="22"/>
        </w:rPr>
        <w:tab/>
      </w:r>
      <w:r w:rsidRPr="00804EEB">
        <w:rPr>
          <w:szCs w:val="22"/>
        </w:rPr>
        <w:fldChar w:fldCharType="begin"/>
      </w:r>
      <w:r w:rsidRPr="00804EEB">
        <w:rPr>
          <w:szCs w:val="22"/>
        </w:rPr>
        <w:instrText xml:space="preserve"> PAGEREF _Toc460490660 \h </w:instrText>
      </w:r>
      <w:r w:rsidRPr="00804EEB">
        <w:rPr>
          <w:szCs w:val="22"/>
        </w:rPr>
      </w:r>
      <w:r w:rsidRPr="00804EEB">
        <w:rPr>
          <w:szCs w:val="22"/>
        </w:rPr>
        <w:fldChar w:fldCharType="separate"/>
      </w:r>
      <w:r w:rsidR="00B61881">
        <w:rPr>
          <w:szCs w:val="22"/>
        </w:rPr>
        <w:t>22</w:t>
      </w:r>
      <w:r w:rsidRPr="00804EEB">
        <w:rPr>
          <w:szCs w:val="22"/>
        </w:rPr>
        <w:fldChar w:fldCharType="end"/>
      </w:r>
    </w:p>
    <w:p w14:paraId="302977EE"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5.1</w:t>
      </w:r>
      <w:r w:rsidRPr="00804EEB">
        <w:rPr>
          <w:rFonts w:asciiTheme="minorHAnsi" w:eastAsiaTheme="minorEastAsia" w:hAnsiTheme="minorHAnsi" w:cstheme="minorBidi"/>
          <w:noProof/>
          <w:sz w:val="22"/>
          <w:szCs w:val="22"/>
          <w:lang w:val="en-AU" w:eastAsia="en-AU"/>
        </w:rPr>
        <w:tab/>
      </w:r>
      <w:r w:rsidRPr="00804EEB">
        <w:rPr>
          <w:noProof/>
          <w:sz w:val="22"/>
          <w:szCs w:val="22"/>
        </w:rPr>
        <w:t>Wet Tropics Region: Barron Daintree sub-region</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_Toc460490661 \h </w:instrText>
      </w:r>
      <w:r w:rsidRPr="00804EEB">
        <w:rPr>
          <w:noProof/>
          <w:sz w:val="22"/>
          <w:szCs w:val="22"/>
        </w:rPr>
      </w:r>
      <w:r w:rsidRPr="00804EEB">
        <w:rPr>
          <w:noProof/>
          <w:sz w:val="22"/>
          <w:szCs w:val="22"/>
        </w:rPr>
        <w:fldChar w:fldCharType="separate"/>
      </w:r>
      <w:r w:rsidR="00B61881">
        <w:rPr>
          <w:noProof/>
          <w:sz w:val="22"/>
          <w:szCs w:val="22"/>
        </w:rPr>
        <w:t>23</w:t>
      </w:r>
      <w:r w:rsidRPr="00804EEB">
        <w:rPr>
          <w:noProof/>
          <w:sz w:val="22"/>
          <w:szCs w:val="22"/>
        </w:rPr>
        <w:fldChar w:fldCharType="end"/>
      </w:r>
    </w:p>
    <w:p w14:paraId="41EAC1B3"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5.2</w:t>
      </w:r>
      <w:r w:rsidRPr="00804EEB">
        <w:rPr>
          <w:rFonts w:asciiTheme="minorHAnsi" w:eastAsiaTheme="minorEastAsia" w:hAnsiTheme="minorHAnsi" w:cstheme="minorBidi"/>
          <w:noProof/>
          <w:sz w:val="22"/>
          <w:szCs w:val="22"/>
          <w:lang w:val="en-AU" w:eastAsia="en-AU"/>
        </w:rPr>
        <w:tab/>
      </w:r>
      <w:r w:rsidRPr="00804EEB">
        <w:rPr>
          <w:noProof/>
          <w:sz w:val="22"/>
          <w:szCs w:val="22"/>
        </w:rPr>
        <w:t>Wet Tropics Region: Johnstone Russell-Mulgrave sub-region</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_Toc460490662 \h </w:instrText>
      </w:r>
      <w:r w:rsidRPr="00804EEB">
        <w:rPr>
          <w:noProof/>
          <w:sz w:val="22"/>
          <w:szCs w:val="22"/>
        </w:rPr>
      </w:r>
      <w:r w:rsidRPr="00804EEB">
        <w:rPr>
          <w:noProof/>
          <w:sz w:val="22"/>
          <w:szCs w:val="22"/>
        </w:rPr>
        <w:fldChar w:fldCharType="separate"/>
      </w:r>
      <w:r w:rsidR="00B61881">
        <w:rPr>
          <w:noProof/>
          <w:sz w:val="22"/>
          <w:szCs w:val="22"/>
        </w:rPr>
        <w:t>26</w:t>
      </w:r>
      <w:r w:rsidRPr="00804EEB">
        <w:rPr>
          <w:noProof/>
          <w:sz w:val="22"/>
          <w:szCs w:val="22"/>
        </w:rPr>
        <w:fldChar w:fldCharType="end"/>
      </w:r>
    </w:p>
    <w:p w14:paraId="6615BA81"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5.3</w:t>
      </w:r>
      <w:r w:rsidRPr="00804EEB">
        <w:rPr>
          <w:rFonts w:asciiTheme="minorHAnsi" w:eastAsiaTheme="minorEastAsia" w:hAnsiTheme="minorHAnsi" w:cstheme="minorBidi"/>
          <w:noProof/>
          <w:sz w:val="22"/>
          <w:szCs w:val="22"/>
          <w:lang w:val="en-AU" w:eastAsia="en-AU"/>
        </w:rPr>
        <w:tab/>
      </w:r>
      <w:r w:rsidRPr="00804EEB">
        <w:rPr>
          <w:noProof/>
          <w:sz w:val="22"/>
          <w:szCs w:val="22"/>
        </w:rPr>
        <w:t>Wet Tropics Region: Herbert Tully sub-region</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_Toc460490663 \h </w:instrText>
      </w:r>
      <w:r w:rsidRPr="00804EEB">
        <w:rPr>
          <w:noProof/>
          <w:sz w:val="22"/>
          <w:szCs w:val="22"/>
        </w:rPr>
      </w:r>
      <w:r w:rsidRPr="00804EEB">
        <w:rPr>
          <w:noProof/>
          <w:sz w:val="22"/>
          <w:szCs w:val="22"/>
        </w:rPr>
        <w:fldChar w:fldCharType="separate"/>
      </w:r>
      <w:r w:rsidR="00B61881">
        <w:rPr>
          <w:noProof/>
          <w:sz w:val="22"/>
          <w:szCs w:val="22"/>
        </w:rPr>
        <w:t>30</w:t>
      </w:r>
      <w:r w:rsidRPr="00804EEB">
        <w:rPr>
          <w:noProof/>
          <w:sz w:val="22"/>
          <w:szCs w:val="22"/>
        </w:rPr>
        <w:fldChar w:fldCharType="end"/>
      </w:r>
    </w:p>
    <w:p w14:paraId="6AA0D5D4"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5.4</w:t>
      </w:r>
      <w:r w:rsidRPr="00804EEB">
        <w:rPr>
          <w:rFonts w:asciiTheme="minorHAnsi" w:eastAsiaTheme="minorEastAsia" w:hAnsiTheme="minorHAnsi" w:cstheme="minorBidi"/>
          <w:noProof/>
          <w:sz w:val="22"/>
          <w:szCs w:val="22"/>
          <w:lang w:val="en-AU" w:eastAsia="en-AU"/>
        </w:rPr>
        <w:tab/>
      </w:r>
      <w:r w:rsidRPr="00804EEB">
        <w:rPr>
          <w:noProof/>
          <w:sz w:val="22"/>
          <w:szCs w:val="22"/>
        </w:rPr>
        <w:t>Burdekin Region</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_Toc460490664 \h </w:instrText>
      </w:r>
      <w:r w:rsidRPr="00804EEB">
        <w:rPr>
          <w:noProof/>
          <w:sz w:val="22"/>
          <w:szCs w:val="22"/>
        </w:rPr>
      </w:r>
      <w:r w:rsidRPr="00804EEB">
        <w:rPr>
          <w:noProof/>
          <w:sz w:val="22"/>
          <w:szCs w:val="22"/>
        </w:rPr>
        <w:fldChar w:fldCharType="separate"/>
      </w:r>
      <w:r w:rsidR="00B61881">
        <w:rPr>
          <w:noProof/>
          <w:sz w:val="22"/>
          <w:szCs w:val="22"/>
        </w:rPr>
        <w:t>33</w:t>
      </w:r>
      <w:r w:rsidRPr="00804EEB">
        <w:rPr>
          <w:noProof/>
          <w:sz w:val="22"/>
          <w:szCs w:val="22"/>
        </w:rPr>
        <w:fldChar w:fldCharType="end"/>
      </w:r>
    </w:p>
    <w:p w14:paraId="37382698"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5.5</w:t>
      </w:r>
      <w:r w:rsidRPr="00804EEB">
        <w:rPr>
          <w:rFonts w:asciiTheme="minorHAnsi" w:eastAsiaTheme="minorEastAsia" w:hAnsiTheme="minorHAnsi" w:cstheme="minorBidi"/>
          <w:noProof/>
          <w:sz w:val="22"/>
          <w:szCs w:val="22"/>
          <w:lang w:val="en-AU" w:eastAsia="en-AU"/>
        </w:rPr>
        <w:tab/>
      </w:r>
      <w:r w:rsidRPr="00804EEB">
        <w:rPr>
          <w:noProof/>
          <w:sz w:val="22"/>
          <w:szCs w:val="22"/>
        </w:rPr>
        <w:t>Mackay Whitsunday Region</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_Toc460490665 \h </w:instrText>
      </w:r>
      <w:r w:rsidRPr="00804EEB">
        <w:rPr>
          <w:noProof/>
          <w:sz w:val="22"/>
          <w:szCs w:val="22"/>
        </w:rPr>
      </w:r>
      <w:r w:rsidRPr="00804EEB">
        <w:rPr>
          <w:noProof/>
          <w:sz w:val="22"/>
          <w:szCs w:val="22"/>
        </w:rPr>
        <w:fldChar w:fldCharType="separate"/>
      </w:r>
      <w:r w:rsidR="00B61881">
        <w:rPr>
          <w:noProof/>
          <w:sz w:val="22"/>
          <w:szCs w:val="22"/>
        </w:rPr>
        <w:t>37</w:t>
      </w:r>
      <w:r w:rsidRPr="00804EEB">
        <w:rPr>
          <w:noProof/>
          <w:sz w:val="22"/>
          <w:szCs w:val="22"/>
        </w:rPr>
        <w:fldChar w:fldCharType="end"/>
      </w:r>
    </w:p>
    <w:p w14:paraId="002D6360"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5.6</w:t>
      </w:r>
      <w:r w:rsidRPr="00804EEB">
        <w:rPr>
          <w:rFonts w:asciiTheme="minorHAnsi" w:eastAsiaTheme="minorEastAsia" w:hAnsiTheme="minorHAnsi" w:cstheme="minorBidi"/>
          <w:noProof/>
          <w:sz w:val="22"/>
          <w:szCs w:val="22"/>
          <w:lang w:val="en-AU" w:eastAsia="en-AU"/>
        </w:rPr>
        <w:tab/>
      </w:r>
      <w:r w:rsidRPr="00804EEB">
        <w:rPr>
          <w:noProof/>
          <w:sz w:val="22"/>
          <w:szCs w:val="22"/>
        </w:rPr>
        <w:t>Fitzroy Region</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_Toc460490666 \h </w:instrText>
      </w:r>
      <w:r w:rsidRPr="00804EEB">
        <w:rPr>
          <w:noProof/>
          <w:sz w:val="22"/>
          <w:szCs w:val="22"/>
        </w:rPr>
      </w:r>
      <w:r w:rsidRPr="00804EEB">
        <w:rPr>
          <w:noProof/>
          <w:sz w:val="22"/>
          <w:szCs w:val="22"/>
        </w:rPr>
        <w:fldChar w:fldCharType="separate"/>
      </w:r>
      <w:r w:rsidR="00B61881">
        <w:rPr>
          <w:noProof/>
          <w:sz w:val="22"/>
          <w:szCs w:val="22"/>
        </w:rPr>
        <w:t>41</w:t>
      </w:r>
      <w:r w:rsidRPr="00804EEB">
        <w:rPr>
          <w:noProof/>
          <w:sz w:val="22"/>
          <w:szCs w:val="22"/>
        </w:rPr>
        <w:fldChar w:fldCharType="end"/>
      </w:r>
    </w:p>
    <w:p w14:paraId="6849F84B"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6.</w:t>
      </w:r>
      <w:r w:rsidRPr="00804EEB">
        <w:rPr>
          <w:rFonts w:asciiTheme="minorHAnsi" w:eastAsiaTheme="minorEastAsia" w:hAnsiTheme="minorHAnsi" w:cstheme="minorBidi"/>
          <w:szCs w:val="22"/>
          <w:lang w:val="en-AU" w:eastAsia="en-AU"/>
        </w:rPr>
        <w:tab/>
      </w:r>
      <w:r w:rsidRPr="00804EEB">
        <w:rPr>
          <w:szCs w:val="22"/>
        </w:rPr>
        <w:t>Revision of report card indicator metrics</w:t>
      </w:r>
      <w:r w:rsidRPr="00804EEB">
        <w:rPr>
          <w:szCs w:val="22"/>
        </w:rPr>
        <w:tab/>
      </w:r>
      <w:r w:rsidRPr="00804EEB">
        <w:rPr>
          <w:szCs w:val="22"/>
        </w:rPr>
        <w:fldChar w:fldCharType="begin"/>
      </w:r>
      <w:r w:rsidRPr="00804EEB">
        <w:rPr>
          <w:szCs w:val="22"/>
        </w:rPr>
        <w:instrText xml:space="preserve"> PAGEREF _Toc460490667 \h </w:instrText>
      </w:r>
      <w:r w:rsidRPr="00804EEB">
        <w:rPr>
          <w:szCs w:val="22"/>
        </w:rPr>
      </w:r>
      <w:r w:rsidRPr="00804EEB">
        <w:rPr>
          <w:szCs w:val="22"/>
        </w:rPr>
        <w:fldChar w:fldCharType="separate"/>
      </w:r>
      <w:r w:rsidR="00B61881">
        <w:rPr>
          <w:szCs w:val="22"/>
        </w:rPr>
        <w:t>45</w:t>
      </w:r>
      <w:r w:rsidRPr="00804EEB">
        <w:rPr>
          <w:szCs w:val="22"/>
        </w:rPr>
        <w:fldChar w:fldCharType="end"/>
      </w:r>
    </w:p>
    <w:p w14:paraId="78C74BB5"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6.1 Report card concept</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_Toc460490668 \h </w:instrText>
      </w:r>
      <w:r w:rsidRPr="00804EEB">
        <w:rPr>
          <w:noProof/>
          <w:sz w:val="22"/>
          <w:szCs w:val="22"/>
        </w:rPr>
      </w:r>
      <w:r w:rsidRPr="00804EEB">
        <w:rPr>
          <w:noProof/>
          <w:sz w:val="22"/>
          <w:szCs w:val="22"/>
        </w:rPr>
        <w:fldChar w:fldCharType="separate"/>
      </w:r>
      <w:r w:rsidR="00B61881">
        <w:rPr>
          <w:noProof/>
          <w:sz w:val="22"/>
          <w:szCs w:val="22"/>
        </w:rPr>
        <w:t>45</w:t>
      </w:r>
      <w:r w:rsidRPr="00804EEB">
        <w:rPr>
          <w:noProof/>
          <w:sz w:val="22"/>
          <w:szCs w:val="22"/>
        </w:rPr>
        <w:fldChar w:fldCharType="end"/>
      </w:r>
    </w:p>
    <w:p w14:paraId="10B04DA7"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6.2 Metric 1: Proportional cover of macroalgae</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_Toc460490669 \h </w:instrText>
      </w:r>
      <w:r w:rsidRPr="00804EEB">
        <w:rPr>
          <w:noProof/>
          <w:sz w:val="22"/>
          <w:szCs w:val="22"/>
        </w:rPr>
      </w:r>
      <w:r w:rsidRPr="00804EEB">
        <w:rPr>
          <w:noProof/>
          <w:sz w:val="22"/>
          <w:szCs w:val="22"/>
        </w:rPr>
        <w:fldChar w:fldCharType="separate"/>
      </w:r>
      <w:r w:rsidR="00B61881">
        <w:rPr>
          <w:noProof/>
          <w:sz w:val="22"/>
          <w:szCs w:val="22"/>
        </w:rPr>
        <w:t>50</w:t>
      </w:r>
      <w:r w:rsidRPr="00804EEB">
        <w:rPr>
          <w:noProof/>
          <w:sz w:val="22"/>
          <w:szCs w:val="22"/>
        </w:rPr>
        <w:fldChar w:fldCharType="end"/>
      </w:r>
    </w:p>
    <w:p w14:paraId="569FAC8D"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6.3 Metric 2: Coral cover</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_Toc460490670 \h </w:instrText>
      </w:r>
      <w:r w:rsidRPr="00804EEB">
        <w:rPr>
          <w:noProof/>
          <w:sz w:val="22"/>
          <w:szCs w:val="22"/>
        </w:rPr>
      </w:r>
      <w:r w:rsidRPr="00804EEB">
        <w:rPr>
          <w:noProof/>
          <w:sz w:val="22"/>
          <w:szCs w:val="22"/>
        </w:rPr>
        <w:fldChar w:fldCharType="separate"/>
      </w:r>
      <w:r w:rsidR="00B61881">
        <w:rPr>
          <w:noProof/>
          <w:sz w:val="22"/>
          <w:szCs w:val="22"/>
        </w:rPr>
        <w:t>54</w:t>
      </w:r>
      <w:r w:rsidRPr="00804EEB">
        <w:rPr>
          <w:noProof/>
          <w:sz w:val="22"/>
          <w:szCs w:val="22"/>
        </w:rPr>
        <w:fldChar w:fldCharType="end"/>
      </w:r>
    </w:p>
    <w:p w14:paraId="46AB6F7E"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6.4 Metric 3: Rate of change in hard coral cover</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_Toc460490671 \h </w:instrText>
      </w:r>
      <w:r w:rsidRPr="00804EEB">
        <w:rPr>
          <w:noProof/>
          <w:sz w:val="22"/>
          <w:szCs w:val="22"/>
        </w:rPr>
      </w:r>
      <w:r w:rsidRPr="00804EEB">
        <w:rPr>
          <w:noProof/>
          <w:sz w:val="22"/>
          <w:szCs w:val="22"/>
        </w:rPr>
        <w:fldChar w:fldCharType="separate"/>
      </w:r>
      <w:r w:rsidR="00B61881">
        <w:rPr>
          <w:noProof/>
          <w:sz w:val="22"/>
          <w:szCs w:val="22"/>
        </w:rPr>
        <w:t>56</w:t>
      </w:r>
      <w:r w:rsidRPr="00804EEB">
        <w:rPr>
          <w:noProof/>
          <w:sz w:val="22"/>
          <w:szCs w:val="22"/>
        </w:rPr>
        <w:fldChar w:fldCharType="end"/>
      </w:r>
    </w:p>
    <w:p w14:paraId="39E11F8C"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6.5 Metric 4: Juvenile hard coral density</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_Toc460490672 \h </w:instrText>
      </w:r>
      <w:r w:rsidRPr="00804EEB">
        <w:rPr>
          <w:noProof/>
          <w:sz w:val="22"/>
          <w:szCs w:val="22"/>
        </w:rPr>
      </w:r>
      <w:r w:rsidRPr="00804EEB">
        <w:rPr>
          <w:noProof/>
          <w:sz w:val="22"/>
          <w:szCs w:val="22"/>
        </w:rPr>
        <w:fldChar w:fldCharType="separate"/>
      </w:r>
      <w:r w:rsidR="00B61881">
        <w:rPr>
          <w:noProof/>
          <w:sz w:val="22"/>
          <w:szCs w:val="22"/>
        </w:rPr>
        <w:t>59</w:t>
      </w:r>
      <w:r w:rsidRPr="00804EEB">
        <w:rPr>
          <w:noProof/>
          <w:sz w:val="22"/>
          <w:szCs w:val="22"/>
        </w:rPr>
        <w:fldChar w:fldCharType="end"/>
      </w:r>
    </w:p>
    <w:p w14:paraId="0C84117C"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6.6 Metric 5: Changes in community composition of hard corals</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_Toc460490673 \h </w:instrText>
      </w:r>
      <w:r w:rsidRPr="00804EEB">
        <w:rPr>
          <w:noProof/>
          <w:sz w:val="22"/>
          <w:szCs w:val="22"/>
        </w:rPr>
      </w:r>
      <w:r w:rsidRPr="00804EEB">
        <w:rPr>
          <w:noProof/>
          <w:sz w:val="22"/>
          <w:szCs w:val="22"/>
        </w:rPr>
        <w:fldChar w:fldCharType="separate"/>
      </w:r>
      <w:r w:rsidR="00B61881">
        <w:rPr>
          <w:noProof/>
          <w:sz w:val="22"/>
          <w:szCs w:val="22"/>
        </w:rPr>
        <w:t>63</w:t>
      </w:r>
      <w:r w:rsidRPr="00804EEB">
        <w:rPr>
          <w:noProof/>
          <w:sz w:val="22"/>
          <w:szCs w:val="22"/>
        </w:rPr>
        <w:fldChar w:fldCharType="end"/>
      </w:r>
    </w:p>
    <w:p w14:paraId="419F6A6F"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6.7 Aggregating indicator scores to regional-scale assessments</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_Toc460490674 \h </w:instrText>
      </w:r>
      <w:r w:rsidRPr="00804EEB">
        <w:rPr>
          <w:noProof/>
          <w:sz w:val="22"/>
          <w:szCs w:val="22"/>
        </w:rPr>
      </w:r>
      <w:r w:rsidRPr="00804EEB">
        <w:rPr>
          <w:noProof/>
          <w:sz w:val="22"/>
          <w:szCs w:val="22"/>
        </w:rPr>
        <w:fldChar w:fldCharType="separate"/>
      </w:r>
      <w:r w:rsidR="00B61881">
        <w:rPr>
          <w:noProof/>
          <w:sz w:val="22"/>
          <w:szCs w:val="22"/>
        </w:rPr>
        <w:t>65</w:t>
      </w:r>
      <w:r w:rsidRPr="00804EEB">
        <w:rPr>
          <w:noProof/>
          <w:sz w:val="22"/>
          <w:szCs w:val="22"/>
        </w:rPr>
        <w:fldChar w:fldCharType="end"/>
      </w:r>
    </w:p>
    <w:p w14:paraId="1BC2FA7F"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6.8 Comparison between revised and previously used coral index.</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_Toc460490675 \h </w:instrText>
      </w:r>
      <w:r w:rsidRPr="00804EEB">
        <w:rPr>
          <w:noProof/>
          <w:sz w:val="22"/>
          <w:szCs w:val="22"/>
        </w:rPr>
      </w:r>
      <w:r w:rsidRPr="00804EEB">
        <w:rPr>
          <w:noProof/>
          <w:sz w:val="22"/>
          <w:szCs w:val="22"/>
        </w:rPr>
        <w:fldChar w:fldCharType="separate"/>
      </w:r>
      <w:r w:rsidR="00B61881">
        <w:rPr>
          <w:noProof/>
          <w:sz w:val="22"/>
          <w:szCs w:val="22"/>
        </w:rPr>
        <w:t>66</w:t>
      </w:r>
      <w:r w:rsidRPr="00804EEB">
        <w:rPr>
          <w:noProof/>
          <w:sz w:val="22"/>
          <w:szCs w:val="22"/>
        </w:rPr>
        <w:fldChar w:fldCharType="end"/>
      </w:r>
    </w:p>
    <w:p w14:paraId="22108945"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7.</w:t>
      </w:r>
      <w:r w:rsidRPr="00804EEB">
        <w:rPr>
          <w:rFonts w:asciiTheme="minorHAnsi" w:eastAsiaTheme="minorEastAsia" w:hAnsiTheme="minorHAnsi" w:cstheme="minorBidi"/>
          <w:szCs w:val="22"/>
          <w:lang w:val="en-AU" w:eastAsia="en-AU"/>
        </w:rPr>
        <w:tab/>
      </w:r>
      <w:r w:rsidRPr="00804EEB">
        <w:rPr>
          <w:szCs w:val="22"/>
        </w:rPr>
        <w:t>Conclusions</w:t>
      </w:r>
      <w:r w:rsidRPr="00804EEB">
        <w:rPr>
          <w:szCs w:val="22"/>
        </w:rPr>
        <w:tab/>
      </w:r>
      <w:r w:rsidRPr="00804EEB">
        <w:rPr>
          <w:szCs w:val="22"/>
        </w:rPr>
        <w:fldChar w:fldCharType="begin"/>
      </w:r>
      <w:r w:rsidRPr="00804EEB">
        <w:rPr>
          <w:szCs w:val="22"/>
        </w:rPr>
        <w:instrText xml:space="preserve"> PAGEREF _Toc460490676 \h </w:instrText>
      </w:r>
      <w:r w:rsidRPr="00804EEB">
        <w:rPr>
          <w:szCs w:val="22"/>
        </w:rPr>
      </w:r>
      <w:r w:rsidRPr="00804EEB">
        <w:rPr>
          <w:szCs w:val="22"/>
        </w:rPr>
        <w:fldChar w:fldCharType="separate"/>
      </w:r>
      <w:r w:rsidR="00B61881">
        <w:rPr>
          <w:szCs w:val="22"/>
        </w:rPr>
        <w:t>69</w:t>
      </w:r>
      <w:r w:rsidRPr="00804EEB">
        <w:rPr>
          <w:szCs w:val="22"/>
        </w:rPr>
        <w:fldChar w:fldCharType="end"/>
      </w:r>
    </w:p>
    <w:p w14:paraId="6F6ED935"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Pressures</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_Toc460490677 \h </w:instrText>
      </w:r>
      <w:r w:rsidRPr="00804EEB">
        <w:rPr>
          <w:noProof/>
          <w:sz w:val="22"/>
          <w:szCs w:val="22"/>
        </w:rPr>
      </w:r>
      <w:r w:rsidRPr="00804EEB">
        <w:rPr>
          <w:noProof/>
          <w:sz w:val="22"/>
          <w:szCs w:val="22"/>
        </w:rPr>
        <w:fldChar w:fldCharType="separate"/>
      </w:r>
      <w:r w:rsidR="00B61881">
        <w:rPr>
          <w:noProof/>
          <w:sz w:val="22"/>
          <w:szCs w:val="22"/>
        </w:rPr>
        <w:t>69</w:t>
      </w:r>
      <w:r w:rsidRPr="00804EEB">
        <w:rPr>
          <w:noProof/>
          <w:sz w:val="22"/>
          <w:szCs w:val="22"/>
        </w:rPr>
        <w:fldChar w:fldCharType="end"/>
      </w:r>
    </w:p>
    <w:p w14:paraId="0A8FA87D"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Ecosystem State</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_Toc460490678 \h </w:instrText>
      </w:r>
      <w:r w:rsidRPr="00804EEB">
        <w:rPr>
          <w:noProof/>
          <w:sz w:val="22"/>
          <w:szCs w:val="22"/>
        </w:rPr>
      </w:r>
      <w:r w:rsidRPr="00804EEB">
        <w:rPr>
          <w:noProof/>
          <w:sz w:val="22"/>
          <w:szCs w:val="22"/>
        </w:rPr>
        <w:fldChar w:fldCharType="separate"/>
      </w:r>
      <w:r w:rsidR="00B61881">
        <w:rPr>
          <w:noProof/>
          <w:sz w:val="22"/>
          <w:szCs w:val="22"/>
        </w:rPr>
        <w:t>71</w:t>
      </w:r>
      <w:r w:rsidRPr="00804EEB">
        <w:rPr>
          <w:noProof/>
          <w:sz w:val="22"/>
          <w:szCs w:val="22"/>
        </w:rPr>
        <w:fldChar w:fldCharType="end"/>
      </w:r>
    </w:p>
    <w:p w14:paraId="443F7BFB"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Summary</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_Toc460490679 \h </w:instrText>
      </w:r>
      <w:r w:rsidRPr="00804EEB">
        <w:rPr>
          <w:noProof/>
          <w:sz w:val="22"/>
          <w:szCs w:val="22"/>
        </w:rPr>
      </w:r>
      <w:r w:rsidRPr="00804EEB">
        <w:rPr>
          <w:noProof/>
          <w:sz w:val="22"/>
          <w:szCs w:val="22"/>
        </w:rPr>
        <w:fldChar w:fldCharType="separate"/>
      </w:r>
      <w:r w:rsidR="00B61881">
        <w:rPr>
          <w:noProof/>
          <w:sz w:val="22"/>
          <w:szCs w:val="22"/>
        </w:rPr>
        <w:t>73</w:t>
      </w:r>
      <w:r w:rsidRPr="00804EEB">
        <w:rPr>
          <w:noProof/>
          <w:sz w:val="22"/>
          <w:szCs w:val="22"/>
        </w:rPr>
        <w:fldChar w:fldCharType="end"/>
      </w:r>
    </w:p>
    <w:p w14:paraId="52842B57" w14:textId="77777777" w:rsidR="00804EEB" w:rsidRPr="00804EEB" w:rsidRDefault="00804EEB" w:rsidP="00804EEB">
      <w:pPr>
        <w:pStyle w:val="TOC2"/>
        <w:rPr>
          <w:rFonts w:asciiTheme="minorHAnsi" w:eastAsiaTheme="minorEastAsia" w:hAnsiTheme="minorHAnsi" w:cstheme="minorBidi"/>
          <w:noProof/>
          <w:sz w:val="22"/>
          <w:szCs w:val="22"/>
          <w:lang w:val="en-AU" w:eastAsia="en-AU"/>
        </w:rPr>
      </w:pPr>
      <w:r w:rsidRPr="00804EEB">
        <w:rPr>
          <w:noProof/>
          <w:sz w:val="22"/>
          <w:szCs w:val="22"/>
        </w:rPr>
        <w:t>Acknowledgments</w:t>
      </w:r>
      <w:r w:rsidRPr="00804EEB">
        <w:rPr>
          <w:noProof/>
          <w:sz w:val="22"/>
          <w:szCs w:val="22"/>
        </w:rPr>
        <w:tab/>
      </w:r>
      <w:r w:rsidRPr="00804EEB">
        <w:rPr>
          <w:noProof/>
          <w:sz w:val="22"/>
          <w:szCs w:val="22"/>
        </w:rPr>
        <w:fldChar w:fldCharType="begin"/>
      </w:r>
      <w:r w:rsidRPr="00804EEB">
        <w:rPr>
          <w:noProof/>
          <w:sz w:val="22"/>
          <w:szCs w:val="22"/>
        </w:rPr>
        <w:instrText xml:space="preserve"> PAGEREF _Toc460490680 \h </w:instrText>
      </w:r>
      <w:r w:rsidRPr="00804EEB">
        <w:rPr>
          <w:noProof/>
          <w:sz w:val="22"/>
          <w:szCs w:val="22"/>
        </w:rPr>
      </w:r>
      <w:r w:rsidRPr="00804EEB">
        <w:rPr>
          <w:noProof/>
          <w:sz w:val="22"/>
          <w:szCs w:val="22"/>
        </w:rPr>
        <w:fldChar w:fldCharType="separate"/>
      </w:r>
      <w:r w:rsidR="00B61881">
        <w:rPr>
          <w:noProof/>
          <w:sz w:val="22"/>
          <w:szCs w:val="22"/>
        </w:rPr>
        <w:t>75</w:t>
      </w:r>
      <w:r w:rsidRPr="00804EEB">
        <w:rPr>
          <w:noProof/>
          <w:sz w:val="22"/>
          <w:szCs w:val="22"/>
        </w:rPr>
        <w:fldChar w:fldCharType="end"/>
      </w:r>
    </w:p>
    <w:p w14:paraId="337F9CAC"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8.</w:t>
      </w:r>
      <w:r w:rsidRPr="00804EEB">
        <w:rPr>
          <w:rFonts w:asciiTheme="minorHAnsi" w:eastAsiaTheme="minorEastAsia" w:hAnsiTheme="minorHAnsi" w:cstheme="minorBidi"/>
          <w:szCs w:val="22"/>
          <w:lang w:val="en-AU" w:eastAsia="en-AU"/>
        </w:rPr>
        <w:tab/>
      </w:r>
      <w:r w:rsidRPr="00804EEB">
        <w:rPr>
          <w:szCs w:val="22"/>
        </w:rPr>
        <w:t>References</w:t>
      </w:r>
      <w:r w:rsidRPr="00804EEB">
        <w:rPr>
          <w:szCs w:val="22"/>
        </w:rPr>
        <w:tab/>
      </w:r>
      <w:r w:rsidRPr="00804EEB">
        <w:rPr>
          <w:szCs w:val="22"/>
        </w:rPr>
        <w:fldChar w:fldCharType="begin"/>
      </w:r>
      <w:r w:rsidRPr="00804EEB">
        <w:rPr>
          <w:szCs w:val="22"/>
        </w:rPr>
        <w:instrText xml:space="preserve"> PAGEREF _Toc460490681 \h </w:instrText>
      </w:r>
      <w:r w:rsidRPr="00804EEB">
        <w:rPr>
          <w:szCs w:val="22"/>
        </w:rPr>
      </w:r>
      <w:r w:rsidRPr="00804EEB">
        <w:rPr>
          <w:szCs w:val="22"/>
        </w:rPr>
        <w:fldChar w:fldCharType="separate"/>
      </w:r>
      <w:r w:rsidR="00B61881">
        <w:rPr>
          <w:szCs w:val="22"/>
        </w:rPr>
        <w:t>76</w:t>
      </w:r>
      <w:r w:rsidRPr="00804EEB">
        <w:rPr>
          <w:szCs w:val="22"/>
        </w:rPr>
        <w:fldChar w:fldCharType="end"/>
      </w:r>
    </w:p>
    <w:p w14:paraId="41AA33D2"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Appendix 1: Additional Information</w:t>
      </w:r>
      <w:r w:rsidRPr="00804EEB">
        <w:rPr>
          <w:szCs w:val="22"/>
        </w:rPr>
        <w:tab/>
      </w:r>
      <w:r w:rsidRPr="00804EEB">
        <w:rPr>
          <w:szCs w:val="22"/>
        </w:rPr>
        <w:fldChar w:fldCharType="begin"/>
      </w:r>
      <w:r w:rsidRPr="00804EEB">
        <w:rPr>
          <w:szCs w:val="22"/>
        </w:rPr>
        <w:instrText xml:space="preserve"> PAGEREF _Toc460490682 \h </w:instrText>
      </w:r>
      <w:r w:rsidRPr="00804EEB">
        <w:rPr>
          <w:szCs w:val="22"/>
        </w:rPr>
      </w:r>
      <w:r w:rsidRPr="00804EEB">
        <w:rPr>
          <w:szCs w:val="22"/>
        </w:rPr>
        <w:fldChar w:fldCharType="separate"/>
      </w:r>
      <w:r w:rsidR="00B61881">
        <w:rPr>
          <w:szCs w:val="22"/>
        </w:rPr>
        <w:t>87</w:t>
      </w:r>
      <w:r w:rsidRPr="00804EEB">
        <w:rPr>
          <w:szCs w:val="22"/>
        </w:rPr>
        <w:fldChar w:fldCharType="end"/>
      </w:r>
    </w:p>
    <w:p w14:paraId="3992E81D"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Appendix 2: QAQC Information</w:t>
      </w:r>
      <w:r w:rsidRPr="00804EEB">
        <w:rPr>
          <w:szCs w:val="22"/>
        </w:rPr>
        <w:tab/>
      </w:r>
      <w:r w:rsidRPr="00804EEB">
        <w:rPr>
          <w:szCs w:val="22"/>
        </w:rPr>
        <w:fldChar w:fldCharType="begin"/>
      </w:r>
      <w:r w:rsidRPr="00804EEB">
        <w:rPr>
          <w:szCs w:val="22"/>
        </w:rPr>
        <w:instrText xml:space="preserve"> PAGEREF _Toc460490683 \h </w:instrText>
      </w:r>
      <w:r w:rsidRPr="00804EEB">
        <w:rPr>
          <w:szCs w:val="22"/>
        </w:rPr>
      </w:r>
      <w:r w:rsidRPr="00804EEB">
        <w:rPr>
          <w:szCs w:val="22"/>
        </w:rPr>
        <w:fldChar w:fldCharType="separate"/>
      </w:r>
      <w:r w:rsidR="00B61881">
        <w:rPr>
          <w:szCs w:val="22"/>
        </w:rPr>
        <w:t>132</w:t>
      </w:r>
      <w:r w:rsidRPr="00804EEB">
        <w:rPr>
          <w:szCs w:val="22"/>
        </w:rPr>
        <w:fldChar w:fldCharType="end"/>
      </w:r>
    </w:p>
    <w:p w14:paraId="53DF7ECB" w14:textId="77777777" w:rsidR="00804EEB" w:rsidRPr="00804EEB" w:rsidRDefault="00804EEB" w:rsidP="00804EEB">
      <w:pPr>
        <w:pStyle w:val="TOC1"/>
        <w:spacing w:after="120"/>
        <w:rPr>
          <w:rFonts w:asciiTheme="minorHAnsi" w:eastAsiaTheme="minorEastAsia" w:hAnsiTheme="minorHAnsi" w:cstheme="minorBidi"/>
          <w:szCs w:val="22"/>
          <w:lang w:val="en-AU" w:eastAsia="en-AU"/>
        </w:rPr>
      </w:pPr>
      <w:r w:rsidRPr="00804EEB">
        <w:rPr>
          <w:szCs w:val="22"/>
        </w:rPr>
        <w:t>Appendix 3: Publications and  presentations associated with the Program 2014-15</w:t>
      </w:r>
      <w:r w:rsidRPr="00804EEB">
        <w:rPr>
          <w:szCs w:val="22"/>
        </w:rPr>
        <w:tab/>
      </w:r>
      <w:r w:rsidRPr="00804EEB">
        <w:rPr>
          <w:szCs w:val="22"/>
        </w:rPr>
        <w:fldChar w:fldCharType="begin"/>
      </w:r>
      <w:r w:rsidRPr="00804EEB">
        <w:rPr>
          <w:szCs w:val="22"/>
        </w:rPr>
        <w:instrText xml:space="preserve"> PAGEREF _Toc460490684 \h </w:instrText>
      </w:r>
      <w:r w:rsidRPr="00804EEB">
        <w:rPr>
          <w:szCs w:val="22"/>
        </w:rPr>
      </w:r>
      <w:r w:rsidRPr="00804EEB">
        <w:rPr>
          <w:szCs w:val="22"/>
        </w:rPr>
        <w:fldChar w:fldCharType="separate"/>
      </w:r>
      <w:r w:rsidR="00B61881">
        <w:rPr>
          <w:szCs w:val="22"/>
        </w:rPr>
        <w:t>133</w:t>
      </w:r>
      <w:r w:rsidRPr="00804EEB">
        <w:rPr>
          <w:szCs w:val="22"/>
        </w:rPr>
        <w:fldChar w:fldCharType="end"/>
      </w:r>
    </w:p>
    <w:p w14:paraId="40101EEB" w14:textId="77777777" w:rsidR="006B5C58" w:rsidRPr="008016B6" w:rsidRDefault="006D0A76" w:rsidP="008016B6">
      <w:pPr>
        <w:pStyle w:val="TOC1"/>
        <w:spacing w:after="120" w:line="300" w:lineRule="exact"/>
        <w:rPr>
          <w:szCs w:val="22"/>
        </w:rPr>
      </w:pPr>
      <w:r w:rsidRPr="008016B6">
        <w:rPr>
          <w:color w:val="0070C0"/>
          <w:szCs w:val="22"/>
        </w:rPr>
        <w:fldChar w:fldCharType="end"/>
      </w:r>
    </w:p>
    <w:p w14:paraId="457EE9CC" w14:textId="77777777" w:rsidR="006B5C58" w:rsidRPr="008016B6" w:rsidRDefault="006B5C58" w:rsidP="008016B6">
      <w:pPr>
        <w:rPr>
          <w:noProof/>
          <w:szCs w:val="22"/>
        </w:rPr>
      </w:pPr>
      <w:r w:rsidRPr="008016B6">
        <w:rPr>
          <w:szCs w:val="22"/>
        </w:rPr>
        <w:br w:type="page"/>
      </w:r>
    </w:p>
    <w:p w14:paraId="30DC1B71" w14:textId="77777777" w:rsidR="008A1A24" w:rsidRPr="001A3301" w:rsidRDefault="008A1A24" w:rsidP="00CF402D">
      <w:pPr>
        <w:pStyle w:val="TOC1"/>
      </w:pPr>
    </w:p>
    <w:p w14:paraId="071579D9" w14:textId="77777777" w:rsidR="003E0227" w:rsidRPr="00F352CD" w:rsidRDefault="003E0227" w:rsidP="00F352CD">
      <w:pPr>
        <w:rPr>
          <w:b/>
          <w:i/>
          <w:sz w:val="32"/>
        </w:rPr>
      </w:pPr>
      <w:bookmarkStart w:id="1" w:name="_Toc437424397"/>
      <w:bookmarkStart w:id="2" w:name="_Toc437424521"/>
      <w:bookmarkStart w:id="3" w:name="_Ref437429116"/>
      <w:bookmarkStart w:id="4" w:name="_Toc437432451"/>
      <w:bookmarkStart w:id="5" w:name="_Toc437432524"/>
      <w:r w:rsidRPr="00F352CD">
        <w:rPr>
          <w:b/>
          <w:i/>
          <w:sz w:val="32"/>
        </w:rPr>
        <w:t>List of Figures and Tables</w:t>
      </w:r>
      <w:bookmarkEnd w:id="1"/>
      <w:bookmarkEnd w:id="2"/>
      <w:bookmarkEnd w:id="3"/>
      <w:bookmarkEnd w:id="4"/>
      <w:bookmarkEnd w:id="5"/>
    </w:p>
    <w:p w14:paraId="5DF02B5C" w14:textId="77777777" w:rsidR="00804EEB" w:rsidRDefault="004F0242">
      <w:pPr>
        <w:pStyle w:val="TableofFigures"/>
        <w:rPr>
          <w:rFonts w:asciiTheme="minorHAnsi" w:eastAsiaTheme="minorEastAsia" w:hAnsiTheme="minorHAnsi" w:cstheme="minorBidi"/>
          <w:bCs w:val="0"/>
          <w:szCs w:val="22"/>
          <w:lang w:val="en-AU" w:eastAsia="en-AU"/>
        </w:rPr>
      </w:pPr>
      <w:r w:rsidRPr="006D0A76">
        <w:rPr>
          <w:color w:val="0070C0"/>
        </w:rPr>
        <w:fldChar w:fldCharType="begin"/>
      </w:r>
      <w:r w:rsidRPr="006D0A76">
        <w:rPr>
          <w:color w:val="0070C0"/>
        </w:rPr>
        <w:instrText xml:space="preserve"> TOC \h \z \c "Figure" </w:instrText>
      </w:r>
      <w:r w:rsidRPr="006D0A76">
        <w:rPr>
          <w:color w:val="0070C0"/>
        </w:rPr>
        <w:fldChar w:fldCharType="separate"/>
      </w:r>
      <w:hyperlink w:anchor="_Toc460490770" w:history="1">
        <w:r w:rsidR="00804EEB" w:rsidRPr="0087424E">
          <w:rPr>
            <w:rStyle w:val="Hyperlink"/>
          </w:rPr>
          <w:t>Figure 1: Coral Index and Water Quality Index.</w:t>
        </w:r>
        <w:r w:rsidR="00804EEB">
          <w:rPr>
            <w:webHidden/>
          </w:rPr>
          <w:tab/>
        </w:r>
        <w:r w:rsidR="00804EEB">
          <w:rPr>
            <w:webHidden/>
          </w:rPr>
          <w:fldChar w:fldCharType="begin"/>
        </w:r>
        <w:r w:rsidR="00804EEB">
          <w:rPr>
            <w:webHidden/>
          </w:rPr>
          <w:instrText xml:space="preserve"> PAGEREF _Toc460490770 \h </w:instrText>
        </w:r>
        <w:r w:rsidR="00804EEB">
          <w:rPr>
            <w:webHidden/>
          </w:rPr>
        </w:r>
        <w:r w:rsidR="00804EEB">
          <w:rPr>
            <w:webHidden/>
          </w:rPr>
          <w:fldChar w:fldCharType="separate"/>
        </w:r>
        <w:r w:rsidR="00B61881">
          <w:rPr>
            <w:webHidden/>
          </w:rPr>
          <w:t>2</w:t>
        </w:r>
        <w:r w:rsidR="00804EEB">
          <w:rPr>
            <w:webHidden/>
          </w:rPr>
          <w:fldChar w:fldCharType="end"/>
        </w:r>
      </w:hyperlink>
    </w:p>
    <w:p w14:paraId="61BC44BB"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71" w:history="1">
        <w:r w:rsidR="00804EEB" w:rsidRPr="0087424E">
          <w:rPr>
            <w:rStyle w:val="Hyperlink"/>
          </w:rPr>
          <w:t>Figure 2: The regional Coral Index with contributing indicator scores.</w:t>
        </w:r>
        <w:r w:rsidR="00804EEB">
          <w:rPr>
            <w:webHidden/>
          </w:rPr>
          <w:tab/>
        </w:r>
        <w:r w:rsidR="00804EEB">
          <w:rPr>
            <w:webHidden/>
          </w:rPr>
          <w:fldChar w:fldCharType="begin"/>
        </w:r>
        <w:r w:rsidR="00804EEB">
          <w:rPr>
            <w:webHidden/>
          </w:rPr>
          <w:instrText xml:space="preserve"> PAGEREF _Toc460490771 \h </w:instrText>
        </w:r>
        <w:r w:rsidR="00804EEB">
          <w:rPr>
            <w:webHidden/>
          </w:rPr>
        </w:r>
        <w:r w:rsidR="00804EEB">
          <w:rPr>
            <w:webHidden/>
          </w:rPr>
          <w:fldChar w:fldCharType="separate"/>
        </w:r>
        <w:r w:rsidR="00B61881">
          <w:rPr>
            <w:webHidden/>
          </w:rPr>
          <w:t>4</w:t>
        </w:r>
        <w:r w:rsidR="00804EEB">
          <w:rPr>
            <w:webHidden/>
          </w:rPr>
          <w:fldChar w:fldCharType="end"/>
        </w:r>
      </w:hyperlink>
    </w:p>
    <w:p w14:paraId="0EA5B1BF"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72" w:history="1">
        <w:r w:rsidR="00804EEB" w:rsidRPr="0087424E">
          <w:rPr>
            <w:rStyle w:val="Hyperlink"/>
          </w:rPr>
          <w:t>Figure 3: Sampling locations of the MMP coral and water quality monitoring.</w:t>
        </w:r>
        <w:r w:rsidR="00804EEB">
          <w:rPr>
            <w:webHidden/>
          </w:rPr>
          <w:tab/>
        </w:r>
        <w:r w:rsidR="00804EEB">
          <w:rPr>
            <w:webHidden/>
          </w:rPr>
          <w:fldChar w:fldCharType="begin"/>
        </w:r>
        <w:r w:rsidR="00804EEB">
          <w:rPr>
            <w:webHidden/>
          </w:rPr>
          <w:instrText xml:space="preserve"> PAGEREF _Toc460490772 \h </w:instrText>
        </w:r>
        <w:r w:rsidR="00804EEB">
          <w:rPr>
            <w:webHidden/>
          </w:rPr>
        </w:r>
        <w:r w:rsidR="00804EEB">
          <w:rPr>
            <w:webHidden/>
          </w:rPr>
          <w:fldChar w:fldCharType="separate"/>
        </w:r>
        <w:r w:rsidR="00B61881">
          <w:rPr>
            <w:webHidden/>
          </w:rPr>
          <w:t>11</w:t>
        </w:r>
        <w:r w:rsidR="00804EEB">
          <w:rPr>
            <w:webHidden/>
          </w:rPr>
          <w:fldChar w:fldCharType="end"/>
        </w:r>
      </w:hyperlink>
    </w:p>
    <w:p w14:paraId="05A0B0E0"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73" w:history="1">
        <w:r w:rsidR="00804EEB" w:rsidRPr="0087424E">
          <w:rPr>
            <w:rStyle w:val="Hyperlink"/>
          </w:rPr>
          <w:t>Figure 4: Barron Daintree sub-region reef locations, environmental conditions and disturbances.</w:t>
        </w:r>
        <w:r w:rsidR="00804EEB">
          <w:rPr>
            <w:webHidden/>
          </w:rPr>
          <w:tab/>
        </w:r>
        <w:r w:rsidR="00804EEB">
          <w:rPr>
            <w:webHidden/>
          </w:rPr>
          <w:fldChar w:fldCharType="begin"/>
        </w:r>
        <w:r w:rsidR="00804EEB">
          <w:rPr>
            <w:webHidden/>
          </w:rPr>
          <w:instrText xml:space="preserve"> PAGEREF _Toc460490773 \h </w:instrText>
        </w:r>
        <w:r w:rsidR="00804EEB">
          <w:rPr>
            <w:webHidden/>
          </w:rPr>
        </w:r>
        <w:r w:rsidR="00804EEB">
          <w:rPr>
            <w:webHidden/>
          </w:rPr>
          <w:fldChar w:fldCharType="separate"/>
        </w:r>
        <w:r w:rsidR="00B61881">
          <w:rPr>
            <w:webHidden/>
          </w:rPr>
          <w:t>23</w:t>
        </w:r>
        <w:r w:rsidR="00804EEB">
          <w:rPr>
            <w:webHidden/>
          </w:rPr>
          <w:fldChar w:fldCharType="end"/>
        </w:r>
      </w:hyperlink>
    </w:p>
    <w:p w14:paraId="00AE359B"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74" w:history="1">
        <w:r w:rsidR="00804EEB" w:rsidRPr="0087424E">
          <w:rPr>
            <w:rStyle w:val="Hyperlink"/>
          </w:rPr>
          <w:t>Figure 5: Coral reef community and water quality trends in the Barron Daintree sub-region.</w:t>
        </w:r>
        <w:r w:rsidR="00804EEB">
          <w:rPr>
            <w:webHidden/>
          </w:rPr>
          <w:tab/>
        </w:r>
        <w:r w:rsidR="00804EEB">
          <w:rPr>
            <w:webHidden/>
          </w:rPr>
          <w:fldChar w:fldCharType="begin"/>
        </w:r>
        <w:r w:rsidR="00804EEB">
          <w:rPr>
            <w:webHidden/>
          </w:rPr>
          <w:instrText xml:space="preserve"> PAGEREF _Toc460490774 \h </w:instrText>
        </w:r>
        <w:r w:rsidR="00804EEB">
          <w:rPr>
            <w:webHidden/>
          </w:rPr>
        </w:r>
        <w:r w:rsidR="00804EEB">
          <w:rPr>
            <w:webHidden/>
          </w:rPr>
          <w:fldChar w:fldCharType="separate"/>
        </w:r>
        <w:r w:rsidR="00B61881">
          <w:rPr>
            <w:webHidden/>
          </w:rPr>
          <w:t>25</w:t>
        </w:r>
        <w:r w:rsidR="00804EEB">
          <w:rPr>
            <w:webHidden/>
          </w:rPr>
          <w:fldChar w:fldCharType="end"/>
        </w:r>
      </w:hyperlink>
    </w:p>
    <w:p w14:paraId="364B1F93" w14:textId="77777777" w:rsidR="00804EEB" w:rsidRDefault="00A966BF" w:rsidP="006A31B8">
      <w:pPr>
        <w:pStyle w:val="TableofFigures"/>
        <w:ind w:left="1021" w:right="284" w:hanging="1021"/>
        <w:rPr>
          <w:rFonts w:asciiTheme="minorHAnsi" w:eastAsiaTheme="minorEastAsia" w:hAnsiTheme="minorHAnsi" w:cstheme="minorBidi"/>
          <w:bCs w:val="0"/>
          <w:szCs w:val="22"/>
          <w:lang w:val="en-AU" w:eastAsia="en-AU"/>
        </w:rPr>
      </w:pPr>
      <w:hyperlink w:anchor="_Toc460490775" w:history="1">
        <w:r w:rsidR="00804EEB">
          <w:rPr>
            <w:rStyle w:val="Hyperlink"/>
          </w:rPr>
          <w:t xml:space="preserve">Figure 6: </w:t>
        </w:r>
        <w:r w:rsidR="00804EEB" w:rsidRPr="0087424E">
          <w:rPr>
            <w:rStyle w:val="Hyperlink"/>
          </w:rPr>
          <w:t>Johnstone Russell-Mulgrave sub-region reef locations, environmental conditions</w:t>
        </w:r>
        <w:r w:rsidR="006A31B8">
          <w:rPr>
            <w:rStyle w:val="Hyperlink"/>
          </w:rPr>
          <w:t xml:space="preserve"> </w:t>
        </w:r>
        <w:r w:rsidR="00804EEB" w:rsidRPr="0087424E">
          <w:rPr>
            <w:rStyle w:val="Hyperlink"/>
          </w:rPr>
          <w:t>and disturbances.</w:t>
        </w:r>
        <w:r w:rsidR="00804EEB">
          <w:rPr>
            <w:webHidden/>
          </w:rPr>
          <w:tab/>
        </w:r>
        <w:r w:rsidR="00804EEB">
          <w:rPr>
            <w:webHidden/>
          </w:rPr>
          <w:fldChar w:fldCharType="begin"/>
        </w:r>
        <w:r w:rsidR="00804EEB">
          <w:rPr>
            <w:webHidden/>
          </w:rPr>
          <w:instrText xml:space="preserve"> PAGEREF _Toc460490775 \h </w:instrText>
        </w:r>
        <w:r w:rsidR="00804EEB">
          <w:rPr>
            <w:webHidden/>
          </w:rPr>
        </w:r>
        <w:r w:rsidR="00804EEB">
          <w:rPr>
            <w:webHidden/>
          </w:rPr>
          <w:fldChar w:fldCharType="separate"/>
        </w:r>
        <w:r w:rsidR="00B61881">
          <w:rPr>
            <w:webHidden/>
          </w:rPr>
          <w:t>26</w:t>
        </w:r>
        <w:r w:rsidR="00804EEB">
          <w:rPr>
            <w:webHidden/>
          </w:rPr>
          <w:fldChar w:fldCharType="end"/>
        </w:r>
      </w:hyperlink>
    </w:p>
    <w:p w14:paraId="7B0720F1" w14:textId="77777777" w:rsidR="00804EEB" w:rsidRDefault="00A966BF" w:rsidP="006A31B8">
      <w:pPr>
        <w:pStyle w:val="TableofFigures"/>
        <w:ind w:left="1021" w:right="284" w:hanging="1021"/>
        <w:rPr>
          <w:rFonts w:asciiTheme="minorHAnsi" w:eastAsiaTheme="minorEastAsia" w:hAnsiTheme="minorHAnsi" w:cstheme="minorBidi"/>
          <w:bCs w:val="0"/>
          <w:szCs w:val="22"/>
          <w:lang w:val="en-AU" w:eastAsia="en-AU"/>
        </w:rPr>
      </w:pPr>
      <w:hyperlink w:anchor="_Toc460490776" w:history="1">
        <w:r w:rsidR="00804EEB" w:rsidRPr="0087424E">
          <w:rPr>
            <w:rStyle w:val="Hyperlink"/>
          </w:rPr>
          <w:t>Figure 7: Coral reef community and water quality trends in the Johnstone Russell-Mulgrave</w:t>
        </w:r>
        <w:r w:rsidR="00804EEB">
          <w:rPr>
            <w:rStyle w:val="Hyperlink"/>
          </w:rPr>
          <w:t xml:space="preserve">     </w:t>
        </w:r>
        <w:r w:rsidR="00804EEB" w:rsidRPr="0087424E">
          <w:rPr>
            <w:rStyle w:val="Hyperlink"/>
          </w:rPr>
          <w:t xml:space="preserve"> sub-region.</w:t>
        </w:r>
        <w:r w:rsidR="00804EEB">
          <w:rPr>
            <w:webHidden/>
          </w:rPr>
          <w:tab/>
        </w:r>
        <w:r w:rsidR="00804EEB">
          <w:rPr>
            <w:webHidden/>
          </w:rPr>
          <w:fldChar w:fldCharType="begin"/>
        </w:r>
        <w:r w:rsidR="00804EEB">
          <w:rPr>
            <w:webHidden/>
          </w:rPr>
          <w:instrText xml:space="preserve"> PAGEREF _Toc460490776 \h </w:instrText>
        </w:r>
        <w:r w:rsidR="00804EEB">
          <w:rPr>
            <w:webHidden/>
          </w:rPr>
        </w:r>
        <w:r w:rsidR="00804EEB">
          <w:rPr>
            <w:webHidden/>
          </w:rPr>
          <w:fldChar w:fldCharType="separate"/>
        </w:r>
        <w:r w:rsidR="00B61881">
          <w:rPr>
            <w:webHidden/>
          </w:rPr>
          <w:t>28</w:t>
        </w:r>
        <w:r w:rsidR="00804EEB">
          <w:rPr>
            <w:webHidden/>
          </w:rPr>
          <w:fldChar w:fldCharType="end"/>
        </w:r>
      </w:hyperlink>
    </w:p>
    <w:p w14:paraId="5B87C159"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77" w:history="1">
        <w:r w:rsidR="00804EEB" w:rsidRPr="0087424E">
          <w:rPr>
            <w:rStyle w:val="Hyperlink"/>
          </w:rPr>
          <w:t>Figure 8: Herbert Tully sub-region reef locations, environmental conditions and disturbances.</w:t>
        </w:r>
        <w:r w:rsidR="00804EEB">
          <w:rPr>
            <w:webHidden/>
          </w:rPr>
          <w:tab/>
        </w:r>
        <w:r w:rsidR="00804EEB">
          <w:rPr>
            <w:webHidden/>
          </w:rPr>
          <w:fldChar w:fldCharType="begin"/>
        </w:r>
        <w:r w:rsidR="00804EEB">
          <w:rPr>
            <w:webHidden/>
          </w:rPr>
          <w:instrText xml:space="preserve"> PAGEREF _Toc460490777 \h </w:instrText>
        </w:r>
        <w:r w:rsidR="00804EEB">
          <w:rPr>
            <w:webHidden/>
          </w:rPr>
        </w:r>
        <w:r w:rsidR="00804EEB">
          <w:rPr>
            <w:webHidden/>
          </w:rPr>
          <w:fldChar w:fldCharType="separate"/>
        </w:r>
        <w:r w:rsidR="00B61881">
          <w:rPr>
            <w:webHidden/>
          </w:rPr>
          <w:t>30</w:t>
        </w:r>
        <w:r w:rsidR="00804EEB">
          <w:rPr>
            <w:webHidden/>
          </w:rPr>
          <w:fldChar w:fldCharType="end"/>
        </w:r>
      </w:hyperlink>
    </w:p>
    <w:p w14:paraId="021160A8"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78" w:history="1">
        <w:r w:rsidR="00804EEB" w:rsidRPr="0087424E">
          <w:rPr>
            <w:rStyle w:val="Hyperlink"/>
          </w:rPr>
          <w:t>Figure 9: Coral reef community and water quality trends in the Herbert Tully sub-region.</w:t>
        </w:r>
        <w:r w:rsidR="00804EEB">
          <w:rPr>
            <w:webHidden/>
          </w:rPr>
          <w:tab/>
        </w:r>
        <w:r w:rsidR="00804EEB">
          <w:rPr>
            <w:webHidden/>
          </w:rPr>
          <w:fldChar w:fldCharType="begin"/>
        </w:r>
        <w:r w:rsidR="00804EEB">
          <w:rPr>
            <w:webHidden/>
          </w:rPr>
          <w:instrText xml:space="preserve"> PAGEREF _Toc460490778 \h </w:instrText>
        </w:r>
        <w:r w:rsidR="00804EEB">
          <w:rPr>
            <w:webHidden/>
          </w:rPr>
        </w:r>
        <w:r w:rsidR="00804EEB">
          <w:rPr>
            <w:webHidden/>
          </w:rPr>
          <w:fldChar w:fldCharType="separate"/>
        </w:r>
        <w:r w:rsidR="00B61881">
          <w:rPr>
            <w:webHidden/>
          </w:rPr>
          <w:t>32</w:t>
        </w:r>
        <w:r w:rsidR="00804EEB">
          <w:rPr>
            <w:webHidden/>
          </w:rPr>
          <w:fldChar w:fldCharType="end"/>
        </w:r>
      </w:hyperlink>
    </w:p>
    <w:p w14:paraId="6FB5C107"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79" w:history="1">
        <w:r w:rsidR="00804EEB" w:rsidRPr="0087424E">
          <w:rPr>
            <w:rStyle w:val="Hyperlink"/>
          </w:rPr>
          <w:t>Figure 10: Burdekin region reef locations, environmental conditions and disturbances</w:t>
        </w:r>
        <w:r w:rsidR="00804EEB">
          <w:rPr>
            <w:webHidden/>
          </w:rPr>
          <w:tab/>
        </w:r>
        <w:r w:rsidR="00804EEB">
          <w:rPr>
            <w:webHidden/>
          </w:rPr>
          <w:fldChar w:fldCharType="begin"/>
        </w:r>
        <w:r w:rsidR="00804EEB">
          <w:rPr>
            <w:webHidden/>
          </w:rPr>
          <w:instrText xml:space="preserve"> PAGEREF _Toc460490779 \h </w:instrText>
        </w:r>
        <w:r w:rsidR="00804EEB">
          <w:rPr>
            <w:webHidden/>
          </w:rPr>
        </w:r>
        <w:r w:rsidR="00804EEB">
          <w:rPr>
            <w:webHidden/>
          </w:rPr>
          <w:fldChar w:fldCharType="separate"/>
        </w:r>
        <w:r w:rsidR="00B61881">
          <w:rPr>
            <w:webHidden/>
          </w:rPr>
          <w:t>33</w:t>
        </w:r>
        <w:r w:rsidR="00804EEB">
          <w:rPr>
            <w:webHidden/>
          </w:rPr>
          <w:fldChar w:fldCharType="end"/>
        </w:r>
      </w:hyperlink>
    </w:p>
    <w:p w14:paraId="2ABB2BFF"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80" w:history="1">
        <w:r w:rsidR="00804EEB" w:rsidRPr="0087424E">
          <w:rPr>
            <w:rStyle w:val="Hyperlink"/>
          </w:rPr>
          <w:t>Figure 11: Coral reef community and water quality trends in the Burdekin region.</w:t>
        </w:r>
        <w:r w:rsidR="00804EEB">
          <w:rPr>
            <w:webHidden/>
          </w:rPr>
          <w:tab/>
        </w:r>
        <w:r w:rsidR="00804EEB">
          <w:rPr>
            <w:webHidden/>
          </w:rPr>
          <w:fldChar w:fldCharType="begin"/>
        </w:r>
        <w:r w:rsidR="00804EEB">
          <w:rPr>
            <w:webHidden/>
          </w:rPr>
          <w:instrText xml:space="preserve"> PAGEREF _Toc460490780 \h </w:instrText>
        </w:r>
        <w:r w:rsidR="00804EEB">
          <w:rPr>
            <w:webHidden/>
          </w:rPr>
        </w:r>
        <w:r w:rsidR="00804EEB">
          <w:rPr>
            <w:webHidden/>
          </w:rPr>
          <w:fldChar w:fldCharType="separate"/>
        </w:r>
        <w:r w:rsidR="00B61881">
          <w:rPr>
            <w:webHidden/>
          </w:rPr>
          <w:t>35</w:t>
        </w:r>
        <w:r w:rsidR="00804EEB">
          <w:rPr>
            <w:webHidden/>
          </w:rPr>
          <w:fldChar w:fldCharType="end"/>
        </w:r>
      </w:hyperlink>
    </w:p>
    <w:p w14:paraId="6993A92E" w14:textId="77777777" w:rsidR="00804EEB" w:rsidRDefault="00A966BF" w:rsidP="006A31B8">
      <w:pPr>
        <w:pStyle w:val="TableofFigures"/>
        <w:ind w:left="1021" w:right="284" w:hanging="1021"/>
        <w:jc w:val="left"/>
        <w:rPr>
          <w:rFonts w:asciiTheme="minorHAnsi" w:eastAsiaTheme="minorEastAsia" w:hAnsiTheme="minorHAnsi" w:cstheme="minorBidi"/>
          <w:bCs w:val="0"/>
          <w:szCs w:val="22"/>
          <w:lang w:val="en-AU" w:eastAsia="en-AU"/>
        </w:rPr>
      </w:pPr>
      <w:hyperlink w:anchor="_Toc460490781" w:history="1">
        <w:r w:rsidR="00804EEB" w:rsidRPr="0087424E">
          <w:rPr>
            <w:rStyle w:val="Hyperlink"/>
          </w:rPr>
          <w:t>Figure 12: Whitsunday Mackay Region reef locations, environmental conditions and disturbances</w:t>
        </w:r>
        <w:r w:rsidR="00804EEB">
          <w:rPr>
            <w:webHidden/>
          </w:rPr>
          <w:tab/>
        </w:r>
        <w:r w:rsidR="00804EEB">
          <w:rPr>
            <w:webHidden/>
          </w:rPr>
          <w:fldChar w:fldCharType="begin"/>
        </w:r>
        <w:r w:rsidR="00804EEB">
          <w:rPr>
            <w:webHidden/>
          </w:rPr>
          <w:instrText xml:space="preserve"> PAGEREF _Toc460490781 \h </w:instrText>
        </w:r>
        <w:r w:rsidR="00804EEB">
          <w:rPr>
            <w:webHidden/>
          </w:rPr>
        </w:r>
        <w:r w:rsidR="00804EEB">
          <w:rPr>
            <w:webHidden/>
          </w:rPr>
          <w:fldChar w:fldCharType="separate"/>
        </w:r>
        <w:r w:rsidR="00B61881">
          <w:rPr>
            <w:webHidden/>
          </w:rPr>
          <w:t>37</w:t>
        </w:r>
        <w:r w:rsidR="00804EEB">
          <w:rPr>
            <w:webHidden/>
          </w:rPr>
          <w:fldChar w:fldCharType="end"/>
        </w:r>
      </w:hyperlink>
    </w:p>
    <w:p w14:paraId="60CE37DB"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82" w:history="1">
        <w:r w:rsidR="00804EEB" w:rsidRPr="0087424E">
          <w:rPr>
            <w:rStyle w:val="Hyperlink"/>
          </w:rPr>
          <w:t>Figure 13: Coral reef community and water quality trends in the Mackay Whitsunday region.</w:t>
        </w:r>
        <w:r w:rsidR="00804EEB">
          <w:rPr>
            <w:webHidden/>
          </w:rPr>
          <w:tab/>
        </w:r>
        <w:r w:rsidR="00804EEB">
          <w:rPr>
            <w:webHidden/>
          </w:rPr>
          <w:fldChar w:fldCharType="begin"/>
        </w:r>
        <w:r w:rsidR="00804EEB">
          <w:rPr>
            <w:webHidden/>
          </w:rPr>
          <w:instrText xml:space="preserve"> PAGEREF _Toc460490782 \h </w:instrText>
        </w:r>
        <w:r w:rsidR="00804EEB">
          <w:rPr>
            <w:webHidden/>
          </w:rPr>
        </w:r>
        <w:r w:rsidR="00804EEB">
          <w:rPr>
            <w:webHidden/>
          </w:rPr>
          <w:fldChar w:fldCharType="separate"/>
        </w:r>
        <w:r w:rsidR="00B61881">
          <w:rPr>
            <w:webHidden/>
          </w:rPr>
          <w:t>40</w:t>
        </w:r>
        <w:r w:rsidR="00804EEB">
          <w:rPr>
            <w:webHidden/>
          </w:rPr>
          <w:fldChar w:fldCharType="end"/>
        </w:r>
      </w:hyperlink>
    </w:p>
    <w:p w14:paraId="6241A6D8"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83" w:history="1">
        <w:r w:rsidR="00804EEB" w:rsidRPr="0087424E">
          <w:rPr>
            <w:rStyle w:val="Hyperlink"/>
          </w:rPr>
          <w:t>Figure 14: Fitzroy Association Region reef locations, environmental conditions and disturbances.</w:t>
        </w:r>
        <w:r w:rsidR="00804EEB">
          <w:rPr>
            <w:webHidden/>
          </w:rPr>
          <w:tab/>
        </w:r>
        <w:r w:rsidR="00804EEB">
          <w:rPr>
            <w:webHidden/>
          </w:rPr>
          <w:fldChar w:fldCharType="begin"/>
        </w:r>
        <w:r w:rsidR="00804EEB">
          <w:rPr>
            <w:webHidden/>
          </w:rPr>
          <w:instrText xml:space="preserve"> PAGEREF _Toc460490783 \h </w:instrText>
        </w:r>
        <w:r w:rsidR="00804EEB">
          <w:rPr>
            <w:webHidden/>
          </w:rPr>
        </w:r>
        <w:r w:rsidR="00804EEB">
          <w:rPr>
            <w:webHidden/>
          </w:rPr>
          <w:fldChar w:fldCharType="separate"/>
        </w:r>
        <w:r w:rsidR="00B61881">
          <w:rPr>
            <w:webHidden/>
          </w:rPr>
          <w:t>41</w:t>
        </w:r>
        <w:r w:rsidR="00804EEB">
          <w:rPr>
            <w:webHidden/>
          </w:rPr>
          <w:fldChar w:fldCharType="end"/>
        </w:r>
      </w:hyperlink>
    </w:p>
    <w:p w14:paraId="0BAAA7F4"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84" w:history="1">
        <w:r w:rsidR="00804EEB" w:rsidRPr="0087424E">
          <w:rPr>
            <w:rStyle w:val="Hyperlink"/>
          </w:rPr>
          <w:t>Figure 15: Coral reef community and water quality trends in the Fitzroy region.</w:t>
        </w:r>
        <w:r w:rsidR="00804EEB">
          <w:rPr>
            <w:webHidden/>
          </w:rPr>
          <w:tab/>
        </w:r>
        <w:r w:rsidR="00804EEB">
          <w:rPr>
            <w:webHidden/>
          </w:rPr>
          <w:fldChar w:fldCharType="begin"/>
        </w:r>
        <w:r w:rsidR="00804EEB">
          <w:rPr>
            <w:webHidden/>
          </w:rPr>
          <w:instrText xml:space="preserve"> PAGEREF _Toc460490784 \h </w:instrText>
        </w:r>
        <w:r w:rsidR="00804EEB">
          <w:rPr>
            <w:webHidden/>
          </w:rPr>
        </w:r>
        <w:r w:rsidR="00804EEB">
          <w:rPr>
            <w:webHidden/>
          </w:rPr>
          <w:fldChar w:fldCharType="separate"/>
        </w:r>
        <w:r w:rsidR="00B61881">
          <w:rPr>
            <w:webHidden/>
          </w:rPr>
          <w:t>44</w:t>
        </w:r>
        <w:r w:rsidR="00804EEB">
          <w:rPr>
            <w:webHidden/>
          </w:rPr>
          <w:fldChar w:fldCharType="end"/>
        </w:r>
      </w:hyperlink>
    </w:p>
    <w:p w14:paraId="2CF9FC4E"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85" w:history="1">
        <w:r w:rsidR="00804EEB" w:rsidRPr="0087424E">
          <w:rPr>
            <w:rStyle w:val="Hyperlink"/>
          </w:rPr>
          <w:t>Figure 16: Macroalgae proportion relationships to environmental conditions</w:t>
        </w:r>
        <w:r w:rsidR="00804EEB">
          <w:rPr>
            <w:webHidden/>
          </w:rPr>
          <w:tab/>
        </w:r>
        <w:r w:rsidR="00804EEB">
          <w:rPr>
            <w:webHidden/>
          </w:rPr>
          <w:fldChar w:fldCharType="begin"/>
        </w:r>
        <w:r w:rsidR="00804EEB">
          <w:rPr>
            <w:webHidden/>
          </w:rPr>
          <w:instrText xml:space="preserve"> PAGEREF _Toc460490785 \h </w:instrText>
        </w:r>
        <w:r w:rsidR="00804EEB">
          <w:rPr>
            <w:webHidden/>
          </w:rPr>
        </w:r>
        <w:r w:rsidR="00804EEB">
          <w:rPr>
            <w:webHidden/>
          </w:rPr>
          <w:fldChar w:fldCharType="separate"/>
        </w:r>
        <w:r w:rsidR="00B61881">
          <w:rPr>
            <w:webHidden/>
          </w:rPr>
          <w:t>52</w:t>
        </w:r>
        <w:r w:rsidR="00804EEB">
          <w:rPr>
            <w:webHidden/>
          </w:rPr>
          <w:fldChar w:fldCharType="end"/>
        </w:r>
      </w:hyperlink>
    </w:p>
    <w:p w14:paraId="0D510CD0"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86" w:history="1">
        <w:r w:rsidR="00804EEB" w:rsidRPr="0087424E">
          <w:rPr>
            <w:rStyle w:val="Hyperlink"/>
          </w:rPr>
          <w:t xml:space="preserve">Figure 17: Scoring diagram for the </w:t>
        </w:r>
        <w:r w:rsidR="00804EEB" w:rsidRPr="0087424E">
          <w:rPr>
            <w:rStyle w:val="Hyperlink"/>
            <w:i/>
          </w:rPr>
          <w:t>MAproportion</w:t>
        </w:r>
        <w:r w:rsidR="00804EEB" w:rsidRPr="0087424E">
          <w:rPr>
            <w:rStyle w:val="Hyperlink"/>
          </w:rPr>
          <w:t xml:space="preserve"> indicator.</w:t>
        </w:r>
        <w:r w:rsidR="00804EEB">
          <w:rPr>
            <w:webHidden/>
          </w:rPr>
          <w:tab/>
        </w:r>
        <w:r w:rsidR="00804EEB">
          <w:rPr>
            <w:webHidden/>
          </w:rPr>
          <w:fldChar w:fldCharType="begin"/>
        </w:r>
        <w:r w:rsidR="00804EEB">
          <w:rPr>
            <w:webHidden/>
          </w:rPr>
          <w:instrText xml:space="preserve"> PAGEREF _Toc460490786 \h </w:instrText>
        </w:r>
        <w:r w:rsidR="00804EEB">
          <w:rPr>
            <w:webHidden/>
          </w:rPr>
        </w:r>
        <w:r w:rsidR="00804EEB">
          <w:rPr>
            <w:webHidden/>
          </w:rPr>
          <w:fldChar w:fldCharType="separate"/>
        </w:r>
        <w:r w:rsidR="00B61881">
          <w:rPr>
            <w:webHidden/>
          </w:rPr>
          <w:t>54</w:t>
        </w:r>
        <w:r w:rsidR="00804EEB">
          <w:rPr>
            <w:webHidden/>
          </w:rPr>
          <w:fldChar w:fldCharType="end"/>
        </w:r>
      </w:hyperlink>
    </w:p>
    <w:p w14:paraId="79653E2F"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87" w:history="1">
        <w:r w:rsidR="00804EEB" w:rsidRPr="0087424E">
          <w:rPr>
            <w:rStyle w:val="Hyperlink"/>
          </w:rPr>
          <w:t>Figure 18: Scoring diagram for the coral cover indicator.</w:t>
        </w:r>
        <w:r w:rsidR="00804EEB">
          <w:rPr>
            <w:webHidden/>
          </w:rPr>
          <w:tab/>
        </w:r>
        <w:r w:rsidR="00804EEB">
          <w:rPr>
            <w:webHidden/>
          </w:rPr>
          <w:fldChar w:fldCharType="begin"/>
        </w:r>
        <w:r w:rsidR="00804EEB">
          <w:rPr>
            <w:webHidden/>
          </w:rPr>
          <w:instrText xml:space="preserve"> PAGEREF _Toc460490787 \h </w:instrText>
        </w:r>
        <w:r w:rsidR="00804EEB">
          <w:rPr>
            <w:webHidden/>
          </w:rPr>
        </w:r>
        <w:r w:rsidR="00804EEB">
          <w:rPr>
            <w:webHidden/>
          </w:rPr>
          <w:fldChar w:fldCharType="separate"/>
        </w:r>
        <w:r w:rsidR="00B61881">
          <w:rPr>
            <w:webHidden/>
          </w:rPr>
          <w:t>56</w:t>
        </w:r>
        <w:r w:rsidR="00804EEB">
          <w:rPr>
            <w:webHidden/>
          </w:rPr>
          <w:fldChar w:fldCharType="end"/>
        </w:r>
      </w:hyperlink>
    </w:p>
    <w:p w14:paraId="3C0F7AE0"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88" w:history="1">
        <w:r w:rsidR="00804EEB" w:rsidRPr="0087424E">
          <w:rPr>
            <w:rStyle w:val="Hyperlink"/>
          </w:rPr>
          <w:t>Figure 19: Scoring diagram for rate of change in hard coral cover metric</w:t>
        </w:r>
        <w:r w:rsidR="00804EEB">
          <w:rPr>
            <w:webHidden/>
          </w:rPr>
          <w:tab/>
        </w:r>
        <w:r w:rsidR="00804EEB">
          <w:rPr>
            <w:webHidden/>
          </w:rPr>
          <w:fldChar w:fldCharType="begin"/>
        </w:r>
        <w:r w:rsidR="00804EEB">
          <w:rPr>
            <w:webHidden/>
          </w:rPr>
          <w:instrText xml:space="preserve"> PAGEREF _Toc460490788 \h </w:instrText>
        </w:r>
        <w:r w:rsidR="00804EEB">
          <w:rPr>
            <w:webHidden/>
          </w:rPr>
        </w:r>
        <w:r w:rsidR="00804EEB">
          <w:rPr>
            <w:webHidden/>
          </w:rPr>
          <w:fldChar w:fldCharType="separate"/>
        </w:r>
        <w:r w:rsidR="00B61881">
          <w:rPr>
            <w:webHidden/>
          </w:rPr>
          <w:t>58</w:t>
        </w:r>
        <w:r w:rsidR="00804EEB">
          <w:rPr>
            <w:webHidden/>
          </w:rPr>
          <w:fldChar w:fldCharType="end"/>
        </w:r>
      </w:hyperlink>
    </w:p>
    <w:p w14:paraId="38E9A922"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89" w:history="1">
        <w:r w:rsidR="00804EEB" w:rsidRPr="0087424E">
          <w:rPr>
            <w:rStyle w:val="Hyperlink"/>
          </w:rPr>
          <w:t>Figure 20: Relationship between juvenile density and probability of hard coral cover recovery.</w:t>
        </w:r>
        <w:r w:rsidR="00804EEB">
          <w:rPr>
            <w:webHidden/>
          </w:rPr>
          <w:tab/>
        </w:r>
        <w:r w:rsidR="00804EEB">
          <w:rPr>
            <w:webHidden/>
          </w:rPr>
          <w:fldChar w:fldCharType="begin"/>
        </w:r>
        <w:r w:rsidR="00804EEB">
          <w:rPr>
            <w:webHidden/>
          </w:rPr>
          <w:instrText xml:space="preserve"> PAGEREF _Toc460490789 \h </w:instrText>
        </w:r>
        <w:r w:rsidR="00804EEB">
          <w:rPr>
            <w:webHidden/>
          </w:rPr>
        </w:r>
        <w:r w:rsidR="00804EEB">
          <w:rPr>
            <w:webHidden/>
          </w:rPr>
          <w:fldChar w:fldCharType="separate"/>
        </w:r>
        <w:r w:rsidR="00B61881">
          <w:rPr>
            <w:webHidden/>
          </w:rPr>
          <w:t>61</w:t>
        </w:r>
        <w:r w:rsidR="00804EEB">
          <w:rPr>
            <w:webHidden/>
          </w:rPr>
          <w:fldChar w:fldCharType="end"/>
        </w:r>
      </w:hyperlink>
    </w:p>
    <w:p w14:paraId="770A5B4F"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90" w:history="1">
        <w:r w:rsidR="00804EEB" w:rsidRPr="0087424E">
          <w:rPr>
            <w:rStyle w:val="Hyperlink"/>
          </w:rPr>
          <w:t>Figure 21: Scoring diagram for Juvenile density metric.</w:t>
        </w:r>
        <w:r w:rsidR="00804EEB">
          <w:rPr>
            <w:webHidden/>
          </w:rPr>
          <w:tab/>
        </w:r>
        <w:r w:rsidR="00804EEB">
          <w:rPr>
            <w:webHidden/>
          </w:rPr>
          <w:fldChar w:fldCharType="begin"/>
        </w:r>
        <w:r w:rsidR="00804EEB">
          <w:rPr>
            <w:webHidden/>
          </w:rPr>
          <w:instrText xml:space="preserve"> PAGEREF _Toc460490790 \h </w:instrText>
        </w:r>
        <w:r w:rsidR="00804EEB">
          <w:rPr>
            <w:webHidden/>
          </w:rPr>
        </w:r>
        <w:r w:rsidR="00804EEB">
          <w:rPr>
            <w:webHidden/>
          </w:rPr>
          <w:fldChar w:fldCharType="separate"/>
        </w:r>
        <w:r w:rsidR="00B61881">
          <w:rPr>
            <w:webHidden/>
          </w:rPr>
          <w:t>62</w:t>
        </w:r>
        <w:r w:rsidR="00804EEB">
          <w:rPr>
            <w:webHidden/>
          </w:rPr>
          <w:fldChar w:fldCharType="end"/>
        </w:r>
      </w:hyperlink>
    </w:p>
    <w:p w14:paraId="635DDD5C"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91" w:history="1">
        <w:r w:rsidR="00804EEB" w:rsidRPr="0087424E">
          <w:rPr>
            <w:rStyle w:val="Hyperlink"/>
          </w:rPr>
          <w:t>Figure 22: Scoring diagram for community composition indicator metric.</w:t>
        </w:r>
        <w:r w:rsidR="00804EEB">
          <w:rPr>
            <w:webHidden/>
          </w:rPr>
          <w:tab/>
        </w:r>
        <w:r w:rsidR="00804EEB">
          <w:rPr>
            <w:webHidden/>
          </w:rPr>
          <w:fldChar w:fldCharType="begin"/>
        </w:r>
        <w:r w:rsidR="00804EEB">
          <w:rPr>
            <w:webHidden/>
          </w:rPr>
          <w:instrText xml:space="preserve"> PAGEREF _Toc460490791 \h </w:instrText>
        </w:r>
        <w:r w:rsidR="00804EEB">
          <w:rPr>
            <w:webHidden/>
          </w:rPr>
        </w:r>
        <w:r w:rsidR="00804EEB">
          <w:rPr>
            <w:webHidden/>
          </w:rPr>
          <w:fldChar w:fldCharType="separate"/>
        </w:r>
        <w:r w:rsidR="00B61881">
          <w:rPr>
            <w:webHidden/>
          </w:rPr>
          <w:t>65</w:t>
        </w:r>
        <w:r w:rsidR="00804EEB">
          <w:rPr>
            <w:webHidden/>
          </w:rPr>
          <w:fldChar w:fldCharType="end"/>
        </w:r>
      </w:hyperlink>
    </w:p>
    <w:p w14:paraId="2301EF69" w14:textId="77777777" w:rsidR="00804EEB" w:rsidRDefault="00A966BF">
      <w:pPr>
        <w:pStyle w:val="TableofFigures"/>
        <w:rPr>
          <w:rFonts w:asciiTheme="minorHAnsi" w:eastAsiaTheme="minorEastAsia" w:hAnsiTheme="minorHAnsi" w:cstheme="minorBidi"/>
          <w:bCs w:val="0"/>
          <w:szCs w:val="22"/>
          <w:lang w:val="en-AU" w:eastAsia="en-AU"/>
        </w:rPr>
      </w:pPr>
      <w:hyperlink w:anchor="_Toc460490792" w:history="1">
        <w:r w:rsidR="00804EEB" w:rsidRPr="0087424E">
          <w:rPr>
            <w:rStyle w:val="Hyperlink"/>
          </w:rPr>
          <w:t>Figure 23: Comparison between the revised and original coral index scoring systems.</w:t>
        </w:r>
        <w:r w:rsidR="00804EEB">
          <w:rPr>
            <w:webHidden/>
          </w:rPr>
          <w:tab/>
        </w:r>
        <w:r w:rsidR="00804EEB">
          <w:rPr>
            <w:webHidden/>
          </w:rPr>
          <w:fldChar w:fldCharType="begin"/>
        </w:r>
        <w:r w:rsidR="00804EEB">
          <w:rPr>
            <w:webHidden/>
          </w:rPr>
          <w:instrText xml:space="preserve"> PAGEREF _Toc460490792 \h </w:instrText>
        </w:r>
        <w:r w:rsidR="00804EEB">
          <w:rPr>
            <w:webHidden/>
          </w:rPr>
        </w:r>
        <w:r w:rsidR="00804EEB">
          <w:rPr>
            <w:webHidden/>
          </w:rPr>
          <w:fldChar w:fldCharType="separate"/>
        </w:r>
        <w:r w:rsidR="00B61881">
          <w:rPr>
            <w:webHidden/>
          </w:rPr>
          <w:t>68</w:t>
        </w:r>
        <w:r w:rsidR="00804EEB">
          <w:rPr>
            <w:webHidden/>
          </w:rPr>
          <w:fldChar w:fldCharType="end"/>
        </w:r>
      </w:hyperlink>
    </w:p>
    <w:p w14:paraId="1C4A5295" w14:textId="77777777" w:rsidR="00361331" w:rsidRPr="006D0A76" w:rsidRDefault="004F0242" w:rsidP="0026052F">
      <w:pPr>
        <w:ind w:right="284"/>
        <w:rPr>
          <w:rFonts w:cs="Arial"/>
          <w:bCs/>
          <w:color w:val="0070C0"/>
          <w:szCs w:val="22"/>
        </w:rPr>
      </w:pPr>
      <w:r w:rsidRPr="006D0A76">
        <w:rPr>
          <w:rFonts w:cs="Arial"/>
          <w:bCs/>
          <w:color w:val="0070C0"/>
          <w:szCs w:val="22"/>
        </w:rPr>
        <w:fldChar w:fldCharType="end"/>
      </w:r>
    </w:p>
    <w:p w14:paraId="6A4EE3E3" w14:textId="77777777" w:rsidR="002928A4" w:rsidRDefault="0026052F">
      <w:pPr>
        <w:pStyle w:val="TableofFigures"/>
        <w:rPr>
          <w:rFonts w:asciiTheme="minorHAnsi" w:eastAsiaTheme="minorEastAsia" w:hAnsiTheme="minorHAnsi" w:cstheme="minorBidi"/>
          <w:bCs w:val="0"/>
          <w:szCs w:val="22"/>
          <w:lang w:val="en-AU" w:eastAsia="en-AU"/>
        </w:rPr>
      </w:pPr>
      <w:r>
        <w:rPr>
          <w:color w:val="0070C0"/>
        </w:rPr>
        <w:fldChar w:fldCharType="begin"/>
      </w:r>
      <w:r>
        <w:rPr>
          <w:color w:val="0070C0"/>
        </w:rPr>
        <w:instrText xml:space="preserve"> TOC \h \z \c "Table" </w:instrText>
      </w:r>
      <w:r>
        <w:rPr>
          <w:color w:val="0070C0"/>
        </w:rPr>
        <w:fldChar w:fldCharType="separate"/>
      </w:r>
      <w:hyperlink w:anchor="_Toc453855048" w:history="1">
        <w:r w:rsidR="002928A4" w:rsidRPr="00E9713F">
          <w:rPr>
            <w:rStyle w:val="Hyperlink"/>
          </w:rPr>
          <w:t>Table 1: Sampling locations..</w:t>
        </w:r>
        <w:r w:rsidR="002928A4">
          <w:rPr>
            <w:webHidden/>
          </w:rPr>
          <w:tab/>
        </w:r>
        <w:r w:rsidR="002928A4">
          <w:rPr>
            <w:webHidden/>
          </w:rPr>
          <w:fldChar w:fldCharType="begin"/>
        </w:r>
        <w:r w:rsidR="002928A4">
          <w:rPr>
            <w:webHidden/>
          </w:rPr>
          <w:instrText xml:space="preserve"> PAGEREF _Toc453855048 \h </w:instrText>
        </w:r>
        <w:r w:rsidR="002928A4">
          <w:rPr>
            <w:webHidden/>
          </w:rPr>
        </w:r>
        <w:r w:rsidR="002928A4">
          <w:rPr>
            <w:webHidden/>
          </w:rPr>
          <w:fldChar w:fldCharType="separate"/>
        </w:r>
        <w:r w:rsidR="00B61881">
          <w:rPr>
            <w:webHidden/>
          </w:rPr>
          <w:t>13</w:t>
        </w:r>
        <w:r w:rsidR="002928A4">
          <w:rPr>
            <w:webHidden/>
          </w:rPr>
          <w:fldChar w:fldCharType="end"/>
        </w:r>
      </w:hyperlink>
    </w:p>
    <w:p w14:paraId="6F89596C" w14:textId="77777777" w:rsidR="002928A4" w:rsidRDefault="00A966BF">
      <w:pPr>
        <w:pStyle w:val="TableofFigures"/>
        <w:rPr>
          <w:rFonts w:asciiTheme="minorHAnsi" w:eastAsiaTheme="minorEastAsia" w:hAnsiTheme="minorHAnsi" w:cstheme="minorBidi"/>
          <w:bCs w:val="0"/>
          <w:szCs w:val="22"/>
          <w:lang w:val="en-AU" w:eastAsia="en-AU"/>
        </w:rPr>
      </w:pPr>
      <w:hyperlink w:anchor="_Toc453855049" w:history="1">
        <w:r w:rsidR="002928A4" w:rsidRPr="00E9713F">
          <w:rPr>
            <w:rStyle w:val="Hyperlink"/>
          </w:rPr>
          <w:t>Table 2: Summary of coral community sampling methods.</w:t>
        </w:r>
        <w:r w:rsidR="002928A4">
          <w:rPr>
            <w:webHidden/>
          </w:rPr>
          <w:tab/>
        </w:r>
        <w:r w:rsidR="002928A4">
          <w:rPr>
            <w:webHidden/>
          </w:rPr>
          <w:fldChar w:fldCharType="begin"/>
        </w:r>
        <w:r w:rsidR="002928A4">
          <w:rPr>
            <w:webHidden/>
          </w:rPr>
          <w:instrText xml:space="preserve"> PAGEREF _Toc453855049 \h </w:instrText>
        </w:r>
        <w:r w:rsidR="002928A4">
          <w:rPr>
            <w:webHidden/>
          </w:rPr>
        </w:r>
        <w:r w:rsidR="002928A4">
          <w:rPr>
            <w:webHidden/>
          </w:rPr>
          <w:fldChar w:fldCharType="separate"/>
        </w:r>
        <w:r w:rsidR="00B61881">
          <w:rPr>
            <w:webHidden/>
          </w:rPr>
          <w:t>14</w:t>
        </w:r>
        <w:r w:rsidR="002928A4">
          <w:rPr>
            <w:webHidden/>
          </w:rPr>
          <w:fldChar w:fldCharType="end"/>
        </w:r>
      </w:hyperlink>
    </w:p>
    <w:p w14:paraId="03387BE6" w14:textId="77777777" w:rsidR="002928A4" w:rsidRDefault="00A966BF">
      <w:pPr>
        <w:pStyle w:val="TableofFigures"/>
        <w:rPr>
          <w:rFonts w:asciiTheme="minorHAnsi" w:eastAsiaTheme="minorEastAsia" w:hAnsiTheme="minorHAnsi" w:cstheme="minorBidi"/>
          <w:bCs w:val="0"/>
          <w:szCs w:val="22"/>
          <w:lang w:val="en-AU" w:eastAsia="en-AU"/>
        </w:rPr>
      </w:pPr>
      <w:hyperlink w:anchor="_Toc453855050" w:history="1">
        <w:r w:rsidR="002928A4" w:rsidRPr="00E9713F">
          <w:rPr>
            <w:rStyle w:val="Hyperlink"/>
          </w:rPr>
          <w:t>Table 3: Categorisation of disturbances</w:t>
        </w:r>
        <w:r w:rsidR="002928A4">
          <w:rPr>
            <w:webHidden/>
          </w:rPr>
          <w:tab/>
        </w:r>
        <w:r w:rsidR="002928A4">
          <w:rPr>
            <w:webHidden/>
          </w:rPr>
          <w:fldChar w:fldCharType="begin"/>
        </w:r>
        <w:r w:rsidR="002928A4">
          <w:rPr>
            <w:webHidden/>
          </w:rPr>
          <w:instrText xml:space="preserve"> PAGEREF _Toc453855050 \h </w:instrText>
        </w:r>
        <w:r w:rsidR="002928A4">
          <w:rPr>
            <w:webHidden/>
          </w:rPr>
        </w:r>
        <w:r w:rsidR="002928A4">
          <w:rPr>
            <w:webHidden/>
          </w:rPr>
          <w:fldChar w:fldCharType="separate"/>
        </w:r>
        <w:r w:rsidR="00B61881">
          <w:rPr>
            <w:webHidden/>
          </w:rPr>
          <w:t>21</w:t>
        </w:r>
        <w:r w:rsidR="002928A4">
          <w:rPr>
            <w:webHidden/>
          </w:rPr>
          <w:fldChar w:fldCharType="end"/>
        </w:r>
      </w:hyperlink>
    </w:p>
    <w:p w14:paraId="28F5DD2E" w14:textId="77777777" w:rsidR="002928A4" w:rsidRDefault="00A966BF">
      <w:pPr>
        <w:pStyle w:val="TableofFigures"/>
        <w:rPr>
          <w:rFonts w:asciiTheme="minorHAnsi" w:eastAsiaTheme="minorEastAsia" w:hAnsiTheme="minorHAnsi" w:cstheme="minorBidi"/>
          <w:bCs w:val="0"/>
          <w:szCs w:val="22"/>
          <w:lang w:val="en-AU" w:eastAsia="en-AU"/>
        </w:rPr>
      </w:pPr>
      <w:hyperlink w:anchor="_Toc453855051" w:history="1">
        <w:r w:rsidR="002928A4" w:rsidRPr="00E9713F">
          <w:rPr>
            <w:rStyle w:val="Hyperlink"/>
          </w:rPr>
          <w:t>Table 4: Thresholds for proportion of macroalgae in the algae communities.</w:t>
        </w:r>
        <w:r w:rsidR="002928A4">
          <w:rPr>
            <w:webHidden/>
          </w:rPr>
          <w:tab/>
        </w:r>
        <w:r w:rsidR="002928A4">
          <w:rPr>
            <w:webHidden/>
          </w:rPr>
          <w:fldChar w:fldCharType="begin"/>
        </w:r>
        <w:r w:rsidR="002928A4">
          <w:rPr>
            <w:webHidden/>
          </w:rPr>
          <w:instrText xml:space="preserve"> PAGEREF _Toc453855051 \h </w:instrText>
        </w:r>
        <w:r w:rsidR="002928A4">
          <w:rPr>
            <w:webHidden/>
          </w:rPr>
        </w:r>
        <w:r w:rsidR="002928A4">
          <w:rPr>
            <w:webHidden/>
          </w:rPr>
          <w:fldChar w:fldCharType="separate"/>
        </w:r>
        <w:r w:rsidR="00B61881">
          <w:rPr>
            <w:webHidden/>
          </w:rPr>
          <w:t>53</w:t>
        </w:r>
        <w:r w:rsidR="002928A4">
          <w:rPr>
            <w:webHidden/>
          </w:rPr>
          <w:fldChar w:fldCharType="end"/>
        </w:r>
      </w:hyperlink>
    </w:p>
    <w:p w14:paraId="7B32F125" w14:textId="77777777" w:rsidR="002928A4" w:rsidRDefault="00A966BF">
      <w:pPr>
        <w:pStyle w:val="TableofFigures"/>
        <w:rPr>
          <w:rFonts w:asciiTheme="minorHAnsi" w:eastAsiaTheme="minorEastAsia" w:hAnsiTheme="minorHAnsi" w:cstheme="minorBidi"/>
          <w:bCs w:val="0"/>
          <w:szCs w:val="22"/>
          <w:lang w:val="en-AU" w:eastAsia="en-AU"/>
        </w:rPr>
      </w:pPr>
      <w:hyperlink w:anchor="_Toc453855052" w:history="1">
        <w:r w:rsidR="002928A4" w:rsidRPr="00E9713F">
          <w:rPr>
            <w:rStyle w:val="Hyperlink"/>
          </w:rPr>
          <w:t>Table 5: Source of variables required for estimation of the rate of change indicator</w:t>
        </w:r>
        <w:r w:rsidR="002928A4">
          <w:rPr>
            <w:webHidden/>
          </w:rPr>
          <w:tab/>
        </w:r>
        <w:r w:rsidR="002928A4">
          <w:rPr>
            <w:webHidden/>
          </w:rPr>
          <w:fldChar w:fldCharType="begin"/>
        </w:r>
        <w:r w:rsidR="002928A4">
          <w:rPr>
            <w:webHidden/>
          </w:rPr>
          <w:instrText xml:space="preserve"> PAGEREF _Toc453855052 \h </w:instrText>
        </w:r>
        <w:r w:rsidR="002928A4">
          <w:rPr>
            <w:webHidden/>
          </w:rPr>
        </w:r>
        <w:r w:rsidR="002928A4">
          <w:rPr>
            <w:webHidden/>
          </w:rPr>
          <w:fldChar w:fldCharType="separate"/>
        </w:r>
        <w:r w:rsidR="00B61881">
          <w:rPr>
            <w:webHidden/>
          </w:rPr>
          <w:t>59</w:t>
        </w:r>
        <w:r w:rsidR="002928A4">
          <w:rPr>
            <w:webHidden/>
          </w:rPr>
          <w:fldChar w:fldCharType="end"/>
        </w:r>
      </w:hyperlink>
    </w:p>
    <w:p w14:paraId="6C5A1B90" w14:textId="77777777" w:rsidR="002928A4" w:rsidRDefault="00A966BF">
      <w:pPr>
        <w:pStyle w:val="TableofFigures"/>
        <w:rPr>
          <w:rFonts w:asciiTheme="minorHAnsi" w:eastAsiaTheme="minorEastAsia" w:hAnsiTheme="minorHAnsi" w:cstheme="minorBidi"/>
          <w:bCs w:val="0"/>
          <w:szCs w:val="22"/>
          <w:lang w:val="en-AU" w:eastAsia="en-AU"/>
        </w:rPr>
      </w:pPr>
      <w:hyperlink w:anchor="_Toc453855053" w:history="1">
        <w:r w:rsidR="002928A4" w:rsidRPr="00E9713F">
          <w:rPr>
            <w:rStyle w:val="Hyperlink"/>
          </w:rPr>
          <w:t>Table 6: Genus group scores along constrained water quality axis at each depth</w:t>
        </w:r>
        <w:r w:rsidR="002928A4">
          <w:rPr>
            <w:webHidden/>
          </w:rPr>
          <w:tab/>
        </w:r>
        <w:r w:rsidR="002928A4">
          <w:rPr>
            <w:webHidden/>
          </w:rPr>
          <w:fldChar w:fldCharType="begin"/>
        </w:r>
        <w:r w:rsidR="002928A4">
          <w:rPr>
            <w:webHidden/>
          </w:rPr>
          <w:instrText xml:space="preserve"> PAGEREF _Toc453855053 \h </w:instrText>
        </w:r>
        <w:r w:rsidR="002928A4">
          <w:rPr>
            <w:webHidden/>
          </w:rPr>
        </w:r>
        <w:r w:rsidR="002928A4">
          <w:rPr>
            <w:webHidden/>
          </w:rPr>
          <w:fldChar w:fldCharType="separate"/>
        </w:r>
        <w:r w:rsidR="00B61881">
          <w:rPr>
            <w:webHidden/>
          </w:rPr>
          <w:t>64</w:t>
        </w:r>
        <w:r w:rsidR="002928A4">
          <w:rPr>
            <w:webHidden/>
          </w:rPr>
          <w:fldChar w:fldCharType="end"/>
        </w:r>
      </w:hyperlink>
    </w:p>
    <w:p w14:paraId="57E05EB8" w14:textId="77777777" w:rsidR="002928A4" w:rsidRDefault="00A966BF">
      <w:pPr>
        <w:pStyle w:val="TableofFigures"/>
        <w:rPr>
          <w:rFonts w:asciiTheme="minorHAnsi" w:eastAsiaTheme="minorEastAsia" w:hAnsiTheme="minorHAnsi" w:cstheme="minorBidi"/>
          <w:bCs w:val="0"/>
          <w:szCs w:val="22"/>
          <w:lang w:val="en-AU" w:eastAsia="en-AU"/>
        </w:rPr>
      </w:pPr>
      <w:hyperlink w:anchor="_Toc453855054" w:history="1">
        <w:r w:rsidR="002928A4" w:rsidRPr="00E9713F">
          <w:rPr>
            <w:rStyle w:val="Hyperlink"/>
          </w:rPr>
          <w:t>Table 7: Threshold values for the coral index metrics</w:t>
        </w:r>
        <w:r w:rsidR="002928A4">
          <w:rPr>
            <w:webHidden/>
          </w:rPr>
          <w:tab/>
        </w:r>
        <w:r w:rsidR="002928A4">
          <w:rPr>
            <w:webHidden/>
          </w:rPr>
          <w:fldChar w:fldCharType="begin"/>
        </w:r>
        <w:r w:rsidR="002928A4">
          <w:rPr>
            <w:webHidden/>
          </w:rPr>
          <w:instrText xml:space="preserve"> PAGEREF _Toc453855054 \h </w:instrText>
        </w:r>
        <w:r w:rsidR="002928A4">
          <w:rPr>
            <w:webHidden/>
          </w:rPr>
        </w:r>
        <w:r w:rsidR="002928A4">
          <w:rPr>
            <w:webHidden/>
          </w:rPr>
          <w:fldChar w:fldCharType="separate"/>
        </w:r>
        <w:r w:rsidR="00B61881">
          <w:rPr>
            <w:webHidden/>
          </w:rPr>
          <w:t>67</w:t>
        </w:r>
        <w:r w:rsidR="002928A4">
          <w:rPr>
            <w:webHidden/>
          </w:rPr>
          <w:fldChar w:fldCharType="end"/>
        </w:r>
      </w:hyperlink>
    </w:p>
    <w:p w14:paraId="559E98FA" w14:textId="77777777" w:rsidR="00F63B2F" w:rsidRDefault="0026052F" w:rsidP="0026052F">
      <w:pPr>
        <w:ind w:right="340"/>
        <w:rPr>
          <w:color w:val="0070C0"/>
        </w:rPr>
      </w:pPr>
      <w:r>
        <w:rPr>
          <w:rFonts w:eastAsiaTheme="majorEastAsia" w:cs="Arial"/>
          <w:noProof/>
          <w:color w:val="0070C0"/>
        </w:rPr>
        <w:fldChar w:fldCharType="end"/>
      </w:r>
    </w:p>
    <w:p w14:paraId="405F8A62" w14:textId="77777777" w:rsidR="00F63B2F" w:rsidRDefault="00F63B2F" w:rsidP="00F63B2F">
      <w:r>
        <w:br w:type="page"/>
      </w:r>
    </w:p>
    <w:p w14:paraId="2C4CAA18" w14:textId="77777777" w:rsidR="004F0242" w:rsidRDefault="004F0242">
      <w:pPr>
        <w:rPr>
          <w:color w:val="0070C0"/>
        </w:rPr>
      </w:pPr>
    </w:p>
    <w:p w14:paraId="1426220E" w14:textId="77777777" w:rsidR="006E3C16" w:rsidRPr="00F352CD" w:rsidRDefault="006E3C16" w:rsidP="00F352CD">
      <w:pPr>
        <w:rPr>
          <w:b/>
          <w:i/>
          <w:sz w:val="32"/>
        </w:rPr>
      </w:pPr>
      <w:r w:rsidRPr="00F352CD">
        <w:rPr>
          <w:b/>
          <w:i/>
          <w:sz w:val="32"/>
        </w:rPr>
        <w:t>List of Figures and Tables – Appendices</w:t>
      </w:r>
    </w:p>
    <w:bookmarkStart w:id="6" w:name="_List_of_Figures"/>
    <w:bookmarkStart w:id="7" w:name="_Toc330115298"/>
    <w:bookmarkStart w:id="8" w:name="_Toc330177377"/>
    <w:bookmarkStart w:id="9" w:name="_Toc330177721"/>
    <w:bookmarkStart w:id="10" w:name="_Toc330191319"/>
    <w:bookmarkStart w:id="11" w:name="_Toc330281932"/>
    <w:bookmarkStart w:id="12" w:name="_Toc437424398"/>
    <w:bookmarkStart w:id="13" w:name="_Toc437424522"/>
    <w:bookmarkStart w:id="14" w:name="_Toc437432452"/>
    <w:bookmarkStart w:id="15" w:name="_Toc437432525"/>
    <w:bookmarkEnd w:id="6"/>
    <w:p w14:paraId="15F52391" w14:textId="77777777" w:rsidR="006A31B8" w:rsidRDefault="006A31B8" w:rsidP="006A31B8">
      <w:pPr>
        <w:pStyle w:val="TableofFigures"/>
        <w:ind w:left="1021" w:right="284" w:hanging="1021"/>
        <w:rPr>
          <w:rFonts w:asciiTheme="minorHAnsi" w:eastAsiaTheme="minorEastAsia" w:hAnsiTheme="minorHAnsi" w:cstheme="minorBidi"/>
          <w:bCs w:val="0"/>
          <w:szCs w:val="22"/>
          <w:lang w:val="en-AU" w:eastAsia="en-AU"/>
        </w:rPr>
      </w:pPr>
      <w:r>
        <w:rPr>
          <w:sz w:val="24"/>
        </w:rPr>
        <w:fldChar w:fldCharType="begin"/>
      </w:r>
      <w:r>
        <w:rPr>
          <w:sz w:val="24"/>
        </w:rPr>
        <w:instrText xml:space="preserve"> TOC \h \z \c "Figure A" </w:instrText>
      </w:r>
      <w:r>
        <w:rPr>
          <w:sz w:val="24"/>
        </w:rPr>
        <w:fldChar w:fldCharType="separate"/>
      </w:r>
      <w:hyperlink w:anchor="_Toc460491398" w:history="1">
        <w:r w:rsidRPr="009636A9">
          <w:rPr>
            <w:rStyle w:val="Hyperlink"/>
          </w:rPr>
          <w:t>Figure A 1: Cover of major benthic groups and density of hard coral juveniles at reefs in the Daintree sub-region.</w:t>
        </w:r>
        <w:r>
          <w:rPr>
            <w:webHidden/>
          </w:rPr>
          <w:tab/>
        </w:r>
        <w:r>
          <w:rPr>
            <w:webHidden/>
          </w:rPr>
          <w:fldChar w:fldCharType="begin"/>
        </w:r>
        <w:r>
          <w:rPr>
            <w:webHidden/>
          </w:rPr>
          <w:instrText xml:space="preserve"> PAGEREF _Toc460491398 \h </w:instrText>
        </w:r>
        <w:r>
          <w:rPr>
            <w:webHidden/>
          </w:rPr>
        </w:r>
        <w:r>
          <w:rPr>
            <w:webHidden/>
          </w:rPr>
          <w:fldChar w:fldCharType="separate"/>
        </w:r>
        <w:r w:rsidR="00B61881">
          <w:rPr>
            <w:webHidden/>
          </w:rPr>
          <w:t>96</w:t>
        </w:r>
        <w:r>
          <w:rPr>
            <w:webHidden/>
          </w:rPr>
          <w:fldChar w:fldCharType="end"/>
        </w:r>
      </w:hyperlink>
    </w:p>
    <w:p w14:paraId="78623927" w14:textId="77777777" w:rsidR="006A31B8" w:rsidRDefault="00A966BF" w:rsidP="006A31B8">
      <w:pPr>
        <w:pStyle w:val="TableofFigures"/>
        <w:ind w:left="1021" w:right="284" w:hanging="1021"/>
        <w:rPr>
          <w:rFonts w:asciiTheme="minorHAnsi" w:eastAsiaTheme="minorEastAsia" w:hAnsiTheme="minorHAnsi" w:cstheme="minorBidi"/>
          <w:bCs w:val="0"/>
          <w:szCs w:val="22"/>
          <w:lang w:val="en-AU" w:eastAsia="en-AU"/>
        </w:rPr>
      </w:pPr>
      <w:hyperlink w:anchor="_Toc460491399" w:history="1">
        <w:r w:rsidR="006A31B8" w:rsidRPr="009636A9">
          <w:rPr>
            <w:rStyle w:val="Hyperlink"/>
          </w:rPr>
          <w:t>Figure A 2: Cover of major benthic groups and density of hard coral juveniles at reefs in the Johnstone sub-region..</w:t>
        </w:r>
        <w:r w:rsidR="006A31B8">
          <w:rPr>
            <w:webHidden/>
          </w:rPr>
          <w:tab/>
        </w:r>
        <w:r w:rsidR="006A31B8">
          <w:rPr>
            <w:webHidden/>
          </w:rPr>
          <w:fldChar w:fldCharType="begin"/>
        </w:r>
        <w:r w:rsidR="006A31B8">
          <w:rPr>
            <w:webHidden/>
          </w:rPr>
          <w:instrText xml:space="preserve"> PAGEREF _Toc460491399 \h </w:instrText>
        </w:r>
        <w:r w:rsidR="006A31B8">
          <w:rPr>
            <w:webHidden/>
          </w:rPr>
        </w:r>
        <w:r w:rsidR="006A31B8">
          <w:rPr>
            <w:webHidden/>
          </w:rPr>
          <w:fldChar w:fldCharType="separate"/>
        </w:r>
        <w:r w:rsidR="00B61881">
          <w:rPr>
            <w:webHidden/>
          </w:rPr>
          <w:t>97</w:t>
        </w:r>
        <w:r w:rsidR="006A31B8">
          <w:rPr>
            <w:webHidden/>
          </w:rPr>
          <w:fldChar w:fldCharType="end"/>
        </w:r>
      </w:hyperlink>
    </w:p>
    <w:p w14:paraId="6B37984F" w14:textId="77777777" w:rsidR="006A31B8" w:rsidRDefault="00A966BF" w:rsidP="006A31B8">
      <w:pPr>
        <w:pStyle w:val="TableofFigures"/>
        <w:ind w:left="1021" w:right="284" w:hanging="1021"/>
        <w:rPr>
          <w:rFonts w:asciiTheme="minorHAnsi" w:eastAsiaTheme="minorEastAsia" w:hAnsiTheme="minorHAnsi" w:cstheme="minorBidi"/>
          <w:bCs w:val="0"/>
          <w:szCs w:val="22"/>
          <w:lang w:val="en-AU" w:eastAsia="en-AU"/>
        </w:rPr>
      </w:pPr>
      <w:hyperlink w:anchor="_Toc460491400" w:history="1">
        <w:r w:rsidR="006A31B8" w:rsidRPr="009636A9">
          <w:rPr>
            <w:rStyle w:val="Hyperlink"/>
          </w:rPr>
          <w:t>Figure A 3: Cover of major benthic groups and density of hard coral juveniles at reefs in the Tully sub- region.</w:t>
        </w:r>
        <w:r w:rsidR="006A31B8">
          <w:rPr>
            <w:webHidden/>
          </w:rPr>
          <w:tab/>
        </w:r>
        <w:r w:rsidR="006A31B8">
          <w:rPr>
            <w:webHidden/>
          </w:rPr>
          <w:fldChar w:fldCharType="begin"/>
        </w:r>
        <w:r w:rsidR="006A31B8">
          <w:rPr>
            <w:webHidden/>
          </w:rPr>
          <w:instrText xml:space="preserve"> PAGEREF _Toc460491400 \h </w:instrText>
        </w:r>
        <w:r w:rsidR="006A31B8">
          <w:rPr>
            <w:webHidden/>
          </w:rPr>
        </w:r>
        <w:r w:rsidR="006A31B8">
          <w:rPr>
            <w:webHidden/>
          </w:rPr>
          <w:fldChar w:fldCharType="separate"/>
        </w:r>
        <w:r w:rsidR="00B61881">
          <w:rPr>
            <w:webHidden/>
          </w:rPr>
          <w:t>100</w:t>
        </w:r>
        <w:r w:rsidR="006A31B8">
          <w:rPr>
            <w:webHidden/>
          </w:rPr>
          <w:fldChar w:fldCharType="end"/>
        </w:r>
      </w:hyperlink>
    </w:p>
    <w:p w14:paraId="4EDAF460" w14:textId="77777777" w:rsidR="006A31B8" w:rsidRDefault="00A966BF" w:rsidP="006A31B8">
      <w:pPr>
        <w:pStyle w:val="TableofFigures"/>
        <w:ind w:left="1021" w:right="284" w:hanging="1021"/>
        <w:rPr>
          <w:rFonts w:asciiTheme="minorHAnsi" w:eastAsiaTheme="minorEastAsia" w:hAnsiTheme="minorHAnsi" w:cstheme="minorBidi"/>
          <w:bCs w:val="0"/>
          <w:szCs w:val="22"/>
          <w:lang w:val="en-AU" w:eastAsia="en-AU"/>
        </w:rPr>
      </w:pPr>
      <w:hyperlink w:anchor="_Toc460491401" w:history="1">
        <w:r w:rsidR="006A31B8" w:rsidRPr="009636A9">
          <w:rPr>
            <w:rStyle w:val="Hyperlink"/>
          </w:rPr>
          <w:t>Figure A 4: Cover of major benthic groups and density of hard coral juveniles at reefs in the Burdekin region.</w:t>
        </w:r>
        <w:r w:rsidR="006A31B8">
          <w:rPr>
            <w:webHidden/>
          </w:rPr>
          <w:tab/>
        </w:r>
        <w:r w:rsidR="006A31B8">
          <w:rPr>
            <w:webHidden/>
          </w:rPr>
          <w:fldChar w:fldCharType="begin"/>
        </w:r>
        <w:r w:rsidR="006A31B8">
          <w:rPr>
            <w:webHidden/>
          </w:rPr>
          <w:instrText xml:space="preserve"> PAGEREF _Toc460491401 \h </w:instrText>
        </w:r>
        <w:r w:rsidR="006A31B8">
          <w:rPr>
            <w:webHidden/>
          </w:rPr>
        </w:r>
        <w:r w:rsidR="006A31B8">
          <w:rPr>
            <w:webHidden/>
          </w:rPr>
          <w:fldChar w:fldCharType="separate"/>
        </w:r>
        <w:r w:rsidR="00B61881">
          <w:rPr>
            <w:webHidden/>
          </w:rPr>
          <w:t>102</w:t>
        </w:r>
        <w:r w:rsidR="006A31B8">
          <w:rPr>
            <w:webHidden/>
          </w:rPr>
          <w:fldChar w:fldCharType="end"/>
        </w:r>
      </w:hyperlink>
    </w:p>
    <w:p w14:paraId="40DDF372" w14:textId="77777777" w:rsidR="006A31B8" w:rsidRDefault="00A966BF" w:rsidP="006A31B8">
      <w:pPr>
        <w:pStyle w:val="TableofFigures"/>
        <w:ind w:left="1021" w:right="284" w:hanging="1021"/>
        <w:rPr>
          <w:rFonts w:asciiTheme="minorHAnsi" w:eastAsiaTheme="minorEastAsia" w:hAnsiTheme="minorHAnsi" w:cstheme="minorBidi"/>
          <w:bCs w:val="0"/>
          <w:szCs w:val="22"/>
          <w:lang w:val="en-AU" w:eastAsia="en-AU"/>
        </w:rPr>
      </w:pPr>
      <w:hyperlink w:anchor="_Toc460491402" w:history="1">
        <w:r w:rsidR="006A31B8" w:rsidRPr="009636A9">
          <w:rPr>
            <w:rStyle w:val="Hyperlink"/>
          </w:rPr>
          <w:t>Figure A 5: Cover of major benthic groups and density of hard coral juveniles at reefs in the Mackay Whitsunday region.</w:t>
        </w:r>
        <w:r w:rsidR="006A31B8">
          <w:rPr>
            <w:webHidden/>
          </w:rPr>
          <w:tab/>
        </w:r>
        <w:r w:rsidR="006A31B8">
          <w:rPr>
            <w:webHidden/>
          </w:rPr>
          <w:fldChar w:fldCharType="begin"/>
        </w:r>
        <w:r w:rsidR="006A31B8">
          <w:rPr>
            <w:webHidden/>
          </w:rPr>
          <w:instrText xml:space="preserve"> PAGEREF _Toc460491402 \h </w:instrText>
        </w:r>
        <w:r w:rsidR="006A31B8">
          <w:rPr>
            <w:webHidden/>
          </w:rPr>
        </w:r>
        <w:r w:rsidR="006A31B8">
          <w:rPr>
            <w:webHidden/>
          </w:rPr>
          <w:fldChar w:fldCharType="separate"/>
        </w:r>
        <w:r w:rsidR="00B61881">
          <w:rPr>
            <w:webHidden/>
          </w:rPr>
          <w:t>106</w:t>
        </w:r>
        <w:r w:rsidR="006A31B8">
          <w:rPr>
            <w:webHidden/>
          </w:rPr>
          <w:fldChar w:fldCharType="end"/>
        </w:r>
      </w:hyperlink>
    </w:p>
    <w:p w14:paraId="1DD13DD3" w14:textId="77777777" w:rsidR="006A31B8" w:rsidRDefault="00A966BF" w:rsidP="006A31B8">
      <w:pPr>
        <w:pStyle w:val="TableofFigures"/>
        <w:ind w:left="1021" w:right="284" w:hanging="1021"/>
        <w:rPr>
          <w:rFonts w:asciiTheme="minorHAnsi" w:eastAsiaTheme="minorEastAsia" w:hAnsiTheme="minorHAnsi" w:cstheme="minorBidi"/>
          <w:bCs w:val="0"/>
          <w:szCs w:val="22"/>
          <w:lang w:val="en-AU" w:eastAsia="en-AU"/>
        </w:rPr>
      </w:pPr>
      <w:hyperlink w:anchor="_Toc460491403" w:history="1">
        <w:r w:rsidR="006A31B8" w:rsidRPr="009636A9">
          <w:rPr>
            <w:rStyle w:val="Hyperlink"/>
          </w:rPr>
          <w:t>Figure A 6: Cover of major benthic groups and density of hard coral juveniles at reefs in the Fitzroy region.</w:t>
        </w:r>
        <w:r w:rsidR="006A31B8">
          <w:rPr>
            <w:webHidden/>
          </w:rPr>
          <w:tab/>
        </w:r>
        <w:r w:rsidR="006A31B8">
          <w:rPr>
            <w:webHidden/>
          </w:rPr>
          <w:fldChar w:fldCharType="begin"/>
        </w:r>
        <w:r w:rsidR="006A31B8">
          <w:rPr>
            <w:webHidden/>
          </w:rPr>
          <w:instrText xml:space="preserve"> PAGEREF _Toc460491403 \h </w:instrText>
        </w:r>
        <w:r w:rsidR="006A31B8">
          <w:rPr>
            <w:webHidden/>
          </w:rPr>
        </w:r>
        <w:r w:rsidR="006A31B8">
          <w:rPr>
            <w:webHidden/>
          </w:rPr>
          <w:fldChar w:fldCharType="separate"/>
        </w:r>
        <w:r w:rsidR="00B61881">
          <w:rPr>
            <w:webHidden/>
          </w:rPr>
          <w:t>110</w:t>
        </w:r>
        <w:r w:rsidR="006A31B8">
          <w:rPr>
            <w:webHidden/>
          </w:rPr>
          <w:fldChar w:fldCharType="end"/>
        </w:r>
      </w:hyperlink>
    </w:p>
    <w:p w14:paraId="7F3D8038"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404" w:history="1">
        <w:r w:rsidR="006A31B8" w:rsidRPr="009636A9">
          <w:rPr>
            <w:rStyle w:val="Hyperlink"/>
          </w:rPr>
          <w:t>Figure A 7: Coral disease by year in each region</w:t>
        </w:r>
        <w:r w:rsidR="006A31B8">
          <w:rPr>
            <w:webHidden/>
          </w:rPr>
          <w:tab/>
        </w:r>
        <w:r w:rsidR="006A31B8">
          <w:rPr>
            <w:webHidden/>
          </w:rPr>
          <w:fldChar w:fldCharType="begin"/>
        </w:r>
        <w:r w:rsidR="006A31B8">
          <w:rPr>
            <w:webHidden/>
          </w:rPr>
          <w:instrText xml:space="preserve"> PAGEREF _Toc460491404 \h </w:instrText>
        </w:r>
        <w:r w:rsidR="006A31B8">
          <w:rPr>
            <w:webHidden/>
          </w:rPr>
        </w:r>
        <w:r w:rsidR="006A31B8">
          <w:rPr>
            <w:webHidden/>
          </w:rPr>
          <w:fldChar w:fldCharType="separate"/>
        </w:r>
        <w:r w:rsidR="00B61881">
          <w:rPr>
            <w:webHidden/>
          </w:rPr>
          <w:t>112</w:t>
        </w:r>
        <w:r w:rsidR="006A31B8">
          <w:rPr>
            <w:webHidden/>
          </w:rPr>
          <w:fldChar w:fldCharType="end"/>
        </w:r>
      </w:hyperlink>
    </w:p>
    <w:p w14:paraId="756CE9DD"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405" w:history="1">
        <w:r w:rsidR="006A31B8" w:rsidRPr="009636A9">
          <w:rPr>
            <w:rStyle w:val="Hyperlink"/>
          </w:rPr>
          <w:t>Figure A 8: Cyclone exposure history</w:t>
        </w:r>
        <w:r w:rsidR="006A31B8">
          <w:rPr>
            <w:webHidden/>
          </w:rPr>
          <w:tab/>
        </w:r>
        <w:r w:rsidR="006A31B8">
          <w:rPr>
            <w:webHidden/>
          </w:rPr>
          <w:fldChar w:fldCharType="begin"/>
        </w:r>
        <w:r w:rsidR="006A31B8">
          <w:rPr>
            <w:webHidden/>
          </w:rPr>
          <w:instrText xml:space="preserve"> PAGEREF _Toc460491405 \h </w:instrText>
        </w:r>
        <w:r w:rsidR="006A31B8">
          <w:rPr>
            <w:webHidden/>
          </w:rPr>
        </w:r>
        <w:r w:rsidR="006A31B8">
          <w:rPr>
            <w:webHidden/>
          </w:rPr>
          <w:fldChar w:fldCharType="separate"/>
        </w:r>
        <w:r w:rsidR="00B61881">
          <w:rPr>
            <w:webHidden/>
          </w:rPr>
          <w:t>124</w:t>
        </w:r>
        <w:r w:rsidR="006A31B8">
          <w:rPr>
            <w:webHidden/>
          </w:rPr>
          <w:fldChar w:fldCharType="end"/>
        </w:r>
      </w:hyperlink>
    </w:p>
    <w:p w14:paraId="6E54B77F"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406" w:history="1">
        <w:r w:rsidR="006A31B8" w:rsidRPr="009636A9">
          <w:rPr>
            <w:rStyle w:val="Hyperlink"/>
          </w:rPr>
          <w:t>Figure A 9: Exposure to plume type waters</w:t>
        </w:r>
        <w:r w:rsidR="006A31B8">
          <w:rPr>
            <w:webHidden/>
          </w:rPr>
          <w:tab/>
        </w:r>
        <w:r w:rsidR="006A31B8">
          <w:rPr>
            <w:webHidden/>
          </w:rPr>
          <w:fldChar w:fldCharType="begin"/>
        </w:r>
        <w:r w:rsidR="006A31B8">
          <w:rPr>
            <w:webHidden/>
          </w:rPr>
          <w:instrText xml:space="preserve"> PAGEREF _Toc460491406 \h </w:instrText>
        </w:r>
        <w:r w:rsidR="006A31B8">
          <w:rPr>
            <w:webHidden/>
          </w:rPr>
        </w:r>
        <w:r w:rsidR="006A31B8">
          <w:rPr>
            <w:webHidden/>
          </w:rPr>
          <w:fldChar w:fldCharType="separate"/>
        </w:r>
        <w:r w:rsidR="00B61881">
          <w:rPr>
            <w:webHidden/>
          </w:rPr>
          <w:t>125</w:t>
        </w:r>
        <w:r w:rsidR="006A31B8">
          <w:rPr>
            <w:webHidden/>
          </w:rPr>
          <w:fldChar w:fldCharType="end"/>
        </w:r>
      </w:hyperlink>
    </w:p>
    <w:p w14:paraId="431078D9"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407" w:history="1">
        <w:r w:rsidR="006A31B8" w:rsidRPr="009636A9">
          <w:rPr>
            <w:rStyle w:val="Hyperlink"/>
          </w:rPr>
          <w:t>Figure A 10: Temporal trends in water quality: Baron Daintree sub-region</w:t>
        </w:r>
        <w:r w:rsidR="006A31B8">
          <w:rPr>
            <w:webHidden/>
          </w:rPr>
          <w:tab/>
        </w:r>
        <w:r w:rsidR="006A31B8">
          <w:rPr>
            <w:webHidden/>
          </w:rPr>
          <w:fldChar w:fldCharType="begin"/>
        </w:r>
        <w:r w:rsidR="006A31B8">
          <w:rPr>
            <w:webHidden/>
          </w:rPr>
          <w:instrText xml:space="preserve"> PAGEREF _Toc460491407 \h </w:instrText>
        </w:r>
        <w:r w:rsidR="006A31B8">
          <w:rPr>
            <w:webHidden/>
          </w:rPr>
        </w:r>
        <w:r w:rsidR="006A31B8">
          <w:rPr>
            <w:webHidden/>
          </w:rPr>
          <w:fldChar w:fldCharType="separate"/>
        </w:r>
        <w:r w:rsidR="00B61881">
          <w:rPr>
            <w:webHidden/>
          </w:rPr>
          <w:t>126</w:t>
        </w:r>
        <w:r w:rsidR="006A31B8">
          <w:rPr>
            <w:webHidden/>
          </w:rPr>
          <w:fldChar w:fldCharType="end"/>
        </w:r>
      </w:hyperlink>
    </w:p>
    <w:p w14:paraId="69F90475"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408" w:history="1">
        <w:r w:rsidR="006A31B8" w:rsidRPr="009636A9">
          <w:rPr>
            <w:rStyle w:val="Hyperlink"/>
          </w:rPr>
          <w:t>Figure A 11: Temporal trends in water quality: Johnstone Russell-Mulgrave sub-region</w:t>
        </w:r>
        <w:r w:rsidR="006A31B8">
          <w:rPr>
            <w:webHidden/>
          </w:rPr>
          <w:tab/>
        </w:r>
        <w:r w:rsidR="006A31B8">
          <w:rPr>
            <w:webHidden/>
          </w:rPr>
          <w:fldChar w:fldCharType="begin"/>
        </w:r>
        <w:r w:rsidR="006A31B8">
          <w:rPr>
            <w:webHidden/>
          </w:rPr>
          <w:instrText xml:space="preserve"> PAGEREF _Toc460491408 \h </w:instrText>
        </w:r>
        <w:r w:rsidR="006A31B8">
          <w:rPr>
            <w:webHidden/>
          </w:rPr>
        </w:r>
        <w:r w:rsidR="006A31B8">
          <w:rPr>
            <w:webHidden/>
          </w:rPr>
          <w:fldChar w:fldCharType="separate"/>
        </w:r>
        <w:r w:rsidR="00B61881">
          <w:rPr>
            <w:webHidden/>
          </w:rPr>
          <w:t>127</w:t>
        </w:r>
        <w:r w:rsidR="006A31B8">
          <w:rPr>
            <w:webHidden/>
          </w:rPr>
          <w:fldChar w:fldCharType="end"/>
        </w:r>
      </w:hyperlink>
    </w:p>
    <w:p w14:paraId="112CDE5D"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409" w:history="1">
        <w:r w:rsidR="006A31B8" w:rsidRPr="009636A9">
          <w:rPr>
            <w:rStyle w:val="Hyperlink"/>
          </w:rPr>
          <w:t>Figure A 12: Temporal trends in water quality: Herbert Tully sub-region.</w:t>
        </w:r>
        <w:r w:rsidR="006A31B8">
          <w:rPr>
            <w:webHidden/>
          </w:rPr>
          <w:tab/>
        </w:r>
        <w:r w:rsidR="006A31B8">
          <w:rPr>
            <w:webHidden/>
          </w:rPr>
          <w:fldChar w:fldCharType="begin"/>
        </w:r>
        <w:r w:rsidR="006A31B8">
          <w:rPr>
            <w:webHidden/>
          </w:rPr>
          <w:instrText xml:space="preserve"> PAGEREF _Toc460491409 \h </w:instrText>
        </w:r>
        <w:r w:rsidR="006A31B8">
          <w:rPr>
            <w:webHidden/>
          </w:rPr>
        </w:r>
        <w:r w:rsidR="006A31B8">
          <w:rPr>
            <w:webHidden/>
          </w:rPr>
          <w:fldChar w:fldCharType="separate"/>
        </w:r>
        <w:r w:rsidR="00B61881">
          <w:rPr>
            <w:webHidden/>
          </w:rPr>
          <w:t>128</w:t>
        </w:r>
        <w:r w:rsidR="006A31B8">
          <w:rPr>
            <w:webHidden/>
          </w:rPr>
          <w:fldChar w:fldCharType="end"/>
        </w:r>
      </w:hyperlink>
    </w:p>
    <w:p w14:paraId="015B51CF"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410" w:history="1">
        <w:r w:rsidR="006A31B8" w:rsidRPr="009636A9">
          <w:rPr>
            <w:rStyle w:val="Hyperlink"/>
          </w:rPr>
          <w:t>Figure A 13: Temporal trends in water quality: Burdekin region.</w:t>
        </w:r>
        <w:r w:rsidR="006A31B8">
          <w:rPr>
            <w:webHidden/>
          </w:rPr>
          <w:tab/>
        </w:r>
        <w:r w:rsidR="006A31B8">
          <w:rPr>
            <w:webHidden/>
          </w:rPr>
          <w:fldChar w:fldCharType="begin"/>
        </w:r>
        <w:r w:rsidR="006A31B8">
          <w:rPr>
            <w:webHidden/>
          </w:rPr>
          <w:instrText xml:space="preserve"> PAGEREF _Toc460491410 \h </w:instrText>
        </w:r>
        <w:r w:rsidR="006A31B8">
          <w:rPr>
            <w:webHidden/>
          </w:rPr>
        </w:r>
        <w:r w:rsidR="006A31B8">
          <w:rPr>
            <w:webHidden/>
          </w:rPr>
          <w:fldChar w:fldCharType="separate"/>
        </w:r>
        <w:r w:rsidR="00B61881">
          <w:rPr>
            <w:webHidden/>
          </w:rPr>
          <w:t>129</w:t>
        </w:r>
        <w:r w:rsidR="006A31B8">
          <w:rPr>
            <w:webHidden/>
          </w:rPr>
          <w:fldChar w:fldCharType="end"/>
        </w:r>
      </w:hyperlink>
    </w:p>
    <w:p w14:paraId="275E1245"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411" w:history="1">
        <w:r w:rsidR="006A31B8" w:rsidRPr="009636A9">
          <w:rPr>
            <w:rStyle w:val="Hyperlink"/>
          </w:rPr>
          <w:t>Figure A 14: Temporal trends in water quality: Mackay Whitsundays region.</w:t>
        </w:r>
        <w:r w:rsidR="006A31B8">
          <w:rPr>
            <w:webHidden/>
          </w:rPr>
          <w:tab/>
        </w:r>
        <w:r w:rsidR="006A31B8">
          <w:rPr>
            <w:webHidden/>
          </w:rPr>
          <w:fldChar w:fldCharType="begin"/>
        </w:r>
        <w:r w:rsidR="006A31B8">
          <w:rPr>
            <w:webHidden/>
          </w:rPr>
          <w:instrText xml:space="preserve"> PAGEREF _Toc460491411 \h </w:instrText>
        </w:r>
        <w:r w:rsidR="006A31B8">
          <w:rPr>
            <w:webHidden/>
          </w:rPr>
        </w:r>
        <w:r w:rsidR="006A31B8">
          <w:rPr>
            <w:webHidden/>
          </w:rPr>
          <w:fldChar w:fldCharType="separate"/>
        </w:r>
        <w:r w:rsidR="00B61881">
          <w:rPr>
            <w:webHidden/>
          </w:rPr>
          <w:t>130</w:t>
        </w:r>
        <w:r w:rsidR="006A31B8">
          <w:rPr>
            <w:webHidden/>
          </w:rPr>
          <w:fldChar w:fldCharType="end"/>
        </w:r>
      </w:hyperlink>
    </w:p>
    <w:p w14:paraId="5EEFB104"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412" w:history="1">
        <w:r w:rsidR="006A31B8" w:rsidRPr="009636A9">
          <w:rPr>
            <w:rStyle w:val="Hyperlink"/>
          </w:rPr>
          <w:t>Figure A 15: Temporal trends in water quality: Fitzroy region.</w:t>
        </w:r>
        <w:r w:rsidR="006A31B8">
          <w:rPr>
            <w:webHidden/>
          </w:rPr>
          <w:tab/>
        </w:r>
        <w:r w:rsidR="006A31B8">
          <w:rPr>
            <w:webHidden/>
          </w:rPr>
          <w:fldChar w:fldCharType="begin"/>
        </w:r>
        <w:r w:rsidR="006A31B8">
          <w:rPr>
            <w:webHidden/>
          </w:rPr>
          <w:instrText xml:space="preserve"> PAGEREF _Toc460491412 \h </w:instrText>
        </w:r>
        <w:r w:rsidR="006A31B8">
          <w:rPr>
            <w:webHidden/>
          </w:rPr>
        </w:r>
        <w:r w:rsidR="006A31B8">
          <w:rPr>
            <w:webHidden/>
          </w:rPr>
          <w:fldChar w:fldCharType="separate"/>
        </w:r>
        <w:r w:rsidR="00B61881">
          <w:rPr>
            <w:webHidden/>
          </w:rPr>
          <w:t>131</w:t>
        </w:r>
        <w:r w:rsidR="006A31B8">
          <w:rPr>
            <w:webHidden/>
          </w:rPr>
          <w:fldChar w:fldCharType="end"/>
        </w:r>
      </w:hyperlink>
    </w:p>
    <w:p w14:paraId="2C66C487" w14:textId="77777777" w:rsidR="00274BB1" w:rsidRPr="00CF627E" w:rsidRDefault="006A31B8" w:rsidP="00E4136F">
      <w:pPr>
        <w:pStyle w:val="TableofFigures"/>
        <w:rPr>
          <w:sz w:val="24"/>
        </w:rPr>
      </w:pPr>
      <w:r>
        <w:rPr>
          <w:sz w:val="24"/>
        </w:rPr>
        <w:fldChar w:fldCharType="end"/>
      </w:r>
    </w:p>
    <w:p w14:paraId="7D8E3792" w14:textId="77777777" w:rsidR="006A31B8" w:rsidRDefault="006A31B8">
      <w:pPr>
        <w:pStyle w:val="TableofFigures"/>
        <w:rPr>
          <w:rFonts w:asciiTheme="minorHAnsi" w:eastAsiaTheme="minorEastAsia" w:hAnsiTheme="minorHAnsi" w:cstheme="minorBidi"/>
          <w:bCs w:val="0"/>
          <w:szCs w:val="22"/>
          <w:lang w:val="en-AU" w:eastAsia="en-AU"/>
        </w:rPr>
      </w:pPr>
      <w:r>
        <w:rPr>
          <w:szCs w:val="22"/>
        </w:rPr>
        <w:fldChar w:fldCharType="begin"/>
      </w:r>
      <w:r>
        <w:rPr>
          <w:szCs w:val="22"/>
        </w:rPr>
        <w:instrText xml:space="preserve"> TOC \h \z \c "Table A" </w:instrText>
      </w:r>
      <w:r>
        <w:rPr>
          <w:szCs w:val="22"/>
        </w:rPr>
        <w:fldChar w:fldCharType="separate"/>
      </w:r>
      <w:hyperlink w:anchor="_Toc460491683" w:history="1">
        <w:r w:rsidRPr="00C8639D">
          <w:rPr>
            <w:rStyle w:val="Hyperlink"/>
          </w:rPr>
          <w:t xml:space="preserve">Table A 1: </w:t>
        </w:r>
        <w:r w:rsidRPr="00C8639D">
          <w:rPr>
            <w:rStyle w:val="Hyperlink"/>
            <w:rFonts w:eastAsia="SimSun"/>
          </w:rPr>
          <w:t>Annual freshwater discharge for the major Reef Catchments</w:t>
        </w:r>
        <w:r>
          <w:rPr>
            <w:webHidden/>
          </w:rPr>
          <w:tab/>
        </w:r>
        <w:r>
          <w:rPr>
            <w:webHidden/>
          </w:rPr>
          <w:fldChar w:fldCharType="begin"/>
        </w:r>
        <w:r>
          <w:rPr>
            <w:webHidden/>
          </w:rPr>
          <w:instrText xml:space="preserve"> PAGEREF _Toc460491683 \h </w:instrText>
        </w:r>
        <w:r>
          <w:rPr>
            <w:webHidden/>
          </w:rPr>
        </w:r>
        <w:r>
          <w:rPr>
            <w:webHidden/>
          </w:rPr>
          <w:fldChar w:fldCharType="separate"/>
        </w:r>
        <w:r w:rsidR="00B61881">
          <w:rPr>
            <w:webHidden/>
          </w:rPr>
          <w:t>88</w:t>
        </w:r>
        <w:r>
          <w:rPr>
            <w:webHidden/>
          </w:rPr>
          <w:fldChar w:fldCharType="end"/>
        </w:r>
      </w:hyperlink>
    </w:p>
    <w:p w14:paraId="53F6D5A6"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684" w:history="1">
        <w:r w:rsidR="006A31B8" w:rsidRPr="00C8639D">
          <w:rPr>
            <w:rStyle w:val="Hyperlink"/>
          </w:rPr>
          <w:t>Table A 2: Disturbance histories for coral monitoring locations.</w:t>
        </w:r>
        <w:r w:rsidR="006A31B8">
          <w:rPr>
            <w:webHidden/>
          </w:rPr>
          <w:tab/>
        </w:r>
        <w:r w:rsidR="006A31B8">
          <w:rPr>
            <w:webHidden/>
          </w:rPr>
          <w:fldChar w:fldCharType="begin"/>
        </w:r>
        <w:r w:rsidR="006A31B8">
          <w:rPr>
            <w:webHidden/>
          </w:rPr>
          <w:instrText xml:space="preserve"> PAGEREF _Toc460491684 \h </w:instrText>
        </w:r>
        <w:r w:rsidR="006A31B8">
          <w:rPr>
            <w:webHidden/>
          </w:rPr>
        </w:r>
        <w:r w:rsidR="006A31B8">
          <w:rPr>
            <w:webHidden/>
          </w:rPr>
          <w:fldChar w:fldCharType="separate"/>
        </w:r>
        <w:r w:rsidR="00B61881">
          <w:rPr>
            <w:webHidden/>
          </w:rPr>
          <w:t>89</w:t>
        </w:r>
        <w:r w:rsidR="006A31B8">
          <w:rPr>
            <w:webHidden/>
          </w:rPr>
          <w:fldChar w:fldCharType="end"/>
        </w:r>
      </w:hyperlink>
    </w:p>
    <w:p w14:paraId="3F6F13A7"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685" w:history="1">
        <w:r w:rsidR="006A31B8" w:rsidRPr="00C8639D">
          <w:rPr>
            <w:rStyle w:val="Hyperlink"/>
          </w:rPr>
          <w:t>Table A 3: Report card index assessments.</w:t>
        </w:r>
        <w:r w:rsidR="006A31B8">
          <w:rPr>
            <w:webHidden/>
          </w:rPr>
          <w:tab/>
        </w:r>
        <w:r w:rsidR="006A31B8">
          <w:rPr>
            <w:webHidden/>
          </w:rPr>
          <w:fldChar w:fldCharType="begin"/>
        </w:r>
        <w:r w:rsidR="006A31B8">
          <w:rPr>
            <w:webHidden/>
          </w:rPr>
          <w:instrText xml:space="preserve"> PAGEREF _Toc460491685 \h </w:instrText>
        </w:r>
        <w:r w:rsidR="006A31B8">
          <w:rPr>
            <w:webHidden/>
          </w:rPr>
        </w:r>
        <w:r w:rsidR="006A31B8">
          <w:rPr>
            <w:webHidden/>
          </w:rPr>
          <w:fldChar w:fldCharType="separate"/>
        </w:r>
        <w:r w:rsidR="00B61881">
          <w:rPr>
            <w:webHidden/>
          </w:rPr>
          <w:t>92</w:t>
        </w:r>
        <w:r w:rsidR="006A31B8">
          <w:rPr>
            <w:webHidden/>
          </w:rPr>
          <w:fldChar w:fldCharType="end"/>
        </w:r>
      </w:hyperlink>
    </w:p>
    <w:p w14:paraId="2351B90C"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686" w:history="1">
        <w:r w:rsidR="006A31B8" w:rsidRPr="00C8639D">
          <w:rPr>
            <w:rStyle w:val="Hyperlink"/>
          </w:rPr>
          <w:t xml:space="preserve">Table A 4: </w:t>
        </w:r>
        <w:r w:rsidR="006A31B8" w:rsidRPr="00C8639D">
          <w:rPr>
            <w:rStyle w:val="Hyperlink"/>
            <w:rFonts w:eastAsia="SimSun"/>
          </w:rPr>
          <w:t>Environmental covariates for coral locations</w:t>
        </w:r>
        <w:r w:rsidR="006A31B8">
          <w:rPr>
            <w:webHidden/>
          </w:rPr>
          <w:tab/>
        </w:r>
        <w:r w:rsidR="006A31B8">
          <w:rPr>
            <w:webHidden/>
          </w:rPr>
          <w:fldChar w:fldCharType="begin"/>
        </w:r>
        <w:r w:rsidR="006A31B8">
          <w:rPr>
            <w:webHidden/>
          </w:rPr>
          <w:instrText xml:space="preserve"> PAGEREF _Toc460491686 \h </w:instrText>
        </w:r>
        <w:r w:rsidR="006A31B8">
          <w:rPr>
            <w:webHidden/>
          </w:rPr>
        </w:r>
        <w:r w:rsidR="006A31B8">
          <w:rPr>
            <w:webHidden/>
          </w:rPr>
          <w:fldChar w:fldCharType="separate"/>
        </w:r>
        <w:r w:rsidR="00B61881">
          <w:rPr>
            <w:webHidden/>
          </w:rPr>
          <w:t>95</w:t>
        </w:r>
        <w:r w:rsidR="006A31B8">
          <w:rPr>
            <w:webHidden/>
          </w:rPr>
          <w:fldChar w:fldCharType="end"/>
        </w:r>
      </w:hyperlink>
    </w:p>
    <w:p w14:paraId="1134D0DD"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687" w:history="1">
        <w:r w:rsidR="006A31B8" w:rsidRPr="00C8639D">
          <w:rPr>
            <w:rStyle w:val="Hyperlink"/>
          </w:rPr>
          <w:t>Table A 5: Composition of hard coral communities.</w:t>
        </w:r>
        <w:r w:rsidR="006A31B8">
          <w:rPr>
            <w:webHidden/>
          </w:rPr>
          <w:tab/>
        </w:r>
        <w:r w:rsidR="006A31B8">
          <w:rPr>
            <w:webHidden/>
          </w:rPr>
          <w:fldChar w:fldCharType="begin"/>
        </w:r>
        <w:r w:rsidR="006A31B8">
          <w:rPr>
            <w:webHidden/>
          </w:rPr>
          <w:instrText xml:space="preserve"> PAGEREF _Toc460491687 \h </w:instrText>
        </w:r>
        <w:r w:rsidR="006A31B8">
          <w:rPr>
            <w:webHidden/>
          </w:rPr>
        </w:r>
        <w:r w:rsidR="006A31B8">
          <w:rPr>
            <w:webHidden/>
          </w:rPr>
          <w:fldChar w:fldCharType="separate"/>
        </w:r>
        <w:r w:rsidR="00B61881">
          <w:rPr>
            <w:webHidden/>
          </w:rPr>
          <w:t>113</w:t>
        </w:r>
        <w:r w:rsidR="006A31B8">
          <w:rPr>
            <w:webHidden/>
          </w:rPr>
          <w:fldChar w:fldCharType="end"/>
        </w:r>
      </w:hyperlink>
    </w:p>
    <w:p w14:paraId="323D570C"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688" w:history="1">
        <w:r w:rsidR="006A31B8" w:rsidRPr="00C8639D">
          <w:rPr>
            <w:rStyle w:val="Hyperlink"/>
          </w:rPr>
          <w:t>Table A 6: Composition of soft coral communities.</w:t>
        </w:r>
        <w:r w:rsidR="006A31B8">
          <w:rPr>
            <w:webHidden/>
          </w:rPr>
          <w:tab/>
        </w:r>
        <w:r w:rsidR="006A31B8">
          <w:rPr>
            <w:webHidden/>
          </w:rPr>
          <w:fldChar w:fldCharType="begin"/>
        </w:r>
        <w:r w:rsidR="006A31B8">
          <w:rPr>
            <w:webHidden/>
          </w:rPr>
          <w:instrText xml:space="preserve"> PAGEREF _Toc460491688 \h </w:instrText>
        </w:r>
        <w:r w:rsidR="006A31B8">
          <w:rPr>
            <w:webHidden/>
          </w:rPr>
        </w:r>
        <w:r w:rsidR="006A31B8">
          <w:rPr>
            <w:webHidden/>
          </w:rPr>
          <w:fldChar w:fldCharType="separate"/>
        </w:r>
        <w:r w:rsidR="00B61881">
          <w:rPr>
            <w:webHidden/>
          </w:rPr>
          <w:t>117</w:t>
        </w:r>
        <w:r w:rsidR="006A31B8">
          <w:rPr>
            <w:webHidden/>
          </w:rPr>
          <w:fldChar w:fldCharType="end"/>
        </w:r>
      </w:hyperlink>
    </w:p>
    <w:p w14:paraId="76413A01" w14:textId="77777777" w:rsidR="006A31B8" w:rsidRDefault="00A966BF">
      <w:pPr>
        <w:pStyle w:val="TableofFigures"/>
        <w:rPr>
          <w:rFonts w:asciiTheme="minorHAnsi" w:eastAsiaTheme="minorEastAsia" w:hAnsiTheme="minorHAnsi" w:cstheme="minorBidi"/>
          <w:bCs w:val="0"/>
          <w:szCs w:val="22"/>
          <w:lang w:val="en-AU" w:eastAsia="en-AU"/>
        </w:rPr>
      </w:pPr>
      <w:hyperlink w:anchor="_Toc460491689" w:history="1">
        <w:r w:rsidR="006A31B8" w:rsidRPr="00C8639D">
          <w:rPr>
            <w:rStyle w:val="Hyperlink"/>
          </w:rPr>
          <w:t>Table A 7: Composition of macroalgal communities.</w:t>
        </w:r>
        <w:r w:rsidR="006A31B8">
          <w:rPr>
            <w:webHidden/>
          </w:rPr>
          <w:tab/>
        </w:r>
        <w:r w:rsidR="006A31B8">
          <w:rPr>
            <w:webHidden/>
          </w:rPr>
          <w:fldChar w:fldCharType="begin"/>
        </w:r>
        <w:r w:rsidR="006A31B8">
          <w:rPr>
            <w:webHidden/>
          </w:rPr>
          <w:instrText xml:space="preserve"> PAGEREF _Toc460491689 \h </w:instrText>
        </w:r>
        <w:r w:rsidR="006A31B8">
          <w:rPr>
            <w:webHidden/>
          </w:rPr>
        </w:r>
        <w:r w:rsidR="006A31B8">
          <w:rPr>
            <w:webHidden/>
          </w:rPr>
          <w:fldChar w:fldCharType="separate"/>
        </w:r>
        <w:r w:rsidR="00B61881">
          <w:rPr>
            <w:webHidden/>
          </w:rPr>
          <w:t>120</w:t>
        </w:r>
        <w:r w:rsidR="006A31B8">
          <w:rPr>
            <w:webHidden/>
          </w:rPr>
          <w:fldChar w:fldCharType="end"/>
        </w:r>
      </w:hyperlink>
    </w:p>
    <w:p w14:paraId="3F5B1F9D" w14:textId="77777777" w:rsidR="006D561F" w:rsidRPr="006D0A76" w:rsidRDefault="006A31B8">
      <w:pPr>
        <w:rPr>
          <w:rFonts w:cs="Arial"/>
          <w:szCs w:val="22"/>
        </w:rPr>
      </w:pPr>
      <w:r>
        <w:rPr>
          <w:rFonts w:cs="Arial"/>
          <w:szCs w:val="22"/>
        </w:rPr>
        <w:fldChar w:fldCharType="end"/>
      </w:r>
    </w:p>
    <w:p w14:paraId="25D8AF91" w14:textId="77777777" w:rsidR="00274BB1" w:rsidRDefault="00274BB1"/>
    <w:p w14:paraId="04D405E0" w14:textId="77777777" w:rsidR="006E3C16" w:rsidRDefault="006E3C16">
      <w:pPr>
        <w:sectPr w:rsidR="006E3C16" w:rsidSect="006E3C16">
          <w:headerReference w:type="even" r:id="rId26"/>
          <w:headerReference w:type="default" r:id="rId27"/>
          <w:footerReference w:type="default" r:id="rId28"/>
          <w:headerReference w:type="first" r:id="rId29"/>
          <w:pgSz w:w="11907" w:h="16840" w:code="9"/>
          <w:pgMar w:top="1440" w:right="1134" w:bottom="1135" w:left="1134" w:header="709" w:footer="709" w:gutter="0"/>
          <w:pgNumType w:fmt="lowerRoman" w:start="1"/>
          <w:cols w:space="708"/>
          <w:docGrid w:linePitch="360"/>
        </w:sectPr>
      </w:pPr>
    </w:p>
    <w:p w14:paraId="54F21EB1" w14:textId="77777777" w:rsidR="0001199E" w:rsidRPr="00C0580F" w:rsidRDefault="0001199E" w:rsidP="006D0A76">
      <w:pPr>
        <w:pStyle w:val="Heading1"/>
      </w:pPr>
      <w:bookmarkStart w:id="16" w:name="_Toc460490651"/>
      <w:r w:rsidRPr="00C0580F">
        <w:lastRenderedPageBreak/>
        <w:t>Executive Summary</w:t>
      </w:r>
      <w:bookmarkEnd w:id="7"/>
      <w:bookmarkEnd w:id="8"/>
      <w:bookmarkEnd w:id="9"/>
      <w:bookmarkEnd w:id="10"/>
      <w:bookmarkEnd w:id="11"/>
      <w:bookmarkEnd w:id="12"/>
      <w:bookmarkEnd w:id="13"/>
      <w:bookmarkEnd w:id="14"/>
      <w:bookmarkEnd w:id="15"/>
      <w:bookmarkEnd w:id="16"/>
    </w:p>
    <w:p w14:paraId="67904E9B" w14:textId="77777777" w:rsidR="0001199E" w:rsidRPr="00C0580F" w:rsidRDefault="0001199E" w:rsidP="00016545">
      <w:pPr>
        <w:rPr>
          <w:color w:val="000000" w:themeColor="text1"/>
        </w:rPr>
      </w:pPr>
      <w:r w:rsidRPr="00C0580F">
        <w:rPr>
          <w:color w:val="000000" w:themeColor="text1"/>
        </w:rPr>
        <w:t xml:space="preserve">The management of water quality remains an essential requirement to ensure the long-term protection of the coastal and inshore ecosystems of the Great Barrier Reef (the Reef). The land management initiatives under the Australian and Queensland Government's Reef Water Quality Protection Plan (Reef Plan) are key tools to improve the water quality entering the GBR with the goal </w:t>
      </w:r>
      <w:r w:rsidRPr="00C0580F">
        <w:rPr>
          <w:i/>
          <w:color w:val="000000" w:themeColor="text1"/>
        </w:rPr>
        <w:t xml:space="preserve">“To ensure that by 2020 the quality of water entering the reef from broadscale land use has no detrimental impact on the health and resilience of the Great Barrier Reef.” </w:t>
      </w:r>
      <w:r w:rsidRPr="00C0580F">
        <w:rPr>
          <w:color w:val="000000" w:themeColor="text1"/>
        </w:rPr>
        <w:t xml:space="preserve">This report summarises the results of coral reef monitoring activities, carried out by the Australian Institute of Marine Science </w:t>
      </w:r>
      <w:r>
        <w:rPr>
          <w:color w:val="000000" w:themeColor="text1"/>
        </w:rPr>
        <w:t xml:space="preserve">(AIMS) </w:t>
      </w:r>
      <w:r w:rsidRPr="00C0580F">
        <w:rPr>
          <w:color w:val="000000" w:themeColor="text1"/>
        </w:rPr>
        <w:t>as part of the Reef 2050 Plan Marine Monitoring Program (MMP) from 2005 to 2015.</w:t>
      </w:r>
    </w:p>
    <w:p w14:paraId="26247623" w14:textId="77777777" w:rsidR="0001199E" w:rsidRPr="00EB5372" w:rsidRDefault="0001199E" w:rsidP="00EB5372">
      <w:pPr>
        <w:pStyle w:val="Heading4"/>
      </w:pPr>
      <w:bookmarkStart w:id="17" w:name="_Toc334990031"/>
      <w:bookmarkStart w:id="18" w:name="_Toc334990234"/>
      <w:bookmarkStart w:id="19" w:name="_Toc393133558"/>
      <w:bookmarkStart w:id="20" w:name="_Toc406143725"/>
      <w:bookmarkStart w:id="21" w:name="_Toc437424399"/>
      <w:bookmarkStart w:id="22" w:name="_Toc437424523"/>
      <w:bookmarkStart w:id="23" w:name="_Toc437432453"/>
      <w:bookmarkStart w:id="24" w:name="_Toc437432526"/>
      <w:r w:rsidRPr="00EB5372">
        <w:t>Methods</w:t>
      </w:r>
      <w:bookmarkEnd w:id="17"/>
      <w:bookmarkEnd w:id="18"/>
      <w:bookmarkEnd w:id="19"/>
      <w:bookmarkEnd w:id="20"/>
      <w:bookmarkEnd w:id="21"/>
      <w:bookmarkEnd w:id="22"/>
      <w:bookmarkEnd w:id="23"/>
      <w:bookmarkEnd w:id="24"/>
      <w:r w:rsidRPr="00EB5372">
        <w:t xml:space="preserve"> </w:t>
      </w:r>
    </w:p>
    <w:p w14:paraId="5FD4F0C8" w14:textId="77777777" w:rsidR="0001199E" w:rsidRPr="001A3301" w:rsidRDefault="0001199E" w:rsidP="00016545">
      <w:pPr>
        <w:rPr>
          <w:rFonts w:ascii="Helvetica" w:hAnsi="Helvetica" w:cs="Helvetica"/>
          <w:color w:val="0070C0"/>
          <w:szCs w:val="22"/>
        </w:rPr>
      </w:pPr>
      <w:r w:rsidRPr="00C0580F">
        <w:rPr>
          <w:rFonts w:eastAsia="MS Mincho"/>
          <w:color w:val="000000" w:themeColor="text1"/>
        </w:rPr>
        <w:t xml:space="preserve">The objective of the MMP is to </w:t>
      </w:r>
      <w:r w:rsidRPr="00C0580F">
        <w:rPr>
          <w:rFonts w:cs="Arial"/>
          <w:color w:val="000000" w:themeColor="text1"/>
          <w:szCs w:val="22"/>
        </w:rPr>
        <w:t>assess</w:t>
      </w:r>
      <w:r w:rsidR="00DA4936">
        <w:rPr>
          <w:rFonts w:cs="Arial"/>
          <w:color w:val="000000" w:themeColor="text1"/>
          <w:szCs w:val="22"/>
        </w:rPr>
        <w:t xml:space="preserve"> status and</w:t>
      </w:r>
      <w:r w:rsidRPr="00C0580F">
        <w:rPr>
          <w:rFonts w:cs="Arial"/>
          <w:color w:val="000000" w:themeColor="text1"/>
          <w:szCs w:val="22"/>
        </w:rPr>
        <w:t xml:space="preserve"> trends in ecosystem health and resilience indicators for the Great Barrier Reef in relation to water quality and its linkages to end-of-catchment loads</w:t>
      </w:r>
      <w:r w:rsidRPr="00C0580F">
        <w:rPr>
          <w:rFonts w:eastAsia="MS Mincho"/>
          <w:color w:val="000000" w:themeColor="text1"/>
        </w:rPr>
        <w:t xml:space="preserve">. </w:t>
      </w:r>
      <w:r w:rsidRPr="00C0580F">
        <w:rPr>
          <w:color w:val="000000" w:themeColor="text1"/>
        </w:rPr>
        <w:t xml:space="preserve">The sampling design for the </w:t>
      </w:r>
      <w:r w:rsidRPr="00C0580F">
        <w:rPr>
          <w:rFonts w:eastAsia="MS Mincho"/>
          <w:color w:val="000000" w:themeColor="text1"/>
        </w:rPr>
        <w:t xml:space="preserve">coral reef monitoring component </w:t>
      </w:r>
      <w:r w:rsidRPr="00C0580F">
        <w:rPr>
          <w:color w:val="000000" w:themeColor="text1"/>
        </w:rPr>
        <w:t xml:space="preserve">was selected for the detection of change in benthic communities on inshore reefs that could be related to observed changes in water quality. </w:t>
      </w:r>
      <w:r w:rsidRPr="00C0580F">
        <w:rPr>
          <w:rFonts w:ascii="Helvetica" w:hAnsi="Helvetica" w:cs="Helvetica"/>
          <w:color w:val="000000" w:themeColor="text1"/>
          <w:szCs w:val="22"/>
        </w:rPr>
        <w:t xml:space="preserve">Within each of </w:t>
      </w:r>
      <w:r w:rsidRPr="00C0580F">
        <w:rPr>
          <w:color w:val="000000" w:themeColor="text1"/>
        </w:rPr>
        <w:t>four Natural Resource Management (NRM) regions: Wet Tropics (comprising three sub-regions), Burdekin, Mackay Whitsunday and Fitzroy</w:t>
      </w:r>
      <w:r w:rsidRPr="00C0580F">
        <w:rPr>
          <w:rFonts w:ascii="Helvetica" w:hAnsi="Helvetica" w:cs="Helvetica"/>
          <w:color w:val="000000" w:themeColor="text1"/>
          <w:szCs w:val="22"/>
        </w:rPr>
        <w:t xml:space="preserve">, sites were selected along a gradient of exposure to runoff to ensure coverage of communities occupying a range of environmental conditions. In 2015 the water quality component of the program was amended to provide added sampling intensity across gradients within Wet Tropics, Burdekin and Mackay Whitsunday regions. This change included the </w:t>
      </w:r>
      <w:r w:rsidRPr="00B702DE">
        <w:rPr>
          <w:rFonts w:cs="Arial"/>
          <w:szCs w:val="22"/>
        </w:rPr>
        <w:t xml:space="preserve">more direct alignment between the wet season flood monitoring and broad scale water quality programs (reported separately in </w:t>
      </w:r>
      <w:r w:rsidRPr="00B702DE">
        <w:rPr>
          <w:rFonts w:cs="Arial"/>
          <w:szCs w:val="22"/>
          <w:lang w:val="pt-PT"/>
        </w:rPr>
        <w:t xml:space="preserve">Lønborg </w:t>
      </w:r>
      <w:r w:rsidRPr="00051C52">
        <w:rPr>
          <w:rFonts w:cs="Arial"/>
          <w:i/>
          <w:szCs w:val="22"/>
        </w:rPr>
        <w:t>et al.</w:t>
      </w:r>
      <w:r w:rsidRPr="00B702DE">
        <w:rPr>
          <w:rFonts w:cs="Arial"/>
          <w:szCs w:val="22"/>
        </w:rPr>
        <w:t xml:space="preserve"> 2015). This</w:t>
      </w:r>
      <w:r w:rsidRPr="00B702DE">
        <w:rPr>
          <w:rFonts w:ascii="Helvetica" w:hAnsi="Helvetica" w:cs="Helvetica"/>
          <w:szCs w:val="22"/>
        </w:rPr>
        <w:t xml:space="preserve"> </w:t>
      </w:r>
      <w:r w:rsidRPr="00C0580F">
        <w:rPr>
          <w:rFonts w:ascii="Helvetica" w:hAnsi="Helvetica" w:cs="Helvetica"/>
          <w:color w:val="000000" w:themeColor="text1"/>
          <w:szCs w:val="22"/>
        </w:rPr>
        <w:t>change to the water quality program will enhance the ability to detect change in the regional water quality</w:t>
      </w:r>
      <w:r w:rsidR="006C16E2">
        <w:rPr>
          <w:rFonts w:ascii="Helvetica" w:hAnsi="Helvetica" w:cs="Helvetica"/>
          <w:color w:val="000000" w:themeColor="text1"/>
          <w:szCs w:val="22"/>
        </w:rPr>
        <w:t xml:space="preserve">, however, </w:t>
      </w:r>
      <w:r>
        <w:rPr>
          <w:rFonts w:ascii="Helvetica" w:hAnsi="Helvetica" w:cs="Helvetica"/>
          <w:color w:val="000000" w:themeColor="text1"/>
          <w:szCs w:val="22"/>
        </w:rPr>
        <w:t>it</w:t>
      </w:r>
      <w:r w:rsidRPr="00C0580F">
        <w:rPr>
          <w:rFonts w:ascii="Helvetica" w:hAnsi="Helvetica" w:cs="Helvetica"/>
          <w:color w:val="000000" w:themeColor="text1"/>
          <w:szCs w:val="22"/>
        </w:rPr>
        <w:t xml:space="preserve"> comes at the cost of ceasing </w:t>
      </w:r>
      <w:r w:rsidR="006C16E2" w:rsidRPr="006C16E2">
        <w:rPr>
          <w:rFonts w:ascii="Helvetica" w:hAnsi="Helvetica" w:cs="Helvetica"/>
          <w:i/>
          <w:color w:val="000000" w:themeColor="text1"/>
          <w:szCs w:val="22"/>
        </w:rPr>
        <w:t>in-situ</w:t>
      </w:r>
      <w:r w:rsidRPr="00C0580F">
        <w:rPr>
          <w:rFonts w:ascii="Helvetica" w:hAnsi="Helvetica" w:cs="Helvetica"/>
          <w:color w:val="000000" w:themeColor="text1"/>
          <w:szCs w:val="22"/>
        </w:rPr>
        <w:t xml:space="preserve"> water quality sampling in the Fitzroy region</w:t>
      </w:r>
      <w:r>
        <w:rPr>
          <w:rFonts w:ascii="Helvetica" w:hAnsi="Helvetica" w:cs="Helvetica"/>
          <w:color w:val="000000" w:themeColor="text1"/>
          <w:szCs w:val="22"/>
        </w:rPr>
        <w:t>.</w:t>
      </w:r>
    </w:p>
    <w:p w14:paraId="07262138" w14:textId="77777777" w:rsidR="0001199E" w:rsidRPr="00C0580F" w:rsidRDefault="0001199E" w:rsidP="00016545">
      <w:pPr>
        <w:rPr>
          <w:color w:val="000000" w:themeColor="text1"/>
        </w:rPr>
      </w:pPr>
      <w:r w:rsidRPr="00C0580F">
        <w:rPr>
          <w:color w:val="000000" w:themeColor="text1"/>
        </w:rPr>
        <w:t>Until 2014</w:t>
      </w:r>
      <w:r w:rsidR="006C16E2">
        <w:rPr>
          <w:color w:val="000000" w:themeColor="text1"/>
        </w:rPr>
        <w:t>,</w:t>
      </w:r>
      <w:r w:rsidRPr="00C0580F">
        <w:rPr>
          <w:color w:val="000000" w:themeColor="text1"/>
        </w:rPr>
        <w:t xml:space="preserve"> coral reefs sites were designated as either ‘core’ or ‘cycle’ reefs. At the 14 core reefs, surveys of benthic communities were undertaken annually with instrumental and direct water sampling undertaken </w:t>
      </w:r>
      <w:r>
        <w:rPr>
          <w:color w:val="000000" w:themeColor="text1"/>
        </w:rPr>
        <w:t>at co-</w:t>
      </w:r>
      <w:r w:rsidRPr="00C0580F">
        <w:rPr>
          <w:color w:val="000000" w:themeColor="text1"/>
        </w:rPr>
        <w:t xml:space="preserve">located stations. The 18 cycle reefs were visited every other year for surveys of reef status only. Originally, cycle reefs were sampled each year (2005 and 2006), however, </w:t>
      </w:r>
      <w:r w:rsidR="006C16E2" w:rsidRPr="00C0580F">
        <w:rPr>
          <w:color w:val="000000" w:themeColor="text1"/>
        </w:rPr>
        <w:t>in 2007</w:t>
      </w:r>
      <w:r w:rsidR="006C16E2">
        <w:rPr>
          <w:color w:val="000000" w:themeColor="text1"/>
        </w:rPr>
        <w:t xml:space="preserve">, </w:t>
      </w:r>
      <w:r w:rsidR="006C16E2" w:rsidRPr="00C0580F">
        <w:rPr>
          <w:color w:val="000000" w:themeColor="text1"/>
        </w:rPr>
        <w:t xml:space="preserve">as a result of </w:t>
      </w:r>
      <w:r w:rsidR="006C16E2">
        <w:rPr>
          <w:color w:val="000000" w:themeColor="text1"/>
        </w:rPr>
        <w:t>funding reductions,</w:t>
      </w:r>
      <w:r w:rsidR="006C16E2" w:rsidRPr="00C0580F">
        <w:rPr>
          <w:color w:val="000000" w:themeColor="text1"/>
        </w:rPr>
        <w:t xml:space="preserve"> </w:t>
      </w:r>
      <w:r w:rsidRPr="00C0580F">
        <w:rPr>
          <w:color w:val="000000" w:themeColor="text1"/>
        </w:rPr>
        <w:t xml:space="preserve">the </w:t>
      </w:r>
      <w:r w:rsidR="006C16E2" w:rsidRPr="00C0580F">
        <w:rPr>
          <w:color w:val="000000" w:themeColor="text1"/>
        </w:rPr>
        <w:t xml:space="preserve">sampling </w:t>
      </w:r>
      <w:r w:rsidR="006C16E2">
        <w:rPr>
          <w:color w:val="000000" w:themeColor="text1"/>
        </w:rPr>
        <w:t xml:space="preserve">frequency was reduced </w:t>
      </w:r>
      <w:r w:rsidR="006C16E2" w:rsidRPr="00C0580F">
        <w:rPr>
          <w:color w:val="000000" w:themeColor="text1"/>
        </w:rPr>
        <w:t>to every other yea</w:t>
      </w:r>
      <w:r w:rsidR="006C16E2" w:rsidRPr="00324FB6">
        <w:rPr>
          <w:color w:val="000000" w:themeColor="text1"/>
        </w:rPr>
        <w:t>r</w:t>
      </w:r>
      <w:r w:rsidRPr="00324FB6">
        <w:rPr>
          <w:color w:val="000000" w:themeColor="text1"/>
        </w:rPr>
        <w:t>.</w:t>
      </w:r>
      <w:r w:rsidRPr="00C0580F">
        <w:rPr>
          <w:color w:val="000000" w:themeColor="text1"/>
        </w:rPr>
        <w:t xml:space="preserve"> In 2015</w:t>
      </w:r>
      <w:r w:rsidR="006C16E2">
        <w:rPr>
          <w:color w:val="000000" w:themeColor="text1"/>
        </w:rPr>
        <w:t>,</w:t>
      </w:r>
      <w:r w:rsidRPr="00C0580F">
        <w:rPr>
          <w:color w:val="000000" w:themeColor="text1"/>
        </w:rPr>
        <w:t xml:space="preserve"> the sampling frequency of all reef sites was reduced to every other year as a cost</w:t>
      </w:r>
      <w:r w:rsidR="002B59EE">
        <w:rPr>
          <w:color w:val="000000" w:themeColor="text1"/>
        </w:rPr>
        <w:t>-</w:t>
      </w:r>
      <w:r w:rsidRPr="00C0580F">
        <w:rPr>
          <w:color w:val="000000" w:themeColor="text1"/>
        </w:rPr>
        <w:t>effective way to maintain spatial coverage and track long-term trends in community condition</w:t>
      </w:r>
      <w:r>
        <w:rPr>
          <w:color w:val="000000" w:themeColor="text1"/>
        </w:rPr>
        <w:t>,</w:t>
      </w:r>
      <w:r w:rsidRPr="00C0580F">
        <w:rPr>
          <w:color w:val="000000" w:themeColor="text1"/>
        </w:rPr>
        <w:t xml:space="preserve"> and </w:t>
      </w:r>
      <w:r w:rsidR="001A39DC">
        <w:rPr>
          <w:color w:val="000000" w:themeColor="text1"/>
        </w:rPr>
        <w:t xml:space="preserve">the </w:t>
      </w:r>
      <w:r w:rsidRPr="00C0580F">
        <w:rPr>
          <w:color w:val="000000" w:themeColor="text1"/>
        </w:rPr>
        <w:t xml:space="preserve">sediment </w:t>
      </w:r>
      <w:r>
        <w:rPr>
          <w:color w:val="000000" w:themeColor="text1"/>
        </w:rPr>
        <w:t>analys</w:t>
      </w:r>
      <w:r w:rsidR="0010715D">
        <w:rPr>
          <w:color w:val="000000" w:themeColor="text1"/>
        </w:rPr>
        <w:t>e</w:t>
      </w:r>
      <w:r>
        <w:rPr>
          <w:color w:val="000000" w:themeColor="text1"/>
        </w:rPr>
        <w:t>s</w:t>
      </w:r>
      <w:r w:rsidRPr="00C0580F">
        <w:rPr>
          <w:color w:val="000000" w:themeColor="text1"/>
        </w:rPr>
        <w:t xml:space="preserve"> </w:t>
      </w:r>
      <w:r w:rsidR="0010715D">
        <w:rPr>
          <w:color w:val="000000" w:themeColor="text1"/>
        </w:rPr>
        <w:t>were</w:t>
      </w:r>
      <w:r w:rsidRPr="00C0580F">
        <w:rPr>
          <w:color w:val="000000" w:themeColor="text1"/>
        </w:rPr>
        <w:t xml:space="preserve"> </w:t>
      </w:r>
      <w:r w:rsidR="001A39DC">
        <w:rPr>
          <w:color w:val="000000" w:themeColor="text1"/>
        </w:rPr>
        <w:t>discontinued</w:t>
      </w:r>
      <w:r w:rsidRPr="00C0580F">
        <w:rPr>
          <w:color w:val="000000" w:themeColor="text1"/>
        </w:rPr>
        <w:t xml:space="preserve">. The long-term </w:t>
      </w:r>
      <w:r w:rsidR="0010715D">
        <w:rPr>
          <w:color w:val="000000" w:themeColor="text1"/>
        </w:rPr>
        <w:t xml:space="preserve">coral reef </w:t>
      </w:r>
      <w:r w:rsidRPr="00C0580F">
        <w:rPr>
          <w:color w:val="000000" w:themeColor="text1"/>
        </w:rPr>
        <w:t>monitoring program (LTMP) at AIMS has been monitoring three inshore reefs in each of the Wet Tropics, Burdekin and Mackay Whitsunday regions. The LTMP uses comparable methods to MMP and in this report these additional time-series of are included into the MMP reporting and report card scores.</w:t>
      </w:r>
    </w:p>
    <w:p w14:paraId="5CD51EC9" w14:textId="77777777" w:rsidR="0001199E" w:rsidRPr="00446715" w:rsidRDefault="0001199E" w:rsidP="00E56CF1">
      <w:pPr>
        <w:pStyle w:val="Heading4"/>
      </w:pPr>
      <w:bookmarkStart w:id="25" w:name="_Toc393133559"/>
      <w:bookmarkStart w:id="26" w:name="_Toc406143726"/>
      <w:bookmarkStart w:id="27" w:name="_Toc437424400"/>
      <w:bookmarkStart w:id="28" w:name="_Toc437424524"/>
      <w:bookmarkStart w:id="29" w:name="_Toc437432454"/>
      <w:bookmarkStart w:id="30" w:name="_Toc437432527"/>
      <w:r w:rsidRPr="00446715">
        <w:t>Trends in key ecosystem health indicators</w:t>
      </w:r>
      <w:bookmarkEnd w:id="25"/>
      <w:bookmarkEnd w:id="26"/>
      <w:bookmarkEnd w:id="27"/>
      <w:bookmarkEnd w:id="28"/>
      <w:bookmarkEnd w:id="29"/>
      <w:bookmarkEnd w:id="30"/>
      <w:r w:rsidRPr="00446715">
        <w:t xml:space="preserve"> </w:t>
      </w:r>
    </w:p>
    <w:p w14:paraId="770ADCC2" w14:textId="77777777" w:rsidR="0001199E" w:rsidRDefault="0001199E" w:rsidP="00016545">
      <w:pPr>
        <w:rPr>
          <w:color w:val="000000" w:themeColor="text1"/>
        </w:rPr>
      </w:pPr>
      <w:r w:rsidRPr="00446715">
        <w:t xml:space="preserve">In this report we </w:t>
      </w:r>
      <w:r w:rsidR="00DA4936">
        <w:t>present</w:t>
      </w:r>
      <w:r w:rsidRPr="00446715">
        <w:t xml:space="preserve"> temporal trends in coral reef condition indicators. </w:t>
      </w:r>
      <w:r w:rsidR="00DA4936">
        <w:t xml:space="preserve">Each of the five indicators; coral cover, hard coral community composition, macroalgae cover, juvenile coral density and the rate of coral cover increase are converted to metrics of a common scale to facilitate their combination </w:t>
      </w:r>
      <w:r w:rsidR="00860E07">
        <w:t>into a coral index. For each NRM region the coral index provides a summary of the status and trend in coral community condition</w:t>
      </w:r>
      <w:r>
        <w:rPr>
          <w:color w:val="000000" w:themeColor="text1"/>
        </w:rPr>
        <w:t xml:space="preserve"> at inshore coral reefs (</w:t>
      </w:r>
      <w:r w:rsidR="0098520E">
        <w:rPr>
          <w:color w:val="000000" w:themeColor="text1"/>
        </w:rPr>
        <w:fldChar w:fldCharType="begin"/>
      </w:r>
      <w:r w:rsidR="0098520E">
        <w:rPr>
          <w:color w:val="000000" w:themeColor="text1"/>
        </w:rPr>
        <w:instrText xml:space="preserve"> REF _Ref438116666 \h </w:instrText>
      </w:r>
      <w:r w:rsidR="0098520E">
        <w:rPr>
          <w:color w:val="000000" w:themeColor="text1"/>
        </w:rPr>
      </w:r>
      <w:r w:rsidR="0098520E">
        <w:rPr>
          <w:color w:val="000000" w:themeColor="text1"/>
        </w:rPr>
        <w:fldChar w:fldCharType="separate"/>
      </w:r>
      <w:r w:rsidR="00B61881" w:rsidRPr="006B3B22">
        <w:t xml:space="preserve">Figure </w:t>
      </w:r>
      <w:r w:rsidR="00B61881">
        <w:rPr>
          <w:noProof/>
        </w:rPr>
        <w:t>1</w:t>
      </w:r>
      <w:r w:rsidR="0098520E">
        <w:rPr>
          <w:color w:val="000000" w:themeColor="text1"/>
        </w:rPr>
        <w:fldChar w:fldCharType="end"/>
      </w:r>
      <w:r>
        <w:rPr>
          <w:color w:val="000000" w:themeColor="text1"/>
        </w:rPr>
        <w:t>).</w:t>
      </w:r>
      <w:r w:rsidR="00A43F29">
        <w:rPr>
          <w:color w:val="000000" w:themeColor="text1"/>
        </w:rPr>
        <w:t xml:space="preserve"> A suite of water quality indicators are similarly combined to summaries status and trend in marine water quality (Figure 1): Detailed water quality reporting is provided in a separate report (</w:t>
      </w:r>
      <w:r w:rsidR="00A02048">
        <w:rPr>
          <w:color w:val="000000" w:themeColor="text1"/>
          <w:lang w:eastAsia="en-AU"/>
        </w:rPr>
        <w:t>L</w:t>
      </w:r>
      <w:r w:rsidR="00A02048">
        <w:rPr>
          <w:rFonts w:cs="Arial"/>
          <w:color w:val="000000" w:themeColor="text1"/>
          <w:lang w:eastAsia="en-AU"/>
        </w:rPr>
        <w:t>ø</w:t>
      </w:r>
      <w:r w:rsidR="00A02048">
        <w:rPr>
          <w:color w:val="000000" w:themeColor="text1"/>
          <w:lang w:eastAsia="en-AU"/>
        </w:rPr>
        <w:t xml:space="preserve">nborg </w:t>
      </w:r>
      <w:r w:rsidR="00A02048" w:rsidRPr="0054101D">
        <w:rPr>
          <w:i/>
          <w:color w:val="000000" w:themeColor="text1"/>
          <w:lang w:eastAsia="en-AU"/>
        </w:rPr>
        <w:t>et al.</w:t>
      </w:r>
      <w:r w:rsidR="001F6F06">
        <w:rPr>
          <w:i/>
          <w:color w:val="000000" w:themeColor="text1"/>
          <w:lang w:eastAsia="en-AU"/>
        </w:rPr>
        <w:t xml:space="preserve"> 2015</w:t>
      </w:r>
      <w:r w:rsidR="00A43F29">
        <w:rPr>
          <w:color w:val="000000" w:themeColor="text1"/>
        </w:rPr>
        <w:t xml:space="preserve">), </w:t>
      </w:r>
    </w:p>
    <w:p w14:paraId="76C3F336" w14:textId="77777777" w:rsidR="002B59EE" w:rsidRDefault="0001199E" w:rsidP="00016545">
      <w:r w:rsidRPr="00524309">
        <w:rPr>
          <w:rFonts w:cs="Arial"/>
        </w:rPr>
        <w:t xml:space="preserve">The water quality index in the </w:t>
      </w:r>
      <w:r w:rsidRPr="00524309">
        <w:rPr>
          <w:rFonts w:cs="Arial"/>
          <w:b/>
        </w:rPr>
        <w:t>Wet Tropics Region</w:t>
      </w:r>
      <w:r w:rsidRPr="00524309">
        <w:rPr>
          <w:rFonts w:cs="Arial"/>
        </w:rPr>
        <w:t xml:space="preserve"> has </w:t>
      </w:r>
      <w:r w:rsidR="0010715D">
        <w:rPr>
          <w:rFonts w:cs="Arial"/>
        </w:rPr>
        <w:t xml:space="preserve">a </w:t>
      </w:r>
      <w:r w:rsidRPr="00524309">
        <w:rPr>
          <w:rFonts w:cs="Arial"/>
        </w:rPr>
        <w:t>‘good’</w:t>
      </w:r>
      <w:r w:rsidR="0010715D">
        <w:rPr>
          <w:rFonts w:cs="Arial"/>
        </w:rPr>
        <w:t>,</w:t>
      </w:r>
      <w:r w:rsidRPr="00524309">
        <w:rPr>
          <w:rFonts w:cs="Arial"/>
        </w:rPr>
        <w:t xml:space="preserve"> though declining</w:t>
      </w:r>
      <w:r w:rsidR="0010715D">
        <w:rPr>
          <w:rFonts w:cs="Arial"/>
        </w:rPr>
        <w:t>,</w:t>
      </w:r>
      <w:r w:rsidRPr="00524309">
        <w:rPr>
          <w:rFonts w:cs="Arial"/>
        </w:rPr>
        <w:t xml:space="preserve"> score in recent years (</w:t>
      </w:r>
      <w:r w:rsidR="0098520E">
        <w:rPr>
          <w:rFonts w:cs="Arial"/>
        </w:rPr>
        <w:fldChar w:fldCharType="begin"/>
      </w:r>
      <w:r w:rsidR="0098520E">
        <w:rPr>
          <w:rFonts w:cs="Arial"/>
        </w:rPr>
        <w:instrText xml:space="preserve"> REF _Ref438116666 \h </w:instrText>
      </w:r>
      <w:r w:rsidR="0098520E">
        <w:rPr>
          <w:rFonts w:cs="Arial"/>
        </w:rPr>
      </w:r>
      <w:r w:rsidR="0098520E">
        <w:rPr>
          <w:rFonts w:cs="Arial"/>
        </w:rPr>
        <w:fldChar w:fldCharType="separate"/>
      </w:r>
      <w:r w:rsidR="00B61881" w:rsidRPr="006B3B22">
        <w:t xml:space="preserve">Figure </w:t>
      </w:r>
      <w:r w:rsidR="00B61881">
        <w:rPr>
          <w:noProof/>
        </w:rPr>
        <w:t>1</w:t>
      </w:r>
      <w:r w:rsidR="0098520E">
        <w:rPr>
          <w:rFonts w:cs="Arial"/>
        </w:rPr>
        <w:fldChar w:fldCharType="end"/>
      </w:r>
      <w:r w:rsidRPr="00524309">
        <w:rPr>
          <w:rFonts w:cs="Arial"/>
        </w:rPr>
        <w:t xml:space="preserve">). </w:t>
      </w:r>
      <w:r w:rsidRPr="00524309">
        <w:t>It is pertinent to note at this point that the regional water quality index is currently based on a selected set of variables for which GBR water quality guidelines are available. The index as reported here represents the sampling design of the MMP up until 2014</w:t>
      </w:r>
      <w:r w:rsidR="002B59EE">
        <w:t>. W</w:t>
      </w:r>
      <w:r w:rsidRPr="00524309">
        <w:t>hile it does provide a valid estimation of water quality condition, it is</w:t>
      </w:r>
      <w:r w:rsidR="00B202AC">
        <w:t xml:space="preserve"> </w:t>
      </w:r>
      <w:r w:rsidRPr="00524309">
        <w:t xml:space="preserve">important to emphasise that a more comprehensive sampling program was adopted in 2015 aimed at improving the monitoring and reporting of water quality trends. </w:t>
      </w:r>
    </w:p>
    <w:p w14:paraId="56565ED2" w14:textId="77777777" w:rsidR="0001199E" w:rsidRPr="00524309" w:rsidRDefault="0001199E" w:rsidP="00016545">
      <w:pPr>
        <w:rPr>
          <w:rFonts w:cs="Arial"/>
        </w:rPr>
      </w:pPr>
      <w:r w:rsidRPr="00524309">
        <w:rPr>
          <w:rFonts w:cs="Arial"/>
        </w:rPr>
        <w:lastRenderedPageBreak/>
        <w:t xml:space="preserve">The 2015 assessment of the coral index for the </w:t>
      </w:r>
      <w:r w:rsidRPr="00524309">
        <w:rPr>
          <w:rFonts w:cs="Arial"/>
          <w:b/>
        </w:rPr>
        <w:t>Wet Tropics</w:t>
      </w:r>
      <w:r w:rsidRPr="00524309">
        <w:rPr>
          <w:rFonts w:cs="Arial"/>
        </w:rPr>
        <w:t xml:space="preserve"> is ‘moderate’ and represents an improvement from a low point recorded in 2013 (</w:t>
      </w:r>
      <w:r w:rsidR="0098520E">
        <w:rPr>
          <w:rFonts w:cs="Arial"/>
        </w:rPr>
        <w:fldChar w:fldCharType="begin"/>
      </w:r>
      <w:r w:rsidR="0098520E">
        <w:rPr>
          <w:rFonts w:cs="Arial"/>
        </w:rPr>
        <w:instrText xml:space="preserve"> REF _Ref438116666 \h </w:instrText>
      </w:r>
      <w:r w:rsidR="0098520E">
        <w:rPr>
          <w:rFonts w:cs="Arial"/>
        </w:rPr>
      </w:r>
      <w:r w:rsidR="0098520E">
        <w:rPr>
          <w:rFonts w:cs="Arial"/>
        </w:rPr>
        <w:fldChar w:fldCharType="separate"/>
      </w:r>
      <w:r w:rsidR="00B61881" w:rsidRPr="006B3B22">
        <w:t xml:space="preserve">Figure </w:t>
      </w:r>
      <w:r w:rsidR="00B61881">
        <w:rPr>
          <w:noProof/>
        </w:rPr>
        <w:t>1</w:t>
      </w:r>
      <w:r w:rsidR="0098520E">
        <w:rPr>
          <w:rFonts w:cs="Arial"/>
        </w:rPr>
        <w:fldChar w:fldCharType="end"/>
      </w:r>
      <w:r w:rsidRPr="00524309">
        <w:rPr>
          <w:rFonts w:cs="Arial"/>
        </w:rPr>
        <w:t xml:space="preserve">). </w:t>
      </w:r>
    </w:p>
    <w:p w14:paraId="4A807009" w14:textId="77777777" w:rsidR="0001199E" w:rsidRDefault="0001199E" w:rsidP="00B202AC">
      <w:pPr>
        <w:spacing w:after="0"/>
        <w:rPr>
          <w:rFonts w:cs="Arial"/>
        </w:rPr>
      </w:pPr>
      <w:r w:rsidRPr="00524309">
        <w:rPr>
          <w:rFonts w:cs="Arial"/>
        </w:rPr>
        <w:t xml:space="preserve">In both the Barron-Daintree and Johnstone Russell-Mulgrave sub-regions high levels of coral disease </w:t>
      </w:r>
      <w:r w:rsidR="002B59EE">
        <w:rPr>
          <w:rFonts w:cs="Arial"/>
        </w:rPr>
        <w:t xml:space="preserve">were observed </w:t>
      </w:r>
      <w:r w:rsidRPr="00524309">
        <w:rPr>
          <w:rFonts w:cs="Arial"/>
        </w:rPr>
        <w:t>in 2010 and 2011</w:t>
      </w:r>
      <w:r w:rsidR="002B59EE">
        <w:rPr>
          <w:rFonts w:cs="Arial"/>
        </w:rPr>
        <w:t>,</w:t>
      </w:r>
      <w:r w:rsidRPr="00524309">
        <w:rPr>
          <w:rFonts w:cs="Arial"/>
        </w:rPr>
        <w:t xml:space="preserve"> followed by outbreaks of crown-of-thorns seastars (COTS), both </w:t>
      </w:r>
      <w:r w:rsidR="002B59EE">
        <w:rPr>
          <w:rFonts w:cs="Arial"/>
        </w:rPr>
        <w:t xml:space="preserve">are </w:t>
      </w:r>
      <w:r w:rsidRPr="00524309">
        <w:rPr>
          <w:rFonts w:cs="Arial"/>
        </w:rPr>
        <w:t>stressors with potential links to</w:t>
      </w:r>
      <w:r w:rsidR="001F6F06">
        <w:rPr>
          <w:rFonts w:cs="Arial"/>
        </w:rPr>
        <w:t xml:space="preserve"> elevated nutrient and or turbidity associated with runoff</w:t>
      </w:r>
      <w:r w:rsidRPr="00524309">
        <w:rPr>
          <w:rFonts w:cs="Arial"/>
        </w:rPr>
        <w:t xml:space="preserve">. Physical damage occurred during the passage of tropical cyclones at most reefs with the cyclones Larry (2006), Tasha (2010), Yasi (2011) and </w:t>
      </w:r>
      <w:proofErr w:type="gramStart"/>
      <w:r w:rsidRPr="00524309">
        <w:rPr>
          <w:rFonts w:cs="Arial"/>
        </w:rPr>
        <w:t>Ita</w:t>
      </w:r>
      <w:proofErr w:type="gramEnd"/>
      <w:r w:rsidRPr="00524309">
        <w:rPr>
          <w:rFonts w:cs="Arial"/>
        </w:rPr>
        <w:t xml:space="preserve"> (2014) variously reducing coral cover at reefs across </w:t>
      </w:r>
      <w:r w:rsidR="001F6F06">
        <w:rPr>
          <w:rFonts w:cs="Arial"/>
        </w:rPr>
        <w:t>the region</w:t>
      </w:r>
      <w:r w:rsidRPr="00524309">
        <w:rPr>
          <w:rFonts w:cs="Arial"/>
        </w:rPr>
        <w:t>. In tandem with the loss of coral cover was an increase in the cover of macroalgae</w:t>
      </w:r>
      <w:r>
        <w:rPr>
          <w:rFonts w:cs="Arial"/>
        </w:rPr>
        <w:t xml:space="preserve"> at several reefs. </w:t>
      </w:r>
      <w:r w:rsidRPr="00524309">
        <w:rPr>
          <w:rFonts w:cs="Arial"/>
        </w:rPr>
        <w:t>The proli</w:t>
      </w:r>
      <w:r>
        <w:rPr>
          <w:rFonts w:cs="Arial"/>
        </w:rPr>
        <w:t>feration of macroalgae indicated</w:t>
      </w:r>
      <w:r w:rsidRPr="00524309">
        <w:rPr>
          <w:rFonts w:cs="Arial"/>
        </w:rPr>
        <w:t xml:space="preserve"> that, despite </w:t>
      </w:r>
      <w:r w:rsidR="0010715D">
        <w:rPr>
          <w:rFonts w:cs="Arial"/>
        </w:rPr>
        <w:t xml:space="preserve">the water quality being </w:t>
      </w:r>
      <w:r w:rsidR="001F6F06">
        <w:rPr>
          <w:rFonts w:cs="Arial"/>
        </w:rPr>
        <w:t xml:space="preserve">scored </w:t>
      </w:r>
      <w:r w:rsidR="0010715D">
        <w:rPr>
          <w:rFonts w:cs="Arial"/>
        </w:rPr>
        <w:t>as “good”</w:t>
      </w:r>
      <w:r>
        <w:rPr>
          <w:rFonts w:cs="Arial"/>
        </w:rPr>
        <w:t>, water quality at these reefs was</w:t>
      </w:r>
      <w:r w:rsidRPr="00524309">
        <w:rPr>
          <w:rFonts w:cs="Arial"/>
        </w:rPr>
        <w:t xml:space="preserve"> sufficiently poor </w:t>
      </w:r>
      <w:r w:rsidR="0010715D">
        <w:rPr>
          <w:rFonts w:cs="Arial"/>
        </w:rPr>
        <w:t>to promote</w:t>
      </w:r>
      <w:r w:rsidRPr="00524309">
        <w:rPr>
          <w:rFonts w:cs="Arial"/>
        </w:rPr>
        <w:t xml:space="preserve"> macroalgal </w:t>
      </w:r>
      <w:r w:rsidR="0010715D">
        <w:rPr>
          <w:rFonts w:cs="Arial"/>
        </w:rPr>
        <w:t>growth</w:t>
      </w:r>
      <w:r>
        <w:rPr>
          <w:rFonts w:cs="Arial"/>
        </w:rPr>
        <w:t xml:space="preserve">. </w:t>
      </w:r>
    </w:p>
    <w:p w14:paraId="3C56E9A1" w14:textId="77777777" w:rsidR="00B202AC" w:rsidRDefault="00B202AC" w:rsidP="00B202AC">
      <w:pPr>
        <w:spacing w:after="0"/>
        <w:rPr>
          <w:rFonts w:cs="Arial"/>
        </w:rPr>
      </w:pPr>
    </w:p>
    <w:p w14:paraId="6D4D8F97" w14:textId="77777777" w:rsidR="00C11839" w:rsidRDefault="0001199E" w:rsidP="00A01797">
      <w:pPr>
        <w:rPr>
          <w:rFonts w:cs="Arial"/>
        </w:rPr>
      </w:pPr>
      <w:r>
        <w:rPr>
          <w:rFonts w:cs="Arial"/>
        </w:rPr>
        <w:t>In both the Johnstone Russell-Mulgrave and Tully Herbert</w:t>
      </w:r>
      <w:r w:rsidRPr="00524309">
        <w:rPr>
          <w:rFonts w:cs="Arial"/>
        </w:rPr>
        <w:t xml:space="preserve"> sub-regions</w:t>
      </w:r>
      <w:r>
        <w:rPr>
          <w:rFonts w:cs="Arial"/>
        </w:rPr>
        <w:t>,</w:t>
      </w:r>
      <w:r w:rsidRPr="00524309">
        <w:rPr>
          <w:rFonts w:cs="Arial"/>
        </w:rPr>
        <w:t xml:space="preserve"> </w:t>
      </w:r>
      <w:r w:rsidR="00324FB6">
        <w:rPr>
          <w:rFonts w:cs="Arial"/>
        </w:rPr>
        <w:t xml:space="preserve">in the absence of any acute disturbance events, </w:t>
      </w:r>
      <w:r>
        <w:rPr>
          <w:rFonts w:cs="Arial"/>
        </w:rPr>
        <w:t>scores for the majority of indicator metrics</w:t>
      </w:r>
      <w:r w:rsidR="00324FB6">
        <w:rPr>
          <w:rFonts w:cs="Arial"/>
        </w:rPr>
        <w:t xml:space="preserve"> have</w:t>
      </w:r>
      <w:r>
        <w:rPr>
          <w:rFonts w:cs="Arial"/>
        </w:rPr>
        <w:t xml:space="preserve"> improved over the last two years</w:t>
      </w:r>
      <w:r w:rsidR="00DE2118">
        <w:rPr>
          <w:rFonts w:cs="Arial"/>
        </w:rPr>
        <w:t xml:space="preserve"> (Figure 2)</w:t>
      </w:r>
      <w:r>
        <w:rPr>
          <w:rFonts w:cs="Arial"/>
        </w:rPr>
        <w:t xml:space="preserve">. Improvement across a range of indicators provides a positive indication of community resilience. Coral communities in the Barron-Daintree sub-region </w:t>
      </w:r>
      <w:r w:rsidR="0010715D">
        <w:rPr>
          <w:rFonts w:cs="Arial"/>
        </w:rPr>
        <w:t>were affected</w:t>
      </w:r>
      <w:r>
        <w:rPr>
          <w:rFonts w:cs="Arial"/>
        </w:rPr>
        <w:t xml:space="preserve"> by Cyclone Ita in 2014 and are yet to show clear recovery</w:t>
      </w:r>
      <w:r w:rsidR="0010715D">
        <w:rPr>
          <w:rFonts w:cs="Arial"/>
        </w:rPr>
        <w:t xml:space="preserve">. </w:t>
      </w:r>
      <w:r w:rsidR="00C11839">
        <w:rPr>
          <w:rFonts w:cs="Arial"/>
        </w:rPr>
        <w:t>In the past, t</w:t>
      </w:r>
      <w:r w:rsidR="0010715D">
        <w:rPr>
          <w:rFonts w:cs="Arial"/>
        </w:rPr>
        <w:t>h</w:t>
      </w:r>
      <w:r>
        <w:rPr>
          <w:rFonts w:cs="Arial"/>
        </w:rPr>
        <w:t>ese reefs demonstrate</w:t>
      </w:r>
      <w:r w:rsidR="00C11839">
        <w:rPr>
          <w:rFonts w:cs="Arial"/>
        </w:rPr>
        <w:t>d</w:t>
      </w:r>
      <w:r>
        <w:rPr>
          <w:rFonts w:cs="Arial"/>
        </w:rPr>
        <w:t xml:space="preserve"> the ability to recover from </w:t>
      </w:r>
      <w:r w:rsidR="00C11839">
        <w:rPr>
          <w:rFonts w:cs="Arial"/>
        </w:rPr>
        <w:t xml:space="preserve">acute </w:t>
      </w:r>
      <w:r>
        <w:rPr>
          <w:rFonts w:cs="Arial"/>
        </w:rPr>
        <w:t>disturbances with index scores increasing to ‘good’ in 2008 (</w:t>
      </w:r>
      <w:r w:rsidR="0098520E">
        <w:rPr>
          <w:rFonts w:cs="Arial"/>
        </w:rPr>
        <w:fldChar w:fldCharType="begin"/>
      </w:r>
      <w:r w:rsidR="0098520E">
        <w:rPr>
          <w:rFonts w:cs="Arial"/>
        </w:rPr>
        <w:instrText xml:space="preserve"> REF _Ref438116746 \h </w:instrText>
      </w:r>
      <w:r w:rsidR="0098520E">
        <w:rPr>
          <w:rFonts w:cs="Arial"/>
        </w:rPr>
      </w:r>
      <w:r w:rsidR="0098520E">
        <w:rPr>
          <w:rFonts w:cs="Arial"/>
        </w:rPr>
        <w:fldChar w:fldCharType="separate"/>
      </w:r>
      <w:r w:rsidR="00B61881">
        <w:t xml:space="preserve">Figure </w:t>
      </w:r>
      <w:r w:rsidR="00B61881">
        <w:rPr>
          <w:noProof/>
        </w:rPr>
        <w:t>2</w:t>
      </w:r>
      <w:r w:rsidR="0098520E">
        <w:rPr>
          <w:rFonts w:cs="Arial"/>
        </w:rPr>
        <w:fldChar w:fldCharType="end"/>
      </w:r>
      <w:r>
        <w:rPr>
          <w:rFonts w:cs="Arial"/>
        </w:rPr>
        <w:t xml:space="preserve">). </w:t>
      </w:r>
    </w:p>
    <w:p w14:paraId="538A8658" w14:textId="77777777" w:rsidR="00324FB6" w:rsidRDefault="00324FB6" w:rsidP="00A01797">
      <w:pPr>
        <w:rPr>
          <w:rFonts w:cs="Arial"/>
        </w:rPr>
      </w:pPr>
    </w:p>
    <w:p w14:paraId="0450CCCB" w14:textId="77777777" w:rsidR="0001199E" w:rsidRDefault="00AF0E1F" w:rsidP="00A01797">
      <w:pPr>
        <w:rPr>
          <w:rFonts w:cs="Arial"/>
        </w:rPr>
      </w:pPr>
      <w:r>
        <w:rPr>
          <w:noProof/>
          <w:lang w:val="en-AU" w:eastAsia="en-AU"/>
        </w:rPr>
        <w:drawing>
          <wp:inline distT="0" distB="0" distL="0" distR="0" wp14:anchorId="4F03DBE4" wp14:editId="62179FF4">
            <wp:extent cx="6120765" cy="1530350"/>
            <wp:effectExtent l="0" t="0" r="0" b="0"/>
            <wp:docPr id="11" name="Picture 11" descr="Figure 1: Coral Index The regional coral index aggregates scores for coral cover, proportional cover of macroalgae, density of juvenile corals, the rate of coral cover increase and change in coral community composition. Colours for the coral index classify condition as: red= very poor, orange= poor, yellow= moderate, light green= good, dark green= very good. " title="Figure 1: Coral Index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msCoralOverall_flntu.niskin.all.reef.av.daily.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20765" cy="1530350"/>
                    </a:xfrm>
                    <a:prstGeom prst="rect">
                      <a:avLst/>
                    </a:prstGeom>
                  </pic:spPr>
                </pic:pic>
              </a:graphicData>
            </a:graphic>
          </wp:inline>
        </w:drawing>
      </w:r>
    </w:p>
    <w:p w14:paraId="2ACD2DA9" w14:textId="77777777" w:rsidR="00A01797" w:rsidRDefault="00AF0E1F" w:rsidP="00C11839">
      <w:r>
        <w:rPr>
          <w:noProof/>
          <w:lang w:val="en-AU" w:eastAsia="en-AU"/>
        </w:rPr>
        <w:drawing>
          <wp:inline distT="0" distB="0" distL="0" distR="0" wp14:anchorId="3F604395" wp14:editId="6B0D9334">
            <wp:extent cx="6120765" cy="1530350"/>
            <wp:effectExtent l="0" t="0" r="0" b="0"/>
            <wp:docPr id="12" name="Picture 12" descr="Figure 1 The water quality index aggregates scores for five indicators: concentrations of particulate nitrogen and phosphorus, chlorophyll, and a combined water clarity indicator (suspended solids, turbidity and Secchi depth), relative to Guideline values (GBRMPA 2010), along with combined nitrate and nitrite relative to a reference point of 2µgL-1. Symbols are coloured: dark green when the mean concentration of indicators was less than 50% of the Guideline, light green when values ranged between the Guideline and 50% of the Guideline and yellow when values exceeded the Guideline by up to 41% of the Guideline. Detailed derivation of scores can be found in Lønborg et al. (2015)." title="Figure 1 The water quality ind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msWQOverall_flntu.niskin.all.reef.av.daily.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0765" cy="1530350"/>
                    </a:xfrm>
                    <a:prstGeom prst="rect">
                      <a:avLst/>
                    </a:prstGeom>
                  </pic:spPr>
                </pic:pic>
              </a:graphicData>
            </a:graphic>
          </wp:inline>
        </w:drawing>
      </w:r>
      <w:bookmarkStart w:id="31" w:name="_Toc437423846"/>
      <w:bookmarkStart w:id="32" w:name="_Toc437424025"/>
      <w:bookmarkStart w:id="33" w:name="_Toc437424287"/>
      <w:bookmarkStart w:id="34" w:name="_Toc425851959"/>
    </w:p>
    <w:p w14:paraId="1C5D82CA" w14:textId="77777777" w:rsidR="006B5C58" w:rsidRPr="00C11839" w:rsidRDefault="00A01797" w:rsidP="00E56CF1">
      <w:pPr>
        <w:pStyle w:val="Caption"/>
        <w:rPr>
          <w:rStyle w:val="IntenseReference"/>
          <w:rFonts w:eastAsia="SimSun"/>
          <w:bCs w:val="0"/>
          <w:vanish/>
          <w:color w:val="auto"/>
          <w:szCs w:val="24"/>
        </w:rPr>
      </w:pPr>
      <w:bookmarkStart w:id="35" w:name="_Ref438116666"/>
      <w:bookmarkStart w:id="36" w:name="_Toc437597622"/>
      <w:bookmarkStart w:id="37" w:name="_Toc460490770"/>
      <w:r w:rsidRPr="006B3B22">
        <w:t xml:space="preserve">Figure </w:t>
      </w:r>
      <w:r w:rsidR="005D2F9F">
        <w:fldChar w:fldCharType="begin"/>
      </w:r>
      <w:r w:rsidR="005D2F9F">
        <w:instrText xml:space="preserve"> SEQ Figure \* ARABIC </w:instrText>
      </w:r>
      <w:r w:rsidR="005D2F9F">
        <w:fldChar w:fldCharType="separate"/>
      </w:r>
      <w:r w:rsidR="00B61881">
        <w:rPr>
          <w:noProof/>
        </w:rPr>
        <w:t>1</w:t>
      </w:r>
      <w:r w:rsidR="005D2F9F">
        <w:rPr>
          <w:noProof/>
        </w:rPr>
        <w:fldChar w:fldCharType="end"/>
      </w:r>
      <w:bookmarkEnd w:id="35"/>
      <w:r w:rsidR="006B5C58" w:rsidRPr="006B3B22">
        <w:t xml:space="preserve">: </w:t>
      </w:r>
      <w:r w:rsidR="00E51750" w:rsidRPr="006B3B22">
        <w:t>Coral Index and Water Quality Index.</w:t>
      </w:r>
      <w:bookmarkStart w:id="38" w:name="_Toc437424288"/>
      <w:bookmarkStart w:id="39" w:name="_Toc437432342"/>
      <w:bookmarkEnd w:id="31"/>
      <w:bookmarkEnd w:id="32"/>
      <w:bookmarkEnd w:id="33"/>
      <w:bookmarkEnd w:id="36"/>
      <w:bookmarkEnd w:id="37"/>
      <w:r w:rsidR="00B56F9A" w:rsidRPr="006B3B22">
        <w:rPr>
          <w:rStyle w:val="IntenseReference"/>
          <w:rFonts w:eastAsia="SimSun"/>
          <w:bCs w:val="0"/>
          <w:color w:val="auto"/>
          <w:szCs w:val="24"/>
        </w:rPr>
        <w:t xml:space="preserve"> </w:t>
      </w:r>
    </w:p>
    <w:p w14:paraId="4A6F436B" w14:textId="77777777" w:rsidR="00B202AC" w:rsidRPr="006B3B22" w:rsidRDefault="004F70A5" w:rsidP="00E56CF1">
      <w:pPr>
        <w:pStyle w:val="Caption"/>
        <w:rPr>
          <w:rStyle w:val="IntenseReference"/>
          <w:rFonts w:eastAsia="SimSun"/>
        </w:rPr>
      </w:pPr>
      <w:bookmarkStart w:id="40" w:name="_Toc437597623"/>
      <w:r w:rsidRPr="006B3B22">
        <w:rPr>
          <w:rStyle w:val="IntenseReference"/>
          <w:rFonts w:eastAsia="SimSun"/>
        </w:rPr>
        <w:t xml:space="preserve">The regional </w:t>
      </w:r>
      <w:r w:rsidR="00A43F29">
        <w:rPr>
          <w:rStyle w:val="IntenseReference"/>
          <w:rFonts w:eastAsia="SimSun"/>
        </w:rPr>
        <w:t>coral</w:t>
      </w:r>
      <w:r w:rsidRPr="006B3B22">
        <w:rPr>
          <w:rStyle w:val="IntenseReference"/>
          <w:rFonts w:eastAsia="SimSun"/>
        </w:rPr>
        <w:t xml:space="preserve"> index aggregates scores for coral cover, proportional cover of macroalgae, density of juvenile corals, the rate of coral cover increase and change in coral community composition. </w:t>
      </w:r>
      <w:r w:rsidRPr="00623D39">
        <w:rPr>
          <w:rStyle w:val="IntenseReference"/>
          <w:rFonts w:eastAsia="SimSun"/>
        </w:rPr>
        <w:t xml:space="preserve">Colours for the coral index classify condition as: red= very poor, orange= poor, yellow= moderate, light green= good, dark green= very good. </w:t>
      </w:r>
      <w:r w:rsidR="00623D39" w:rsidRPr="00623D39">
        <w:rPr>
          <w:rStyle w:val="IntenseReference"/>
          <w:rFonts w:eastAsia="SimSun"/>
        </w:rPr>
        <w:t xml:space="preserve">The water quality index aggregates scores for five indicators: concentrations of particulate nitrogen, </w:t>
      </w:r>
      <w:r w:rsidR="00623D39" w:rsidRPr="00623D39">
        <w:rPr>
          <w:rStyle w:val="IntenseReference"/>
          <w:rFonts w:eastAsia="SimSun"/>
          <w:color w:val="auto"/>
        </w:rPr>
        <w:t xml:space="preserve">particulate </w:t>
      </w:r>
      <w:r w:rsidR="00623D39" w:rsidRPr="00623D39">
        <w:rPr>
          <w:rStyle w:val="IntenseReference"/>
          <w:rFonts w:eastAsia="SimSun"/>
        </w:rPr>
        <w:t>phosphorus, nitrate and nitrite, chlorophyll, and a combined water clarity indicator (suspended solids, turbidity, and Secchi depth), calculated as the mean of the proportional deviations of each indicator from Guideline values, with the boundary between a good and a moderate score being the respective guideline value</w:t>
      </w:r>
      <w:r w:rsidR="00623D39">
        <w:rPr>
          <w:rStyle w:val="IntenseReference"/>
          <w:rFonts w:eastAsia="SimSun"/>
        </w:rPr>
        <w:t xml:space="preserve"> (see</w:t>
      </w:r>
      <w:r w:rsidRPr="00623D39">
        <w:rPr>
          <w:rStyle w:val="IntenseReference"/>
          <w:rFonts w:eastAsia="SimSun"/>
        </w:rPr>
        <w:t xml:space="preserve"> Lønborg </w:t>
      </w:r>
      <w:r w:rsidRPr="00623D39">
        <w:rPr>
          <w:rStyle w:val="IntenseReference"/>
          <w:rFonts w:eastAsia="SimSun"/>
          <w:i/>
        </w:rPr>
        <w:t>et al</w:t>
      </w:r>
      <w:r w:rsidR="00051C52" w:rsidRPr="00623D39">
        <w:rPr>
          <w:rStyle w:val="IntenseReference"/>
          <w:rFonts w:eastAsia="SimSun"/>
        </w:rPr>
        <w:t>.</w:t>
      </w:r>
      <w:r w:rsidRPr="00623D39">
        <w:rPr>
          <w:rStyle w:val="IntenseReference"/>
          <w:rFonts w:eastAsia="SimSun"/>
        </w:rPr>
        <w:t xml:space="preserve"> (</w:t>
      </w:r>
      <w:r w:rsidR="008E6F11" w:rsidRPr="00623D39">
        <w:rPr>
          <w:rStyle w:val="IntenseReference"/>
          <w:rFonts w:eastAsia="SimSun"/>
        </w:rPr>
        <w:t>2015</w:t>
      </w:r>
      <w:r w:rsidRPr="00623D39">
        <w:rPr>
          <w:rStyle w:val="IntenseReference"/>
          <w:rFonts w:eastAsia="SimSun"/>
        </w:rPr>
        <w:t>)</w:t>
      </w:r>
      <w:r w:rsidR="00623D39">
        <w:rPr>
          <w:rStyle w:val="IntenseReference"/>
          <w:rFonts w:eastAsia="SimSun"/>
        </w:rPr>
        <w:t xml:space="preserve"> for a detailed description of the </w:t>
      </w:r>
      <w:r w:rsidR="00623D39" w:rsidRPr="00623D39">
        <w:rPr>
          <w:rStyle w:val="IntenseReference"/>
          <w:rFonts w:eastAsia="SimSun"/>
        </w:rPr>
        <w:t xml:space="preserve">derivation of </w:t>
      </w:r>
      <w:r w:rsidR="00623D39">
        <w:rPr>
          <w:rStyle w:val="IntenseReference"/>
          <w:rFonts w:eastAsia="SimSun"/>
        </w:rPr>
        <w:t xml:space="preserve">water quality </w:t>
      </w:r>
      <w:r w:rsidR="00623D39" w:rsidRPr="00623D39">
        <w:rPr>
          <w:rStyle w:val="IntenseReference"/>
          <w:rFonts w:eastAsia="SimSun"/>
        </w:rPr>
        <w:t>scores</w:t>
      </w:r>
      <w:r w:rsidR="00623D39">
        <w:rPr>
          <w:rStyle w:val="IntenseReference"/>
          <w:rFonts w:eastAsia="SimSun"/>
        </w:rPr>
        <w:t>)</w:t>
      </w:r>
      <w:r w:rsidR="00651033" w:rsidRPr="00623D39">
        <w:rPr>
          <w:rStyle w:val="IntenseReference"/>
          <w:rFonts w:eastAsia="SimSun"/>
        </w:rPr>
        <w:t>.</w:t>
      </w:r>
      <w:bookmarkEnd w:id="34"/>
      <w:bookmarkEnd w:id="38"/>
      <w:bookmarkEnd w:id="39"/>
      <w:bookmarkEnd w:id="40"/>
    </w:p>
    <w:p w14:paraId="297A3704" w14:textId="77777777" w:rsidR="00B56F9A" w:rsidRPr="00B56F9A" w:rsidRDefault="00B56F9A" w:rsidP="00B56F9A">
      <w:pPr>
        <w:rPr>
          <w:rFonts w:eastAsia="SimSun"/>
        </w:rPr>
      </w:pPr>
    </w:p>
    <w:p w14:paraId="509D5172" w14:textId="77777777" w:rsidR="0001199E" w:rsidRPr="006E3B4E" w:rsidRDefault="0001199E" w:rsidP="002B6DF5">
      <w:pPr>
        <w:spacing w:after="240"/>
        <w:rPr>
          <w:rFonts w:cs="Arial"/>
        </w:rPr>
      </w:pPr>
      <w:r w:rsidRPr="006E3B4E">
        <w:rPr>
          <w:rFonts w:cs="Arial"/>
        </w:rPr>
        <w:t xml:space="preserve">The overall condition of the water quality in the </w:t>
      </w:r>
      <w:r w:rsidRPr="006E3B4E">
        <w:rPr>
          <w:rFonts w:cs="Arial"/>
          <w:b/>
        </w:rPr>
        <w:t>Burdekin Region</w:t>
      </w:r>
      <w:r w:rsidRPr="006E3B4E">
        <w:rPr>
          <w:rFonts w:cs="Arial"/>
        </w:rPr>
        <w:t xml:space="preserve"> showed initial improvements at the start of the monitoring program and has declined slightly over the last several years though retains an overall index score of ‘good’ in 2015 (</w:t>
      </w:r>
      <w:r w:rsidR="0098520E">
        <w:rPr>
          <w:rFonts w:cs="Arial"/>
        </w:rPr>
        <w:fldChar w:fldCharType="begin"/>
      </w:r>
      <w:r w:rsidR="0098520E">
        <w:rPr>
          <w:rFonts w:cs="Arial"/>
        </w:rPr>
        <w:instrText xml:space="preserve"> REF _Ref438116666 \h </w:instrText>
      </w:r>
      <w:r w:rsidR="0098520E">
        <w:rPr>
          <w:rFonts w:cs="Arial"/>
        </w:rPr>
      </w:r>
      <w:r w:rsidR="0098520E">
        <w:rPr>
          <w:rFonts w:cs="Arial"/>
        </w:rPr>
        <w:fldChar w:fldCharType="separate"/>
      </w:r>
      <w:r w:rsidR="00B61881" w:rsidRPr="006B3B22">
        <w:t xml:space="preserve">Figure </w:t>
      </w:r>
      <w:r w:rsidR="00B61881">
        <w:rPr>
          <w:noProof/>
        </w:rPr>
        <w:t>1</w:t>
      </w:r>
      <w:r w:rsidR="0098520E">
        <w:rPr>
          <w:rFonts w:cs="Arial"/>
        </w:rPr>
        <w:fldChar w:fldCharType="end"/>
      </w:r>
      <w:r w:rsidRPr="006E3B4E">
        <w:rPr>
          <w:rFonts w:cs="Arial"/>
        </w:rPr>
        <w:t xml:space="preserve">). There has, however, been a noticeable increase in </w:t>
      </w:r>
      <w:r w:rsidR="00D94503">
        <w:rPr>
          <w:rFonts w:cs="Arial"/>
        </w:rPr>
        <w:t xml:space="preserve">both </w:t>
      </w:r>
      <w:r w:rsidR="00D94503" w:rsidRPr="006E3B4E">
        <w:rPr>
          <w:rFonts w:cs="Arial"/>
        </w:rPr>
        <w:t>NO</w:t>
      </w:r>
      <w:r w:rsidR="00D94503" w:rsidRPr="006E3B4E">
        <w:rPr>
          <w:rFonts w:cs="Arial"/>
          <w:vertAlign w:val="subscript"/>
        </w:rPr>
        <w:t>X</w:t>
      </w:r>
      <w:r w:rsidR="00D94503" w:rsidRPr="006E3B4E">
        <w:rPr>
          <w:rFonts w:cs="Arial"/>
        </w:rPr>
        <w:t xml:space="preserve"> and turbidity levels </w:t>
      </w:r>
      <w:r w:rsidR="00D94503">
        <w:rPr>
          <w:rFonts w:cs="Arial"/>
        </w:rPr>
        <w:t xml:space="preserve">though these are offset by </w:t>
      </w:r>
      <w:r w:rsidR="00623D39">
        <w:rPr>
          <w:rFonts w:cs="Arial"/>
        </w:rPr>
        <w:t>improvements</w:t>
      </w:r>
      <w:r w:rsidR="00D94503">
        <w:rPr>
          <w:rFonts w:cs="Arial"/>
        </w:rPr>
        <w:t xml:space="preserve"> in other indicators. </w:t>
      </w:r>
      <w:r w:rsidRPr="006E3B4E">
        <w:rPr>
          <w:rFonts w:cs="Arial"/>
        </w:rPr>
        <w:t>Despite the ‘good’ water quality index scores, regionally low coral cover as a result of wide</w:t>
      </w:r>
      <w:r w:rsidR="00623D39">
        <w:rPr>
          <w:rFonts w:cs="Arial"/>
        </w:rPr>
        <w:t>-</w:t>
      </w:r>
      <w:r w:rsidRPr="006E3B4E">
        <w:rPr>
          <w:rFonts w:cs="Arial"/>
        </w:rPr>
        <w:t xml:space="preserve">spread disturbances, in particular cyclone Yasi in 2011, coupled with slow rates of coral </w:t>
      </w:r>
      <w:r w:rsidRPr="006E3B4E">
        <w:rPr>
          <w:rFonts w:cs="Arial"/>
        </w:rPr>
        <w:lastRenderedPageBreak/>
        <w:t xml:space="preserve">recovery and low densities of juvenile corals resulted in a decline in </w:t>
      </w:r>
      <w:r w:rsidR="002928A4">
        <w:rPr>
          <w:rFonts w:cs="Arial"/>
        </w:rPr>
        <w:t xml:space="preserve">the </w:t>
      </w:r>
      <w:r w:rsidRPr="006E3B4E">
        <w:rPr>
          <w:rFonts w:cs="Arial"/>
        </w:rPr>
        <w:t xml:space="preserve">coral </w:t>
      </w:r>
      <w:r w:rsidR="002928A4">
        <w:rPr>
          <w:rFonts w:cs="Arial"/>
        </w:rPr>
        <w:t>index</w:t>
      </w:r>
      <w:r w:rsidRPr="006E3B4E">
        <w:rPr>
          <w:rFonts w:cs="Arial"/>
        </w:rPr>
        <w:t xml:space="preserve"> to a low point in 2012 (</w:t>
      </w:r>
      <w:r w:rsidR="0098520E">
        <w:rPr>
          <w:rFonts w:cs="Arial"/>
        </w:rPr>
        <w:fldChar w:fldCharType="begin"/>
      </w:r>
      <w:r w:rsidR="0098520E">
        <w:rPr>
          <w:rFonts w:cs="Arial"/>
        </w:rPr>
        <w:instrText xml:space="preserve"> REF _Ref438116746 \h </w:instrText>
      </w:r>
      <w:r w:rsidR="0098520E">
        <w:rPr>
          <w:rFonts w:cs="Arial"/>
        </w:rPr>
      </w:r>
      <w:r w:rsidR="0098520E">
        <w:rPr>
          <w:rFonts w:cs="Arial"/>
        </w:rPr>
        <w:fldChar w:fldCharType="separate"/>
      </w:r>
      <w:r w:rsidR="00B61881">
        <w:t xml:space="preserve">Figure </w:t>
      </w:r>
      <w:r w:rsidR="00B61881">
        <w:rPr>
          <w:noProof/>
        </w:rPr>
        <w:t>2</w:t>
      </w:r>
      <w:r w:rsidR="0098520E">
        <w:rPr>
          <w:rFonts w:cs="Arial"/>
        </w:rPr>
        <w:fldChar w:fldCharType="end"/>
      </w:r>
      <w:r w:rsidRPr="006E3B4E">
        <w:rPr>
          <w:rFonts w:cs="Arial"/>
        </w:rPr>
        <w:t>). The recent upward trend in the coral</w:t>
      </w:r>
      <w:r w:rsidR="00E02BA6">
        <w:rPr>
          <w:rFonts w:cs="Arial"/>
        </w:rPr>
        <w:t xml:space="preserve"> </w:t>
      </w:r>
      <w:r w:rsidRPr="006E3B4E">
        <w:rPr>
          <w:rFonts w:cs="Arial"/>
        </w:rPr>
        <w:t>index does, however, indicate some improvement in the condition of coral communities with condition poised on the boundary between ‘poor’ and ‘moderate’ classifications in 2015 (</w:t>
      </w:r>
      <w:r w:rsidR="0098520E">
        <w:rPr>
          <w:rFonts w:cs="Arial"/>
        </w:rPr>
        <w:fldChar w:fldCharType="begin"/>
      </w:r>
      <w:r w:rsidR="0098520E">
        <w:rPr>
          <w:rFonts w:cs="Arial"/>
        </w:rPr>
        <w:instrText xml:space="preserve"> REF _Ref438116666 \h </w:instrText>
      </w:r>
      <w:r w:rsidR="0098520E">
        <w:rPr>
          <w:rFonts w:cs="Arial"/>
        </w:rPr>
      </w:r>
      <w:r w:rsidR="0098520E">
        <w:rPr>
          <w:rFonts w:cs="Arial"/>
        </w:rPr>
        <w:fldChar w:fldCharType="separate"/>
      </w:r>
      <w:r w:rsidR="00B61881" w:rsidRPr="006B3B22">
        <w:t xml:space="preserve">Figure </w:t>
      </w:r>
      <w:r w:rsidR="00B61881">
        <w:rPr>
          <w:noProof/>
        </w:rPr>
        <w:t>1</w:t>
      </w:r>
      <w:r w:rsidR="0098520E">
        <w:rPr>
          <w:rFonts w:cs="Arial"/>
        </w:rPr>
        <w:fldChar w:fldCharType="end"/>
      </w:r>
      <w:r w:rsidRPr="006E3B4E">
        <w:rPr>
          <w:rFonts w:cs="Arial"/>
        </w:rPr>
        <w:t>).</w:t>
      </w:r>
    </w:p>
    <w:p w14:paraId="3E4A56B5" w14:textId="77777777" w:rsidR="0001199E" w:rsidRPr="006E3B4E" w:rsidRDefault="0001199E" w:rsidP="002B6DF5">
      <w:pPr>
        <w:spacing w:after="240"/>
        <w:rPr>
          <w:rFonts w:cs="Arial"/>
        </w:rPr>
      </w:pPr>
      <w:r w:rsidRPr="006E3B4E">
        <w:rPr>
          <w:rFonts w:cs="Arial"/>
        </w:rPr>
        <w:t>Historically, inshore reefs in the Burdekin Region have demonstrated low recovery potential following widespread loss of corals. This low recovery potential appears linked to a combination of water quality-related pressures and limited connectivity between these reefs and coral communities further offshore that limit</w:t>
      </w:r>
      <w:r w:rsidR="00623D39">
        <w:rPr>
          <w:rFonts w:cs="Arial"/>
        </w:rPr>
        <w:t>s</w:t>
      </w:r>
      <w:r w:rsidRPr="006E3B4E">
        <w:rPr>
          <w:rFonts w:cs="Arial"/>
        </w:rPr>
        <w:t xml:space="preserve"> the supply of coral larvae. Suppression of coral communit</w:t>
      </w:r>
      <w:r w:rsidR="00106022">
        <w:rPr>
          <w:rFonts w:cs="Arial"/>
        </w:rPr>
        <w:t>ies</w:t>
      </w:r>
      <w:r w:rsidRPr="006E3B4E">
        <w:rPr>
          <w:rFonts w:cs="Arial"/>
        </w:rPr>
        <w:t xml:space="preserve"> as a result of poor water quality is indicated by observations of high levels of coral disease that coincided with the change from a period of low flow </w:t>
      </w:r>
      <w:r w:rsidR="007A0542">
        <w:rPr>
          <w:rFonts w:cs="Arial"/>
        </w:rPr>
        <w:t xml:space="preserve">from adjacent catchments to consecutive years of </w:t>
      </w:r>
      <w:r w:rsidRPr="006E3B4E">
        <w:rPr>
          <w:rFonts w:cs="Arial"/>
        </w:rPr>
        <w:t xml:space="preserve">flooding. The ongoing availability of </w:t>
      </w:r>
      <w:r w:rsidR="00623D39">
        <w:rPr>
          <w:rFonts w:cs="Arial"/>
        </w:rPr>
        <w:t xml:space="preserve">elevated </w:t>
      </w:r>
      <w:r w:rsidRPr="006E3B4E">
        <w:rPr>
          <w:rFonts w:cs="Arial"/>
        </w:rPr>
        <w:t xml:space="preserve">nutrients is indicated by persistently high cover of macroalgae on </w:t>
      </w:r>
      <w:r w:rsidR="007A0542">
        <w:rPr>
          <w:rFonts w:cs="Arial"/>
        </w:rPr>
        <w:t>many of the reefs in this region</w:t>
      </w:r>
      <w:r w:rsidRPr="006E3B4E">
        <w:rPr>
          <w:rFonts w:cs="Arial"/>
        </w:rPr>
        <w:t xml:space="preserve">. Improvements in reef condition through to 2015 </w:t>
      </w:r>
      <w:r w:rsidR="00EF015D">
        <w:rPr>
          <w:rFonts w:cs="Arial"/>
        </w:rPr>
        <w:t xml:space="preserve">are due to </w:t>
      </w:r>
      <w:r w:rsidR="007A0542">
        <w:rPr>
          <w:rFonts w:cs="Arial"/>
        </w:rPr>
        <w:t>slight i</w:t>
      </w:r>
      <w:r w:rsidR="00EF015D">
        <w:rPr>
          <w:rFonts w:cs="Arial"/>
        </w:rPr>
        <w:t xml:space="preserve">mprovement </w:t>
      </w:r>
      <w:r w:rsidR="007A0542">
        <w:rPr>
          <w:rFonts w:cs="Arial"/>
        </w:rPr>
        <w:t xml:space="preserve">in the </w:t>
      </w:r>
      <w:r w:rsidRPr="006E3B4E">
        <w:rPr>
          <w:rFonts w:cs="Arial"/>
        </w:rPr>
        <w:t>density of juvenile corals</w:t>
      </w:r>
      <w:r w:rsidR="00EF015D">
        <w:rPr>
          <w:rFonts w:cs="Arial"/>
        </w:rPr>
        <w:t xml:space="preserve"> and the </w:t>
      </w:r>
      <w:r w:rsidR="007A0542">
        <w:rPr>
          <w:rFonts w:cs="Arial"/>
        </w:rPr>
        <w:t>rate of coral cover increase</w:t>
      </w:r>
      <w:r w:rsidR="00EF015D">
        <w:rPr>
          <w:rFonts w:cs="Arial"/>
        </w:rPr>
        <w:t xml:space="preserve"> along with a gradual return of species sensitive to poor water quality</w:t>
      </w:r>
      <w:r w:rsidR="00623D39">
        <w:rPr>
          <w:rFonts w:cs="Arial"/>
        </w:rPr>
        <w:t>. These combined observations suggest</w:t>
      </w:r>
      <w:r w:rsidR="00EF015D">
        <w:rPr>
          <w:rFonts w:cs="Arial"/>
        </w:rPr>
        <w:t xml:space="preserve"> a reduction in the chronic pressures associated with water quality in recent years during which inflows from the catchment have been low. </w:t>
      </w:r>
      <w:r w:rsidRPr="006E3B4E">
        <w:rPr>
          <w:rFonts w:cs="Arial"/>
        </w:rPr>
        <w:t>.</w:t>
      </w:r>
    </w:p>
    <w:p w14:paraId="44ED44DB" w14:textId="77777777" w:rsidR="0001199E" w:rsidRPr="00160E6B" w:rsidRDefault="0001199E" w:rsidP="00B202AC">
      <w:r w:rsidRPr="00160E6B">
        <w:rPr>
          <w:rFonts w:cs="Arial"/>
        </w:rPr>
        <w:t xml:space="preserve">The coral index in the </w:t>
      </w:r>
      <w:r w:rsidRPr="00160E6B">
        <w:rPr>
          <w:rFonts w:cs="Arial"/>
          <w:b/>
        </w:rPr>
        <w:t>Mackay Whitsunday Region</w:t>
      </w:r>
      <w:r w:rsidRPr="00160E6B">
        <w:rPr>
          <w:rFonts w:cs="Arial"/>
        </w:rPr>
        <w:t xml:space="preserve"> maintained a ‘moderate’ score though </w:t>
      </w:r>
      <w:r w:rsidR="00162AE6">
        <w:rPr>
          <w:rFonts w:cs="Arial"/>
        </w:rPr>
        <w:t xml:space="preserve">it </w:t>
      </w:r>
      <w:r w:rsidRPr="00160E6B">
        <w:rPr>
          <w:rFonts w:cs="Arial"/>
        </w:rPr>
        <w:t>has continued to improve from a low point reached in 2012</w:t>
      </w:r>
      <w:r w:rsidR="00885CBB">
        <w:rPr>
          <w:rFonts w:cs="Arial"/>
        </w:rPr>
        <w:t xml:space="preserve"> (</w:t>
      </w:r>
      <w:r w:rsidR="0098520E">
        <w:rPr>
          <w:rFonts w:cs="Arial"/>
        </w:rPr>
        <w:fldChar w:fldCharType="begin"/>
      </w:r>
      <w:r w:rsidR="0098520E">
        <w:rPr>
          <w:rFonts w:cs="Arial"/>
        </w:rPr>
        <w:instrText xml:space="preserve"> REF _Ref438116666 \h </w:instrText>
      </w:r>
      <w:r w:rsidR="0098520E">
        <w:rPr>
          <w:rFonts w:cs="Arial"/>
        </w:rPr>
      </w:r>
      <w:r w:rsidR="0098520E">
        <w:rPr>
          <w:rFonts w:cs="Arial"/>
        </w:rPr>
        <w:fldChar w:fldCharType="separate"/>
      </w:r>
      <w:r w:rsidR="00B61881" w:rsidRPr="006B3B22">
        <w:t xml:space="preserve">Figure </w:t>
      </w:r>
      <w:r w:rsidR="00B61881">
        <w:rPr>
          <w:noProof/>
        </w:rPr>
        <w:t>1</w:t>
      </w:r>
      <w:r w:rsidR="0098520E">
        <w:rPr>
          <w:rFonts w:cs="Arial"/>
        </w:rPr>
        <w:fldChar w:fldCharType="end"/>
      </w:r>
      <w:r w:rsidR="00885CBB">
        <w:rPr>
          <w:rFonts w:cs="Arial"/>
        </w:rPr>
        <w:t>)</w:t>
      </w:r>
      <w:r w:rsidRPr="00160E6B">
        <w:rPr>
          <w:rFonts w:cs="Arial"/>
        </w:rPr>
        <w:t>. The positive attributes of moderate to high coral cover coupled with regionally low cover of macroalgae and increasing densities of juvenile corals balanced the low rate of coral cover increases (</w:t>
      </w:r>
      <w:r w:rsidR="0098520E">
        <w:rPr>
          <w:rFonts w:cs="Arial"/>
        </w:rPr>
        <w:fldChar w:fldCharType="begin"/>
      </w:r>
      <w:r w:rsidR="0098520E">
        <w:rPr>
          <w:rFonts w:cs="Arial"/>
        </w:rPr>
        <w:instrText xml:space="preserve"> REF _Ref438116746 \h </w:instrText>
      </w:r>
      <w:r w:rsidR="0098520E">
        <w:rPr>
          <w:rFonts w:cs="Arial"/>
        </w:rPr>
      </w:r>
      <w:r w:rsidR="0098520E">
        <w:rPr>
          <w:rFonts w:cs="Arial"/>
        </w:rPr>
        <w:fldChar w:fldCharType="separate"/>
      </w:r>
      <w:r w:rsidR="00B61881">
        <w:t xml:space="preserve">Figure </w:t>
      </w:r>
      <w:r w:rsidR="00B61881">
        <w:rPr>
          <w:noProof/>
        </w:rPr>
        <w:t>2</w:t>
      </w:r>
      <w:r w:rsidR="0098520E">
        <w:rPr>
          <w:rFonts w:cs="Arial"/>
        </w:rPr>
        <w:fldChar w:fldCharType="end"/>
      </w:r>
      <w:r w:rsidRPr="00160E6B">
        <w:rPr>
          <w:rFonts w:cs="Arial"/>
        </w:rPr>
        <w:t xml:space="preserve">). </w:t>
      </w:r>
      <w:r w:rsidRPr="00160E6B">
        <w:t>The influence of prevailing environmental conditions such as high turbidity, nutrient availability and sedimentation have clearly selected for coral species tolerant of those conditions and this, in combination with a lack of recent severe disturbance events, explains the relatively high and stable coral cover in this region despite observed declines in water quality</w:t>
      </w:r>
      <w:r w:rsidRPr="00160E6B">
        <w:rPr>
          <w:rFonts w:cs="Arial"/>
        </w:rPr>
        <w:t xml:space="preserve">. The ongoing selection against corals sensitive to poor water quality is </w:t>
      </w:r>
      <w:r w:rsidR="00885CBB">
        <w:rPr>
          <w:rFonts w:cs="Arial"/>
        </w:rPr>
        <w:t>indicated</w:t>
      </w:r>
      <w:r w:rsidRPr="00160E6B">
        <w:rPr>
          <w:rFonts w:cs="Arial"/>
        </w:rPr>
        <w:t xml:space="preserve"> by increased levels of coral disease and declines in the density of juvenile corals that coincided with elevated discharge </w:t>
      </w:r>
      <w:r w:rsidR="00885CBB">
        <w:rPr>
          <w:rFonts w:cs="Arial"/>
        </w:rPr>
        <w:t>from</w:t>
      </w:r>
      <w:r w:rsidRPr="00160E6B">
        <w:rPr>
          <w:rFonts w:cs="Arial"/>
        </w:rPr>
        <w:t xml:space="preserve"> both local </w:t>
      </w:r>
      <w:r w:rsidR="00885CBB">
        <w:rPr>
          <w:rFonts w:cs="Arial"/>
        </w:rPr>
        <w:t xml:space="preserve">rivers </w:t>
      </w:r>
      <w:r w:rsidRPr="00160E6B">
        <w:rPr>
          <w:rFonts w:cs="Arial"/>
        </w:rPr>
        <w:t xml:space="preserve">and the large rivers in neighbouring regions. Recent increases in both coral cover and juvenile density observed since 2012 further indicate the tolerance of the coral communities to the region’s water quality. What remains largely untested is how resilient these communities will be if exposed to a severe disturbance event. </w:t>
      </w:r>
      <w:r w:rsidRPr="00160E6B">
        <w:t xml:space="preserve">The slow rate of coral cover increase in this region suggests recovery from any such disturbance may be slow. </w:t>
      </w:r>
    </w:p>
    <w:p w14:paraId="5D775D00" w14:textId="77777777" w:rsidR="0001199E" w:rsidRDefault="0001199E" w:rsidP="002B6DF5">
      <w:pPr>
        <w:rPr>
          <w:rFonts w:cs="Arial"/>
          <w:szCs w:val="22"/>
        </w:rPr>
      </w:pPr>
      <w:r w:rsidRPr="004B709C">
        <w:rPr>
          <w:rFonts w:eastAsia="SimSun" w:cs="Arial"/>
          <w:szCs w:val="22"/>
        </w:rPr>
        <w:t xml:space="preserve">Coral communities in the </w:t>
      </w:r>
      <w:r w:rsidRPr="004B709C">
        <w:rPr>
          <w:rFonts w:eastAsia="SimSun" w:cs="Arial"/>
          <w:b/>
          <w:szCs w:val="22"/>
        </w:rPr>
        <w:t>Fitzroy Region</w:t>
      </w:r>
      <w:r w:rsidRPr="004B709C">
        <w:rPr>
          <w:rFonts w:eastAsia="SimSun" w:cs="Arial"/>
          <w:szCs w:val="22"/>
        </w:rPr>
        <w:t xml:space="preserve"> have been severely impacted by a series of disturbances from thermal bleaching in 2006</w:t>
      </w:r>
      <w:r w:rsidR="00885CBB">
        <w:rPr>
          <w:rFonts w:eastAsia="SimSun" w:cs="Arial"/>
          <w:szCs w:val="22"/>
        </w:rPr>
        <w:t>,</w:t>
      </w:r>
      <w:r w:rsidRPr="004B709C">
        <w:rPr>
          <w:rFonts w:eastAsia="SimSun" w:cs="Arial"/>
          <w:szCs w:val="22"/>
        </w:rPr>
        <w:t xml:space="preserve"> through multiple storm events and repeated major flooding of the Fitzroy River. The influence of flooding on the water quality within the region largely explains the variability in the water quality index (</w:t>
      </w:r>
      <w:r w:rsidR="0098520E">
        <w:rPr>
          <w:rFonts w:eastAsia="SimSun" w:cs="Arial"/>
          <w:szCs w:val="22"/>
        </w:rPr>
        <w:fldChar w:fldCharType="begin"/>
      </w:r>
      <w:r w:rsidR="0098520E">
        <w:rPr>
          <w:rFonts w:eastAsia="SimSun" w:cs="Arial"/>
          <w:szCs w:val="22"/>
        </w:rPr>
        <w:instrText xml:space="preserve"> REF _Ref438116666 \h </w:instrText>
      </w:r>
      <w:r w:rsidR="0098520E">
        <w:rPr>
          <w:rFonts w:eastAsia="SimSun" w:cs="Arial"/>
          <w:szCs w:val="22"/>
        </w:rPr>
      </w:r>
      <w:r w:rsidR="0098520E">
        <w:rPr>
          <w:rFonts w:eastAsia="SimSun" w:cs="Arial"/>
          <w:szCs w:val="22"/>
        </w:rPr>
        <w:fldChar w:fldCharType="separate"/>
      </w:r>
      <w:r w:rsidR="00B61881" w:rsidRPr="006B3B22">
        <w:t xml:space="preserve">Figure </w:t>
      </w:r>
      <w:r w:rsidR="00B61881">
        <w:rPr>
          <w:noProof/>
        </w:rPr>
        <w:t>1</w:t>
      </w:r>
      <w:r w:rsidR="0098520E">
        <w:rPr>
          <w:rFonts w:eastAsia="SimSun" w:cs="Arial"/>
          <w:szCs w:val="22"/>
        </w:rPr>
        <w:fldChar w:fldCharType="end"/>
      </w:r>
      <w:r w:rsidRPr="004B709C">
        <w:rPr>
          <w:rFonts w:eastAsia="SimSun" w:cs="Arial"/>
          <w:szCs w:val="22"/>
        </w:rPr>
        <w:t xml:space="preserve">) and contributed to the decline in </w:t>
      </w:r>
      <w:r w:rsidR="00EC0B7A">
        <w:rPr>
          <w:rFonts w:eastAsia="SimSun" w:cs="Arial"/>
          <w:szCs w:val="22"/>
        </w:rPr>
        <w:t xml:space="preserve">the </w:t>
      </w:r>
      <w:r w:rsidRPr="004B709C">
        <w:rPr>
          <w:rFonts w:eastAsia="SimSun" w:cs="Arial"/>
          <w:szCs w:val="22"/>
        </w:rPr>
        <w:t xml:space="preserve">coral </w:t>
      </w:r>
      <w:r w:rsidR="00EC0B7A">
        <w:rPr>
          <w:rFonts w:eastAsia="SimSun" w:cs="Arial"/>
          <w:szCs w:val="22"/>
        </w:rPr>
        <w:t>index</w:t>
      </w:r>
      <w:r w:rsidRPr="004B709C">
        <w:rPr>
          <w:rFonts w:eastAsia="SimSun" w:cs="Arial"/>
          <w:szCs w:val="22"/>
        </w:rPr>
        <w:t xml:space="preserve"> through to 2014. </w:t>
      </w:r>
      <w:r w:rsidRPr="004B709C">
        <w:rPr>
          <w:rFonts w:cs="Arial"/>
          <w:szCs w:val="22"/>
        </w:rPr>
        <w:t xml:space="preserve">The 2011 flood had a severe impact on reefs inshore of Great Keppel Island by killing the majority of corals to depths of at least 2m below low tide, with negligible recovery from this event to date. </w:t>
      </w:r>
      <w:r w:rsidRPr="004B709C">
        <w:rPr>
          <w:rFonts w:eastAsia="SimSun" w:cs="Arial"/>
          <w:szCs w:val="22"/>
        </w:rPr>
        <w:t xml:space="preserve">Elsewhere, </w:t>
      </w:r>
      <w:r w:rsidRPr="004B709C">
        <w:rPr>
          <w:rFonts w:cs="Arial"/>
          <w:szCs w:val="22"/>
        </w:rPr>
        <w:t xml:space="preserve">the resilience of coral communities was </w:t>
      </w:r>
      <w:r w:rsidRPr="004B709C">
        <w:rPr>
          <w:rFonts w:eastAsia="SimSun" w:cs="Arial"/>
          <w:szCs w:val="22"/>
        </w:rPr>
        <w:t>compromised by a persistent bloom of macroalgae</w:t>
      </w:r>
      <w:r w:rsidRPr="004B709C">
        <w:rPr>
          <w:rFonts w:cs="Arial"/>
          <w:szCs w:val="22"/>
        </w:rPr>
        <w:t xml:space="preserve"> and occasional high levels of </w:t>
      </w:r>
      <w:r w:rsidRPr="004B709C">
        <w:rPr>
          <w:rFonts w:eastAsia="SimSun" w:cs="Arial"/>
          <w:szCs w:val="22"/>
        </w:rPr>
        <w:t>disease since high water temperatures in 2006 bleached and killed corals across the region</w:t>
      </w:r>
      <w:r w:rsidRPr="004B709C">
        <w:rPr>
          <w:rFonts w:cs="Arial"/>
          <w:szCs w:val="22"/>
        </w:rPr>
        <w:t>. In addition, the density of juvenile corals has been consistently low across the entire region</w:t>
      </w:r>
      <w:r w:rsidR="001777C3">
        <w:rPr>
          <w:rFonts w:cs="Arial"/>
          <w:szCs w:val="22"/>
        </w:rPr>
        <w:t xml:space="preserve"> – an observation likely linked </w:t>
      </w:r>
      <w:r w:rsidRPr="004B709C">
        <w:rPr>
          <w:rFonts w:cs="Arial"/>
          <w:szCs w:val="22"/>
        </w:rPr>
        <w:t>to the high cover of macroalgae. Both the prevalence of disease and persistence of high macroalgae cover (</w:t>
      </w:r>
      <w:r w:rsidR="0098520E">
        <w:rPr>
          <w:rFonts w:cs="Arial"/>
          <w:szCs w:val="22"/>
        </w:rPr>
        <w:fldChar w:fldCharType="begin"/>
      </w:r>
      <w:r w:rsidR="0098520E">
        <w:rPr>
          <w:rFonts w:cs="Arial"/>
          <w:szCs w:val="22"/>
        </w:rPr>
        <w:instrText xml:space="preserve"> REF _Ref438116746 \h </w:instrText>
      </w:r>
      <w:r w:rsidR="0098520E">
        <w:rPr>
          <w:rFonts w:cs="Arial"/>
          <w:szCs w:val="22"/>
        </w:rPr>
      </w:r>
      <w:r w:rsidR="0098520E">
        <w:rPr>
          <w:rFonts w:cs="Arial"/>
          <w:szCs w:val="22"/>
        </w:rPr>
        <w:fldChar w:fldCharType="separate"/>
      </w:r>
      <w:r w:rsidR="00B61881">
        <w:t xml:space="preserve">Figure </w:t>
      </w:r>
      <w:r w:rsidR="00B61881">
        <w:rPr>
          <w:noProof/>
        </w:rPr>
        <w:t>2</w:t>
      </w:r>
      <w:r w:rsidR="0098520E">
        <w:rPr>
          <w:rFonts w:cs="Arial"/>
          <w:szCs w:val="22"/>
        </w:rPr>
        <w:fldChar w:fldCharType="end"/>
      </w:r>
      <w:r w:rsidRPr="004B709C">
        <w:rPr>
          <w:rFonts w:cs="Arial"/>
          <w:szCs w:val="22"/>
        </w:rPr>
        <w:t>) provide a clear indication that</w:t>
      </w:r>
      <w:r w:rsidR="001777C3">
        <w:rPr>
          <w:rFonts w:cs="Arial"/>
          <w:szCs w:val="22"/>
        </w:rPr>
        <w:t xml:space="preserve"> nutrient levels have played a role in </w:t>
      </w:r>
      <w:r w:rsidRPr="004B709C">
        <w:rPr>
          <w:rFonts w:cs="Arial"/>
          <w:szCs w:val="22"/>
        </w:rPr>
        <w:t>inhibit</w:t>
      </w:r>
      <w:r w:rsidR="001777C3">
        <w:rPr>
          <w:rFonts w:cs="Arial"/>
          <w:szCs w:val="22"/>
        </w:rPr>
        <w:t>ing</w:t>
      </w:r>
      <w:r w:rsidRPr="004B709C">
        <w:rPr>
          <w:rFonts w:cs="Arial"/>
          <w:szCs w:val="22"/>
        </w:rPr>
        <w:t xml:space="preserve"> the coral community’s resilience to recent disturbances. The improvement of the coral index to ‘poor’ in 2015 represents the </w:t>
      </w:r>
      <w:r w:rsidR="00885CBB">
        <w:rPr>
          <w:rFonts w:cs="Arial"/>
          <w:szCs w:val="22"/>
        </w:rPr>
        <w:t>first signs of</w:t>
      </w:r>
      <w:r w:rsidRPr="004B709C">
        <w:rPr>
          <w:rFonts w:cs="Arial"/>
          <w:szCs w:val="22"/>
        </w:rPr>
        <w:t xml:space="preserve"> recovery of the coral communities with the return to lower loads of sediments and nutrients entering the Reef from the Fitzroy River.</w:t>
      </w:r>
    </w:p>
    <w:p w14:paraId="4737A1DD" w14:textId="77777777" w:rsidR="00885CBB" w:rsidRPr="004B709C" w:rsidRDefault="00885CBB" w:rsidP="002B6DF5">
      <w:pPr>
        <w:rPr>
          <w:rFonts w:cs="Arial"/>
          <w:szCs w:val="22"/>
        </w:rPr>
      </w:pPr>
    </w:p>
    <w:p w14:paraId="3C498576" w14:textId="77777777" w:rsidR="008A1A24" w:rsidRPr="001A3301" w:rsidRDefault="00AF0E1F" w:rsidP="0012336D">
      <w:r>
        <w:rPr>
          <w:noProof/>
          <w:lang w:val="en-AU" w:eastAsia="en-AU"/>
        </w:rPr>
        <w:lastRenderedPageBreak/>
        <w:drawing>
          <wp:inline distT="0" distB="0" distL="0" distR="0" wp14:anchorId="02D51733" wp14:editId="43E7A2D2">
            <wp:extent cx="6096012" cy="4572009"/>
            <wp:effectExtent l="0" t="0" r="0" b="0"/>
            <wp:docPr id="13" name="Picture 13" descr="Figure 2: The regional Coral Index with contributing indicators. The regional Coral Index is derived from the aggregate of metric scores for indicators of coral community health through time within each (sub) region. The contributing indicators are described in Methods Summary; their metric score calculations are detailed in section 6" title="Figure 2: The regional Coral Index with contributing indicato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ms.coral.subregion.title2x3.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96012" cy="4572009"/>
                    </a:xfrm>
                    <a:prstGeom prst="rect">
                      <a:avLst/>
                    </a:prstGeom>
                  </pic:spPr>
                </pic:pic>
              </a:graphicData>
            </a:graphic>
          </wp:inline>
        </w:drawing>
      </w:r>
    </w:p>
    <w:p w14:paraId="6B91C21A" w14:textId="77777777" w:rsidR="00541958" w:rsidRPr="006B5C58" w:rsidRDefault="006B5C58" w:rsidP="00E56CF1">
      <w:pPr>
        <w:pStyle w:val="Caption"/>
        <w:rPr>
          <w:vanish/>
        </w:rPr>
      </w:pPr>
      <w:bookmarkStart w:id="41" w:name="_Ref438116746"/>
      <w:bookmarkStart w:id="42" w:name="_Toc437423847"/>
      <w:bookmarkStart w:id="43" w:name="_Toc437424026"/>
      <w:bookmarkStart w:id="44" w:name="_Toc437424289"/>
      <w:bookmarkStart w:id="45" w:name="_Toc437597624"/>
      <w:bookmarkStart w:id="46" w:name="_Toc460490771"/>
      <w:bookmarkStart w:id="47" w:name="_Toc393133560"/>
      <w:r>
        <w:t xml:space="preserve">Figure </w:t>
      </w:r>
      <w:r w:rsidR="005D2F9F">
        <w:fldChar w:fldCharType="begin"/>
      </w:r>
      <w:r w:rsidR="005D2F9F">
        <w:instrText xml:space="preserve"> SEQ Figure \* ARABIC </w:instrText>
      </w:r>
      <w:r w:rsidR="005D2F9F">
        <w:fldChar w:fldCharType="separate"/>
      </w:r>
      <w:r w:rsidR="00B61881">
        <w:rPr>
          <w:noProof/>
        </w:rPr>
        <w:t>2</w:t>
      </w:r>
      <w:r w:rsidR="005D2F9F">
        <w:rPr>
          <w:noProof/>
        </w:rPr>
        <w:fldChar w:fldCharType="end"/>
      </w:r>
      <w:bookmarkEnd w:id="41"/>
      <w:r>
        <w:t xml:space="preserve">: </w:t>
      </w:r>
      <w:r w:rsidR="001D4EC5" w:rsidRPr="0012336D">
        <w:t>The regional Coral Index with contributing indicator</w:t>
      </w:r>
      <w:r w:rsidR="00623D39">
        <w:t xml:space="preserve"> score</w:t>
      </w:r>
      <w:r w:rsidR="001D4EC5" w:rsidRPr="0012336D">
        <w:t>s.</w:t>
      </w:r>
      <w:bookmarkEnd w:id="42"/>
      <w:bookmarkEnd w:id="43"/>
      <w:bookmarkEnd w:id="44"/>
      <w:bookmarkEnd w:id="45"/>
      <w:bookmarkEnd w:id="46"/>
      <w:r w:rsidR="007A19C9" w:rsidRPr="0012336D">
        <w:t xml:space="preserve"> </w:t>
      </w:r>
    </w:p>
    <w:p w14:paraId="51D04F2A" w14:textId="77777777" w:rsidR="001D4EC5" w:rsidRPr="006B5C58" w:rsidRDefault="001D4EC5" w:rsidP="00E56CF1">
      <w:pPr>
        <w:pStyle w:val="Caption"/>
        <w:rPr>
          <w:rStyle w:val="IntenseReference"/>
          <w:rFonts w:eastAsia="SimSun"/>
        </w:rPr>
      </w:pPr>
      <w:bookmarkStart w:id="48" w:name="_Toc437424290"/>
      <w:bookmarkStart w:id="49" w:name="_Toc437432344"/>
      <w:bookmarkStart w:id="50" w:name="_Toc437597625"/>
      <w:r w:rsidRPr="006B5C58">
        <w:rPr>
          <w:rStyle w:val="IntenseReference"/>
          <w:rFonts w:eastAsia="SimSun"/>
        </w:rPr>
        <w:t>The regional Coral Index is derived from the aggregate of metric scores for indicators of coral community health through time within each (sub) region. The contributing indicators are described in Methods Summary; their metric score calculati</w:t>
      </w:r>
      <w:r w:rsidR="00541958" w:rsidRPr="006B5C58">
        <w:rPr>
          <w:rStyle w:val="IntenseReference"/>
          <w:rFonts w:eastAsia="SimSun"/>
        </w:rPr>
        <w:t>ons are detailed in</w:t>
      </w:r>
      <w:r w:rsidR="0012336D" w:rsidRPr="006B5C58">
        <w:rPr>
          <w:rStyle w:val="IntenseReference"/>
          <w:rFonts w:eastAsia="SimSun"/>
        </w:rPr>
        <w:t xml:space="preserve"> section</w:t>
      </w:r>
      <w:r w:rsidR="00541958" w:rsidRPr="006B5C58">
        <w:rPr>
          <w:rStyle w:val="IntenseReference"/>
          <w:rFonts w:eastAsia="SimSun"/>
        </w:rPr>
        <w:t xml:space="preserve"> </w:t>
      </w:r>
      <w:bookmarkEnd w:id="48"/>
      <w:r w:rsidR="0012336D" w:rsidRPr="006B5C58">
        <w:rPr>
          <w:rStyle w:val="IntenseReference"/>
          <w:rFonts w:eastAsia="SimSun"/>
        </w:rPr>
        <w:fldChar w:fldCharType="begin"/>
      </w:r>
      <w:r w:rsidR="0012336D" w:rsidRPr="006B5C58">
        <w:rPr>
          <w:rStyle w:val="IntenseReference"/>
          <w:rFonts w:eastAsia="SimSun"/>
        </w:rPr>
        <w:instrText xml:space="preserve"> REF _Ref437428158 \r \h </w:instrText>
      </w:r>
      <w:r w:rsidR="006B5C58">
        <w:rPr>
          <w:rStyle w:val="IntenseReference"/>
          <w:rFonts w:eastAsia="SimSun"/>
        </w:rPr>
        <w:instrText xml:space="preserve"> \* MERGEFORMAT </w:instrText>
      </w:r>
      <w:r w:rsidR="0012336D" w:rsidRPr="006B5C58">
        <w:rPr>
          <w:rStyle w:val="IntenseReference"/>
          <w:rFonts w:eastAsia="SimSun"/>
        </w:rPr>
      </w:r>
      <w:r w:rsidR="0012336D" w:rsidRPr="006B5C58">
        <w:rPr>
          <w:rStyle w:val="IntenseReference"/>
          <w:rFonts w:eastAsia="SimSun"/>
        </w:rPr>
        <w:fldChar w:fldCharType="separate"/>
      </w:r>
      <w:r w:rsidR="00B61881">
        <w:rPr>
          <w:rStyle w:val="IntenseReference"/>
          <w:rFonts w:eastAsia="SimSun"/>
        </w:rPr>
        <w:t>6</w:t>
      </w:r>
      <w:bookmarkEnd w:id="49"/>
      <w:bookmarkEnd w:id="50"/>
      <w:r w:rsidR="0012336D" w:rsidRPr="006B5C58">
        <w:rPr>
          <w:rStyle w:val="IntenseReference"/>
          <w:rFonts w:eastAsia="SimSun"/>
        </w:rPr>
        <w:fldChar w:fldCharType="end"/>
      </w:r>
    </w:p>
    <w:p w14:paraId="3F79D181" w14:textId="77777777" w:rsidR="008A1A24" w:rsidRDefault="008A1A24">
      <w:pPr>
        <w:rPr>
          <w:lang w:val="en-AU" w:eastAsia="en-AU"/>
        </w:rPr>
      </w:pPr>
    </w:p>
    <w:p w14:paraId="3F671423" w14:textId="77777777" w:rsidR="0001199E" w:rsidRPr="002471C3" w:rsidRDefault="0001199E" w:rsidP="00E56CF1">
      <w:pPr>
        <w:pStyle w:val="Heading4"/>
      </w:pPr>
      <w:bookmarkStart w:id="51" w:name="_Toc406143727"/>
      <w:bookmarkStart w:id="52" w:name="_Toc437424401"/>
      <w:bookmarkStart w:id="53" w:name="_Toc437424525"/>
      <w:bookmarkStart w:id="54" w:name="_Toc437432455"/>
      <w:bookmarkStart w:id="55" w:name="_Toc437432528"/>
      <w:bookmarkEnd w:id="47"/>
      <w:r w:rsidRPr="002471C3">
        <w:t>Conclusions</w:t>
      </w:r>
      <w:bookmarkEnd w:id="51"/>
      <w:bookmarkEnd w:id="52"/>
      <w:bookmarkEnd w:id="53"/>
      <w:bookmarkEnd w:id="54"/>
      <w:bookmarkEnd w:id="55"/>
    </w:p>
    <w:p w14:paraId="707C471F" w14:textId="77777777" w:rsidR="00553D76" w:rsidRDefault="0001199E" w:rsidP="002B6DF5">
      <w:r w:rsidRPr="00031DE0">
        <w:t xml:space="preserve">In this report the metrics contributing to the coral index have been revised to more specifically </w:t>
      </w:r>
      <w:r w:rsidR="003F0873">
        <w:t>represent</w:t>
      </w:r>
      <w:r w:rsidRPr="00031DE0">
        <w:t xml:space="preserve"> aspects of coral community resilience. These revisions are subtle and do not greatly alter the scoring compared to </w:t>
      </w:r>
      <w:r w:rsidR="003F0873">
        <w:t xml:space="preserve">the </w:t>
      </w:r>
      <w:r w:rsidRPr="00031DE0">
        <w:t xml:space="preserve">previous </w:t>
      </w:r>
      <w:r w:rsidR="003F0873">
        <w:t>metrics</w:t>
      </w:r>
      <w:r w:rsidRPr="00031DE0">
        <w:t xml:space="preserve"> used to calculate report card scores. What is clearly apparent is that the cumulative impact of multiple disturbance events</w:t>
      </w:r>
      <w:r w:rsidR="00885CBB">
        <w:t>,</w:t>
      </w:r>
      <w:r w:rsidRPr="00031DE0">
        <w:t xml:space="preserve"> including tropical cyclones, outbreaks of crown-of-thorns seastars, coral bleaching and a period of high discharge and associated nutrient and sediment loads</w:t>
      </w:r>
      <w:r w:rsidR="00885CBB">
        <w:t>,</w:t>
      </w:r>
      <w:r w:rsidRPr="00031DE0">
        <w:t xml:space="preserve"> </w:t>
      </w:r>
      <w:r>
        <w:t xml:space="preserve">have </w:t>
      </w:r>
      <w:r w:rsidRPr="00031DE0">
        <w:t>combined to cause declines in coral community condition through to 2012-2014</w:t>
      </w:r>
      <w:r w:rsidR="00885CBB">
        <w:t xml:space="preserve">, </w:t>
      </w:r>
      <w:r w:rsidRPr="00031DE0">
        <w:t xml:space="preserve">depending on </w:t>
      </w:r>
      <w:r w:rsidR="00885CBB">
        <w:t xml:space="preserve">the </w:t>
      </w:r>
      <w:r w:rsidRPr="00031DE0">
        <w:t xml:space="preserve">region. </w:t>
      </w:r>
      <w:r w:rsidRPr="00976F04">
        <w:t xml:space="preserve">Collectively, changes in </w:t>
      </w:r>
      <w:r w:rsidR="00816B92">
        <w:t xml:space="preserve">the revised </w:t>
      </w:r>
      <w:r w:rsidRPr="00976F04">
        <w:t xml:space="preserve">resilience indicators (proportion of macroalgae in </w:t>
      </w:r>
      <w:r w:rsidR="00816B92">
        <w:t xml:space="preserve">benthic </w:t>
      </w:r>
      <w:r w:rsidRPr="00976F04">
        <w:t xml:space="preserve">algal communities, density of juvenile corals, </w:t>
      </w:r>
      <w:r w:rsidR="00231BB8">
        <w:t>change in</w:t>
      </w:r>
      <w:r w:rsidRPr="00976F04">
        <w:t xml:space="preserve"> coral cover), were broadly similar among regions and across environmental gradients and declined to low levels following a prolonged period </w:t>
      </w:r>
      <w:r w:rsidR="003F0873">
        <w:t>with</w:t>
      </w:r>
      <w:r w:rsidRPr="00976F04">
        <w:t xml:space="preserve"> high </w:t>
      </w:r>
      <w:r w:rsidR="003F0873">
        <w:t xml:space="preserve">volumes of </w:t>
      </w:r>
      <w:r w:rsidRPr="00976F04">
        <w:t xml:space="preserve">runoff to the Reef lagoon. This consistent response affecting a diversity of </w:t>
      </w:r>
      <w:r w:rsidR="00231BB8">
        <w:t>indicators</w:t>
      </w:r>
      <w:r w:rsidRPr="00976F04">
        <w:t xml:space="preserve"> demonstrates the importance and the broad ‘footprint’ of runoff within the inshore Reef lagoon. </w:t>
      </w:r>
      <w:r w:rsidR="00553D76">
        <w:t>I</w:t>
      </w:r>
      <w:r w:rsidRPr="00976F04">
        <w:t>mprovements in the coral</w:t>
      </w:r>
      <w:r w:rsidR="00E02BA6">
        <w:t xml:space="preserve"> </w:t>
      </w:r>
      <w:r w:rsidRPr="00976F04">
        <w:t xml:space="preserve">index </w:t>
      </w:r>
      <w:r w:rsidR="00553D76">
        <w:t xml:space="preserve">in all regions in 2015 </w:t>
      </w:r>
      <w:r w:rsidR="003F0873" w:rsidRPr="00976F04">
        <w:t xml:space="preserve">coincided with low levels of runoff entering the Reef </w:t>
      </w:r>
      <w:r w:rsidRPr="00976F04">
        <w:t xml:space="preserve">and built on improvements </w:t>
      </w:r>
      <w:r w:rsidR="003F0873">
        <w:t>recorded</w:t>
      </w:r>
      <w:r w:rsidR="003F0873" w:rsidRPr="00976F04">
        <w:t xml:space="preserve"> </w:t>
      </w:r>
      <w:r w:rsidRPr="00976F04">
        <w:t xml:space="preserve">in 2014. </w:t>
      </w:r>
    </w:p>
    <w:p w14:paraId="6AC16A3E" w14:textId="77777777" w:rsidR="0001199E" w:rsidRDefault="0001199E" w:rsidP="002B6DF5">
      <w:r w:rsidRPr="008F5AE9">
        <w:t>The revers</w:t>
      </w:r>
      <w:r w:rsidR="003F0873" w:rsidRPr="008F5AE9">
        <w:t>al</w:t>
      </w:r>
      <w:r w:rsidRPr="008F5AE9">
        <w:t xml:space="preserve"> in the decl</w:t>
      </w:r>
      <w:r w:rsidR="00553D76" w:rsidRPr="008F5AE9">
        <w:t xml:space="preserve">ining trend in </w:t>
      </w:r>
      <w:r w:rsidR="00DE2118">
        <w:t>the coral index</w:t>
      </w:r>
      <w:r w:rsidRPr="008F5AE9">
        <w:t xml:space="preserve"> provides some guidance for </w:t>
      </w:r>
      <w:r w:rsidR="003F0873" w:rsidRPr="008F5AE9">
        <w:t xml:space="preserve">the </w:t>
      </w:r>
      <w:r w:rsidRPr="008F5AE9">
        <w:t xml:space="preserve">distinction between </w:t>
      </w:r>
      <w:r w:rsidR="008F5AE9" w:rsidRPr="008F5AE9">
        <w:t xml:space="preserve">catchment </w:t>
      </w:r>
      <w:r w:rsidRPr="008F5AE9">
        <w:t xml:space="preserve">loads that caused community decline compared to the more recent period of </w:t>
      </w:r>
      <w:r w:rsidR="003F0873" w:rsidRPr="008F5AE9">
        <w:t>reduced</w:t>
      </w:r>
      <w:r w:rsidRPr="008F5AE9">
        <w:t xml:space="preserve"> loads </w:t>
      </w:r>
      <w:r w:rsidR="003F0873" w:rsidRPr="008F5AE9">
        <w:t xml:space="preserve">due to reduced rainfall and runoff, which </w:t>
      </w:r>
      <w:r w:rsidRPr="008F5AE9">
        <w:t xml:space="preserve">have fostered improved community resilience. </w:t>
      </w:r>
      <w:r w:rsidR="00F77DC0" w:rsidRPr="008F5AE9">
        <w:rPr>
          <w:rFonts w:cs="Arial"/>
          <w:color w:val="000000" w:themeColor="text1"/>
        </w:rPr>
        <w:t>It</w:t>
      </w:r>
      <w:r w:rsidR="00F77DC0" w:rsidRPr="008E2CAB">
        <w:rPr>
          <w:rFonts w:cs="Arial"/>
          <w:color w:val="000000" w:themeColor="text1"/>
        </w:rPr>
        <w:t xml:space="preserve"> is increasingly apparent that, within a location, stress to coral communities is most obvious during extremes in environmental conditions that expose corals to conditions beyond those to which they are either adapted or acclimated.</w:t>
      </w:r>
      <w:r w:rsidR="00F77DC0">
        <w:rPr>
          <w:rFonts w:cs="Arial"/>
          <w:color w:val="000000" w:themeColor="text1"/>
        </w:rPr>
        <w:t xml:space="preserve"> </w:t>
      </w:r>
      <w:r w:rsidR="00F77DC0" w:rsidRPr="008E2CAB">
        <w:rPr>
          <w:rFonts w:cs="Arial"/>
          <w:color w:val="000000" w:themeColor="text1"/>
        </w:rPr>
        <w:t xml:space="preserve">Links between coral disease, poor rates of increase in coral cover and declines in the community composition metric all point to water quality </w:t>
      </w:r>
      <w:r w:rsidR="00F77DC0" w:rsidRPr="008E2CAB">
        <w:rPr>
          <w:rFonts w:cs="Arial"/>
          <w:color w:val="000000" w:themeColor="text1"/>
        </w:rPr>
        <w:lastRenderedPageBreak/>
        <w:t>pressures experienced either during, or in the period of months following major floods as being sufficiently removed from ambient conditions to select against sensitive species on a site</w:t>
      </w:r>
      <w:r w:rsidR="00F77DC0">
        <w:rPr>
          <w:rFonts w:cs="Arial"/>
          <w:color w:val="000000" w:themeColor="text1"/>
        </w:rPr>
        <w:t>-</w:t>
      </w:r>
      <w:r w:rsidR="00F77DC0" w:rsidRPr="008E2CAB">
        <w:rPr>
          <w:rFonts w:cs="Arial"/>
          <w:color w:val="000000" w:themeColor="text1"/>
        </w:rPr>
        <w:t>by</w:t>
      </w:r>
      <w:r w:rsidR="00F77DC0">
        <w:rPr>
          <w:rFonts w:cs="Arial"/>
          <w:color w:val="000000" w:themeColor="text1"/>
        </w:rPr>
        <w:t>-</w:t>
      </w:r>
      <w:r w:rsidR="00F77DC0" w:rsidRPr="008E2CAB">
        <w:rPr>
          <w:rFonts w:cs="Arial"/>
          <w:color w:val="000000" w:themeColor="text1"/>
        </w:rPr>
        <w:t>site basis</w:t>
      </w:r>
      <w:r w:rsidR="00F77DC0">
        <w:rPr>
          <w:rFonts w:cs="Arial"/>
          <w:color w:val="000000" w:themeColor="text1"/>
        </w:rPr>
        <w:t xml:space="preserve">. </w:t>
      </w:r>
      <w:r w:rsidRPr="00976F04">
        <w:t xml:space="preserve">The challenge will be how to reduce runoff loads </w:t>
      </w:r>
      <w:r w:rsidR="003F0873">
        <w:t>during</w:t>
      </w:r>
      <w:r w:rsidRPr="00976F04">
        <w:t xml:space="preserve"> inevitable future flood events</w:t>
      </w:r>
      <w:r w:rsidR="001777C3">
        <w:t xml:space="preserve"> to limit the impact to coral </w:t>
      </w:r>
      <w:r w:rsidR="00E02BA6">
        <w:t>communities</w:t>
      </w:r>
      <w:r w:rsidRPr="00976F04">
        <w:t>.</w:t>
      </w:r>
    </w:p>
    <w:p w14:paraId="1915C1A4" w14:textId="77777777" w:rsidR="003F0873" w:rsidRDefault="0001199E" w:rsidP="003F0873">
      <w:pPr>
        <w:autoSpaceDE w:val="0"/>
        <w:autoSpaceDN w:val="0"/>
        <w:adjustRightInd w:val="0"/>
        <w:spacing w:after="240"/>
        <w:rPr>
          <w:rFonts w:cs="Arial"/>
          <w:szCs w:val="22"/>
          <w:lang w:val="en-AU" w:eastAsia="en-AU"/>
        </w:rPr>
      </w:pPr>
      <w:r w:rsidRPr="00976F04">
        <w:t xml:space="preserve">In addition to the direct effects of changed water quality observed on inshore reefs reported here </w:t>
      </w:r>
      <w:proofErr w:type="gramStart"/>
      <w:r w:rsidRPr="00976F04">
        <w:t>are</w:t>
      </w:r>
      <w:proofErr w:type="gramEnd"/>
      <w:r w:rsidRPr="00976F04">
        <w:t xml:space="preserve"> </w:t>
      </w:r>
      <w:r w:rsidR="00E02BA6">
        <w:t>larger-</w:t>
      </w:r>
      <w:r w:rsidRPr="00976F04">
        <w:t>scale or indirect potential impacts</w:t>
      </w:r>
      <w:r w:rsidR="003F0873">
        <w:t xml:space="preserve"> of water quality on the Reef. </w:t>
      </w:r>
      <w:r w:rsidRPr="00976F04">
        <w:t>Recent research into the interactions between water quality and climate change</w:t>
      </w:r>
      <w:r w:rsidRPr="00976F04" w:rsidDel="00657E98">
        <w:t xml:space="preserve"> </w:t>
      </w:r>
      <w:r w:rsidRPr="00976F04">
        <w:t xml:space="preserve">suggests that </w:t>
      </w:r>
      <w:r w:rsidR="00553D76">
        <w:t xml:space="preserve">corals </w:t>
      </w:r>
      <w:r w:rsidRPr="00976F04">
        <w:t>tolerance to heat stress and ocean acidification is reduced by exposure to contaminants including nutrients, herbicides and suspended particulate matter. The initiation of COTS outbreaks have also been linked to increased nutrient loads delivered to the Reef lagoon during major flood events</w:t>
      </w:r>
      <w:r w:rsidR="00553D76">
        <w:t>.</w:t>
      </w:r>
      <w:r w:rsidR="00F77DC0">
        <w:t xml:space="preserve"> </w:t>
      </w:r>
      <w:r w:rsidRPr="00976F04">
        <w:t xml:space="preserve">Observations from the MMP water quality monitoring program </w:t>
      </w:r>
      <w:r w:rsidRPr="00976F04">
        <w:rPr>
          <w:rFonts w:cs="Arial"/>
          <w:szCs w:val="22"/>
          <w:lang w:val="en-AU" w:eastAsia="en-AU"/>
        </w:rPr>
        <w:t>demonstrate large-scale and persistent changes in the water quality following the high loads nutrients that entered the reef over the period 2008-2013. In particular</w:t>
      </w:r>
      <w:r w:rsidR="00553D76">
        <w:rPr>
          <w:rFonts w:cs="Arial"/>
          <w:szCs w:val="22"/>
          <w:lang w:val="en-AU" w:eastAsia="en-AU"/>
        </w:rPr>
        <w:t>,</w:t>
      </w:r>
      <w:r w:rsidRPr="00976F04">
        <w:rPr>
          <w:rFonts w:cs="Arial"/>
          <w:szCs w:val="22"/>
          <w:lang w:val="en-AU" w:eastAsia="en-AU"/>
        </w:rPr>
        <w:t xml:space="preserve"> </w:t>
      </w:r>
      <w:r w:rsidRPr="00976F04">
        <w:rPr>
          <w:rFonts w:cs="Arial"/>
          <w:szCs w:val="22"/>
        </w:rPr>
        <w:t xml:space="preserve">concentrations of dissolved organic carbon, </w:t>
      </w:r>
      <w:r w:rsidR="003F0873">
        <w:rPr>
          <w:rFonts w:cs="Arial"/>
          <w:szCs w:val="22"/>
        </w:rPr>
        <w:t>dissolved</w:t>
      </w:r>
      <w:r>
        <w:rPr>
          <w:rFonts w:cs="Arial"/>
          <w:szCs w:val="22"/>
        </w:rPr>
        <w:t xml:space="preserve"> nitrogen </w:t>
      </w:r>
      <w:r w:rsidRPr="00976F04">
        <w:rPr>
          <w:rFonts w:cs="Arial"/>
          <w:szCs w:val="22"/>
        </w:rPr>
        <w:t xml:space="preserve">and turbidity levels have increased in all regions. These findings show that the </w:t>
      </w:r>
      <w:r w:rsidRPr="00976F04">
        <w:rPr>
          <w:rFonts w:cs="Arial"/>
          <w:szCs w:val="22"/>
          <w:lang w:val="en-AU" w:eastAsia="en-AU"/>
        </w:rPr>
        <w:t>mechanisms controlling the carbon and nutrient cycle</w:t>
      </w:r>
      <w:r w:rsidR="003F0873">
        <w:rPr>
          <w:rFonts w:cs="Arial"/>
          <w:szCs w:val="22"/>
          <w:lang w:val="en-AU" w:eastAsia="en-AU"/>
        </w:rPr>
        <w:t>s</w:t>
      </w:r>
      <w:r w:rsidRPr="00976F04">
        <w:rPr>
          <w:rFonts w:cs="Arial"/>
          <w:szCs w:val="22"/>
          <w:lang w:val="en-AU" w:eastAsia="en-AU"/>
        </w:rPr>
        <w:t xml:space="preserve"> in the Reef lagoon have undergone changes</w:t>
      </w:r>
      <w:r w:rsidR="00553D76">
        <w:rPr>
          <w:rFonts w:cs="Arial"/>
          <w:szCs w:val="22"/>
          <w:lang w:val="en-AU" w:eastAsia="en-AU"/>
        </w:rPr>
        <w:t xml:space="preserve"> and in combination extend the influence of runoff to large tracts of the Reef beyond the inshore zone reported here</w:t>
      </w:r>
      <w:r w:rsidRPr="00976F04">
        <w:rPr>
          <w:rFonts w:cs="Arial"/>
          <w:szCs w:val="22"/>
          <w:lang w:val="en-AU" w:eastAsia="en-AU"/>
        </w:rPr>
        <w:t xml:space="preserve">. </w:t>
      </w:r>
    </w:p>
    <w:p w14:paraId="72B26061" w14:textId="77777777" w:rsidR="00FF1B38" w:rsidRDefault="0001199E" w:rsidP="00F77DC0">
      <w:r w:rsidRPr="002471C3">
        <w:t xml:space="preserve">With the prediction that </w:t>
      </w:r>
      <w:r w:rsidR="003F0873">
        <w:t>t</w:t>
      </w:r>
      <w:r w:rsidRPr="002471C3">
        <w:t xml:space="preserve">he severity of disturbance events is projected to increase as a result of climate change, it is </w:t>
      </w:r>
      <w:r w:rsidR="008F5AE9">
        <w:t>essential</w:t>
      </w:r>
      <w:r w:rsidR="008F5AE9" w:rsidRPr="002471C3">
        <w:t xml:space="preserve"> </w:t>
      </w:r>
      <w:r w:rsidR="008F5AE9">
        <w:t>to mitigate</w:t>
      </w:r>
      <w:r w:rsidRPr="002471C3">
        <w:t xml:space="preserve"> local stressors that increase corals susceptibility to these disturbances. </w:t>
      </w:r>
      <w:r w:rsidR="00993257" w:rsidRPr="002471C3">
        <w:t xml:space="preserve">The evidence summarised in the </w:t>
      </w:r>
      <w:r w:rsidR="00993257">
        <w:t>2013</w:t>
      </w:r>
      <w:r w:rsidR="00993257" w:rsidRPr="002471C3">
        <w:t xml:space="preserve"> Reef Plan Scientific Consensus Statement “</w:t>
      </w:r>
      <w:r w:rsidR="00993257" w:rsidRPr="006A55F4">
        <w:rPr>
          <w:i/>
        </w:rPr>
        <w:t xml:space="preserve">indicates that a reduction in catchment pollutant loads is essential to halt and reverse further decline in the Reef ecosystem condition at a time of rapidly warming </w:t>
      </w:r>
      <w:r w:rsidR="006A55F4">
        <w:rPr>
          <w:i/>
        </w:rPr>
        <w:t>climate and ocean acidification</w:t>
      </w:r>
      <w:r w:rsidR="00993257" w:rsidRPr="006A55F4">
        <w:rPr>
          <w:i/>
        </w:rPr>
        <w:t>”</w:t>
      </w:r>
      <w:r w:rsidR="006A55F4">
        <w:rPr>
          <w:i/>
        </w:rPr>
        <w:t>.</w:t>
      </w:r>
      <w:r w:rsidR="00993257" w:rsidRPr="002471C3">
        <w:t xml:space="preserve"> </w:t>
      </w:r>
      <w:r w:rsidRPr="002471C3">
        <w:t>The 201</w:t>
      </w:r>
      <w:r w:rsidR="00993257">
        <w:t>5</w:t>
      </w:r>
      <w:r w:rsidRPr="002471C3">
        <w:t xml:space="preserve"> GBRMPA Strategic Assessment and </w:t>
      </w:r>
      <w:r w:rsidR="00993257">
        <w:t xml:space="preserve">2014 </w:t>
      </w:r>
      <w:r w:rsidRPr="002471C3">
        <w:t xml:space="preserve">Outlook reports identify the understanding of cumulative impacts as a key knowledge gap and their management a key strategic challenge. Continued </w:t>
      </w:r>
      <w:r w:rsidR="003751DE">
        <w:t xml:space="preserve">and improved </w:t>
      </w:r>
      <w:r w:rsidRPr="002471C3">
        <w:t xml:space="preserve">monitoring of the coastal and inshore Reef lagoon is fundamental to track long-term trends in the condition of marine water quality and ecosystem health </w:t>
      </w:r>
      <w:r w:rsidR="008F5AE9">
        <w:t xml:space="preserve">in the face of cumulative impacts </w:t>
      </w:r>
      <w:r w:rsidRPr="002471C3">
        <w:t>and to identify the ecosystem responses to management actions and interventions, for example those under Reef Plan.</w:t>
      </w:r>
    </w:p>
    <w:p w14:paraId="40286518" w14:textId="77777777" w:rsidR="008A1A24" w:rsidRPr="0001199E" w:rsidRDefault="008A1A24" w:rsidP="003F0873">
      <w:pPr>
        <w:autoSpaceDE w:val="0"/>
        <w:autoSpaceDN w:val="0"/>
        <w:adjustRightInd w:val="0"/>
        <w:spacing w:after="240"/>
        <w:rPr>
          <w:color w:val="0070C0"/>
        </w:rPr>
      </w:pPr>
      <w:r w:rsidRPr="001A3301">
        <w:rPr>
          <w:color w:val="0070C0"/>
        </w:rPr>
        <w:br w:type="page"/>
      </w:r>
    </w:p>
    <w:p w14:paraId="68BB2D4C" w14:textId="77777777" w:rsidR="008A1A24" w:rsidRPr="00F352CD" w:rsidRDefault="008A1A24" w:rsidP="006D0A76">
      <w:pPr>
        <w:pStyle w:val="Heading1"/>
      </w:pPr>
      <w:bookmarkStart w:id="56" w:name="_Toc437424402"/>
      <w:bookmarkStart w:id="57" w:name="_Toc437424526"/>
      <w:bookmarkStart w:id="58" w:name="_Toc437432456"/>
      <w:bookmarkStart w:id="59" w:name="_Toc437432529"/>
      <w:bookmarkStart w:id="60" w:name="_Toc460490652"/>
      <w:r w:rsidRPr="00F352CD">
        <w:lastRenderedPageBreak/>
        <w:t>Preface</w:t>
      </w:r>
      <w:bookmarkEnd w:id="56"/>
      <w:bookmarkEnd w:id="57"/>
      <w:bookmarkEnd w:id="58"/>
      <w:bookmarkEnd w:id="59"/>
      <w:bookmarkEnd w:id="60"/>
    </w:p>
    <w:p w14:paraId="6FC5A5CE" w14:textId="77777777" w:rsidR="002B6DF5" w:rsidRDefault="008A1A24" w:rsidP="002B6DF5">
      <w:pPr>
        <w:spacing w:after="240"/>
        <w:rPr>
          <w:color w:val="000000" w:themeColor="text1"/>
          <w:szCs w:val="22"/>
        </w:rPr>
      </w:pPr>
      <w:r w:rsidRPr="001D3B25">
        <w:rPr>
          <w:color w:val="000000" w:themeColor="text1"/>
        </w:rPr>
        <w:t xml:space="preserve">Management of human pressures, such as enhanced nutrient runoff and overfishing, is vital to provide corals and reef organisms with the optimum conditions to cope with global stressors, such as climate change and ocean acidification (Bellwood </w:t>
      </w:r>
      <w:r w:rsidRPr="001D3B25">
        <w:rPr>
          <w:i/>
          <w:color w:val="000000" w:themeColor="text1"/>
        </w:rPr>
        <w:t>et al.</w:t>
      </w:r>
      <w:r w:rsidRPr="001D3B25">
        <w:rPr>
          <w:color w:val="000000" w:themeColor="text1"/>
        </w:rPr>
        <w:t xml:space="preserve"> 2004, </w:t>
      </w:r>
      <w:proofErr w:type="gramStart"/>
      <w:r w:rsidRPr="001D3B25">
        <w:rPr>
          <w:color w:val="000000" w:themeColor="text1"/>
        </w:rPr>
        <w:t xml:space="preserve">Marshall </w:t>
      </w:r>
      <w:r w:rsidR="00522D23">
        <w:rPr>
          <w:color w:val="000000" w:themeColor="text1"/>
        </w:rPr>
        <w:t>&amp;</w:t>
      </w:r>
      <w:proofErr w:type="gramEnd"/>
      <w:r w:rsidRPr="001D3B25">
        <w:rPr>
          <w:color w:val="000000" w:themeColor="text1"/>
        </w:rPr>
        <w:t xml:space="preserve"> Johnson 2007, Carpenter </w:t>
      </w:r>
      <w:r w:rsidRPr="001D3B25">
        <w:rPr>
          <w:i/>
          <w:color w:val="000000" w:themeColor="text1"/>
        </w:rPr>
        <w:t>et al.</w:t>
      </w:r>
      <w:r w:rsidRPr="001D3B25">
        <w:rPr>
          <w:color w:val="000000" w:themeColor="text1"/>
        </w:rPr>
        <w:t xml:space="preserve"> 2008, Mora 2008, Hughes </w:t>
      </w:r>
      <w:r w:rsidRPr="001D3B25">
        <w:rPr>
          <w:i/>
          <w:color w:val="000000" w:themeColor="text1"/>
        </w:rPr>
        <w:t>et al</w:t>
      </w:r>
      <w:r w:rsidRPr="001D3B25">
        <w:rPr>
          <w:color w:val="000000" w:themeColor="text1"/>
        </w:rPr>
        <w:t xml:space="preserve">. 2010). The management of water quality remains a strategic priority for the </w:t>
      </w:r>
      <w:r w:rsidRPr="001D3B25">
        <w:rPr>
          <w:color w:val="000000" w:themeColor="text1"/>
          <w:lang w:eastAsia="en-AU"/>
        </w:rPr>
        <w:t xml:space="preserve">Great Barrier Reef Marine Park Authority (GBRMPA) </w:t>
      </w:r>
      <w:r w:rsidRPr="001D3B25">
        <w:rPr>
          <w:color w:val="000000" w:themeColor="text1"/>
        </w:rPr>
        <w:t>to ensure the long-term protection of the coastal and inshore ecosystems of the Reef (GBRMPA 2014 a, b). A key management tool is the Reef Water Quality Protection Plan (Reef Plan; Anon</w:t>
      </w:r>
      <w:r w:rsidR="005345E1">
        <w:rPr>
          <w:color w:val="000000" w:themeColor="text1"/>
        </w:rPr>
        <w:t>.</w:t>
      </w:r>
      <w:r w:rsidRPr="001D3B25">
        <w:rPr>
          <w:color w:val="000000" w:themeColor="text1"/>
        </w:rPr>
        <w:t xml:space="preserve"> 2013), with the actions being delivered through the Reef 2050 Plan. The Reef 2050 Plan includes the Reef Trust, to which the Australian Government has committed continued funding to protect the Reef through improvements to the quality of water flowing into the Reef lagoon, and the Reef 2050 Long Term Sustainability Plan, which provides a framework for the integrated management of the GBRWHA.</w:t>
      </w:r>
      <w:r w:rsidRPr="001D3B25">
        <w:rPr>
          <w:color w:val="000000" w:themeColor="text1"/>
          <w:szCs w:val="22"/>
        </w:rPr>
        <w:t xml:space="preserve"> </w:t>
      </w:r>
    </w:p>
    <w:p w14:paraId="0C76D0F1" w14:textId="77777777" w:rsidR="008A1A24" w:rsidRPr="001A3301" w:rsidRDefault="008A1A24" w:rsidP="002B6DF5">
      <w:pPr>
        <w:spacing w:after="240"/>
        <w:rPr>
          <w:color w:val="0070C0"/>
          <w:lang w:eastAsia="en-AU"/>
        </w:rPr>
      </w:pPr>
      <w:r w:rsidRPr="00A65BE1">
        <w:rPr>
          <w:color w:val="000000" w:themeColor="text1"/>
          <w:lang w:eastAsia="en-AU"/>
        </w:rPr>
        <w:t xml:space="preserve">The Marine Monitoring Program (MMP), formerly known as the </w:t>
      </w:r>
      <w:r w:rsidRPr="00A65BE1">
        <w:rPr>
          <w:color w:val="000000" w:themeColor="text1"/>
        </w:rPr>
        <w:t>Reef Plan MMP,</w:t>
      </w:r>
      <w:r w:rsidRPr="00A65BE1">
        <w:rPr>
          <w:color w:val="000000" w:themeColor="text1"/>
          <w:lang w:eastAsia="en-AU"/>
        </w:rPr>
        <w:t xml:space="preserve"> was designed and developed by the </w:t>
      </w:r>
      <w:r w:rsidRPr="00A65BE1">
        <w:rPr>
          <w:color w:val="000000" w:themeColor="text1"/>
        </w:rPr>
        <w:t xml:space="preserve">GBRMPA in collaboration with science agencies and is currently funded by the </w:t>
      </w:r>
      <w:r w:rsidR="00C04305">
        <w:rPr>
          <w:color w:val="000000" w:themeColor="text1"/>
        </w:rPr>
        <w:t xml:space="preserve">Australian Government </w:t>
      </w:r>
      <w:r w:rsidRPr="00A65BE1">
        <w:rPr>
          <w:color w:val="000000" w:themeColor="text1"/>
        </w:rPr>
        <w:t>Reef  P</w:t>
      </w:r>
      <w:r w:rsidR="00C04305">
        <w:rPr>
          <w:color w:val="000000" w:themeColor="text1"/>
        </w:rPr>
        <w:t>rogramme</w:t>
      </w:r>
      <w:r w:rsidRPr="00A65BE1">
        <w:rPr>
          <w:color w:val="000000" w:themeColor="text1"/>
        </w:rPr>
        <w:t>.</w:t>
      </w:r>
      <w:r w:rsidRPr="00A65BE1">
        <w:rPr>
          <w:color w:val="000000" w:themeColor="text1"/>
          <w:lang w:eastAsia="en-AU"/>
        </w:rPr>
        <w:t xml:space="preserve"> A summary of the MMP’s overall goals and objectives and a description of the sub-programs are available at </w:t>
      </w:r>
      <w:hyperlink r:id="rId33" w:history="1">
        <w:r w:rsidR="00D368F0">
          <w:rPr>
            <w:rStyle w:val="Hyperlink"/>
            <w:color w:val="000000" w:themeColor="text1"/>
            <w:lang w:eastAsia="en-AU"/>
          </w:rPr>
          <w:t>the GBRMPA 2050 marine monitoring program website</w:t>
        </w:r>
      </w:hyperlink>
      <w:r w:rsidRPr="00A65BE1">
        <w:rPr>
          <w:color w:val="000000" w:themeColor="text1"/>
          <w:lang w:eastAsia="en-AU"/>
        </w:rPr>
        <w:t xml:space="preserve"> and </w:t>
      </w:r>
      <w:hyperlink r:id="rId34" w:tooltip="A summary of the MMP’s overall goals and objectives and a description of the sub-programs" w:history="1">
        <w:r w:rsidR="00D368F0">
          <w:rPr>
            <w:rStyle w:val="Hyperlink"/>
            <w:color w:val="000000" w:themeColor="text1"/>
          </w:rPr>
          <w:t>the e-atlas website</w:t>
        </w:r>
      </w:hyperlink>
      <w:r w:rsidRPr="00A65BE1">
        <w:rPr>
          <w:color w:val="000000" w:themeColor="text1"/>
        </w:rPr>
        <w:t xml:space="preserve">. The MMP forms an integral part of the </w:t>
      </w:r>
      <w:r w:rsidRPr="00A65BE1">
        <w:rPr>
          <w:i/>
          <w:color w:val="000000" w:themeColor="text1"/>
        </w:rPr>
        <w:t>Paddock to Reef Integrated Monitoring, Modelling and Reporting Program</w:t>
      </w:r>
      <w:r w:rsidRPr="00A65BE1">
        <w:rPr>
          <w:color w:val="000000" w:themeColor="text1"/>
        </w:rPr>
        <w:t>, which is a key action of Reef Plan and is designed to evaluate the efficiency and effectiveness of implementation and report on progress towards the Reef 2050 Plan goals and targets. A key output of the Paddock to Reef Program is an annual report card, including an assessment of Reef water quality and ecosystem condition to which the MMP contributes assessments and information. The first Annual Reef Plan Report Card for 2009 (Anon. 2011), serves as a baseline for future assessments, and</w:t>
      </w:r>
      <w:r w:rsidR="001D3B25" w:rsidRPr="00A65BE1">
        <w:rPr>
          <w:color w:val="000000" w:themeColor="text1"/>
        </w:rPr>
        <w:t xml:space="preserve"> report cards for 2010, 2011,</w:t>
      </w:r>
      <w:r w:rsidRPr="00A65BE1">
        <w:rPr>
          <w:color w:val="000000" w:themeColor="text1"/>
        </w:rPr>
        <w:t xml:space="preserve"> 2012/13</w:t>
      </w:r>
      <w:r w:rsidR="00A65BE1" w:rsidRPr="00A65BE1">
        <w:rPr>
          <w:color w:val="000000" w:themeColor="text1"/>
        </w:rPr>
        <w:t xml:space="preserve"> and 2014</w:t>
      </w:r>
      <w:r w:rsidRPr="00A65BE1">
        <w:rPr>
          <w:color w:val="000000" w:themeColor="text1"/>
        </w:rPr>
        <w:t xml:space="preserve"> have since been released (available at </w:t>
      </w:r>
      <w:hyperlink r:id="rId35" w:tooltip="The first Annual Reef Plan Report Card for 2009 (Anon. 2011), serves as a baseline for future assessments, recently with report cards for 2010 and 2011 " w:history="1">
        <w:r w:rsidRPr="00A65BE1">
          <w:rPr>
            <w:rStyle w:val="Hyperlink"/>
            <w:color w:val="000000" w:themeColor="text1"/>
          </w:rPr>
          <w:t>www.reefplan.qld.gov.au</w:t>
        </w:r>
      </w:hyperlink>
      <w:r w:rsidRPr="00A65BE1">
        <w:rPr>
          <w:color w:val="000000" w:themeColor="text1"/>
        </w:rPr>
        <w:t>).</w:t>
      </w:r>
      <w:r w:rsidR="002B6DF5" w:rsidRPr="001A3301">
        <w:rPr>
          <w:color w:val="0070C0"/>
          <w:lang w:eastAsia="en-AU"/>
        </w:rPr>
        <w:t xml:space="preserve"> </w:t>
      </w:r>
    </w:p>
    <w:p w14:paraId="453A5FD4" w14:textId="77777777" w:rsidR="008A1A24" w:rsidRPr="001D3B25" w:rsidRDefault="008A1A24" w:rsidP="002B6DF5">
      <w:pPr>
        <w:rPr>
          <w:color w:val="000000" w:themeColor="text1"/>
        </w:rPr>
      </w:pPr>
      <w:r w:rsidRPr="001D3B25">
        <w:rPr>
          <w:color w:val="000000" w:themeColor="text1"/>
        </w:rPr>
        <w:t>The Australian Institute of Marine Science (AIMS) and the GBRMPA ente</w:t>
      </w:r>
      <w:r w:rsidR="00872986">
        <w:rPr>
          <w:color w:val="000000" w:themeColor="text1"/>
        </w:rPr>
        <w:t>red into a co-investment agreeme</w:t>
      </w:r>
      <w:r w:rsidRPr="001D3B25">
        <w:rPr>
          <w:color w:val="000000" w:themeColor="text1"/>
        </w:rPr>
        <w:t xml:space="preserve">nt in </w:t>
      </w:r>
      <w:r w:rsidR="00A65BE1">
        <w:rPr>
          <w:color w:val="000000" w:themeColor="text1"/>
        </w:rPr>
        <w:t>June</w:t>
      </w:r>
      <w:r w:rsidR="00A65BE1" w:rsidRPr="001D3B25">
        <w:rPr>
          <w:color w:val="000000" w:themeColor="text1"/>
        </w:rPr>
        <w:t xml:space="preserve"> 201</w:t>
      </w:r>
      <w:r w:rsidR="00A65BE1">
        <w:rPr>
          <w:color w:val="000000" w:themeColor="text1"/>
        </w:rPr>
        <w:t>5</w:t>
      </w:r>
      <w:r w:rsidR="00A65BE1" w:rsidRPr="001D3B25">
        <w:rPr>
          <w:color w:val="000000" w:themeColor="text1"/>
        </w:rPr>
        <w:t xml:space="preserve"> </w:t>
      </w:r>
      <w:r w:rsidRPr="001D3B25">
        <w:rPr>
          <w:color w:val="000000" w:themeColor="text1"/>
        </w:rPr>
        <w:t xml:space="preserve">to provide monitoring activities under the </w:t>
      </w:r>
      <w:r w:rsidRPr="001D3B25">
        <w:rPr>
          <w:color w:val="000000" w:themeColor="text1"/>
          <w:lang w:eastAsia="en-AU"/>
        </w:rPr>
        <w:t xml:space="preserve">MMP </w:t>
      </w:r>
      <w:r w:rsidR="00A65BE1">
        <w:rPr>
          <w:color w:val="000000" w:themeColor="text1"/>
          <w:lang w:eastAsia="en-AU"/>
        </w:rPr>
        <w:t>in</w:t>
      </w:r>
      <w:r w:rsidRPr="001D3B25">
        <w:rPr>
          <w:color w:val="000000" w:themeColor="text1"/>
          <w:lang w:eastAsia="en-AU"/>
        </w:rPr>
        <w:t xml:space="preserve"> 201</w:t>
      </w:r>
      <w:r w:rsidR="001D3B25" w:rsidRPr="001D3B25">
        <w:rPr>
          <w:color w:val="000000" w:themeColor="text1"/>
          <w:lang w:eastAsia="en-AU"/>
        </w:rPr>
        <w:t>5</w:t>
      </w:r>
      <w:r w:rsidRPr="001D3B25">
        <w:rPr>
          <w:color w:val="000000" w:themeColor="text1"/>
          <w:lang w:eastAsia="en-AU"/>
        </w:rPr>
        <w:t>. The AIMS monitoring activities in the current contract period of the MMP are largely an extension of activities established under a previous arrangements from 2005 to 201</w:t>
      </w:r>
      <w:r w:rsidR="001D3B25" w:rsidRPr="001D3B25">
        <w:rPr>
          <w:color w:val="000000" w:themeColor="text1"/>
          <w:lang w:eastAsia="en-AU"/>
        </w:rPr>
        <w:t>4</w:t>
      </w:r>
      <w:r w:rsidRPr="001D3B25">
        <w:rPr>
          <w:color w:val="000000" w:themeColor="text1"/>
          <w:lang w:eastAsia="en-AU"/>
        </w:rPr>
        <w:t xml:space="preserve"> and </w:t>
      </w:r>
      <w:r w:rsidRPr="001D3B25">
        <w:rPr>
          <w:color w:val="000000" w:themeColor="text1"/>
        </w:rPr>
        <w:t>are grouped into two components:</w:t>
      </w:r>
    </w:p>
    <w:p w14:paraId="6B7B1D48" w14:textId="77777777" w:rsidR="008A1A24" w:rsidRPr="001D3B25" w:rsidRDefault="008A1A24" w:rsidP="002B6DF5">
      <w:pPr>
        <w:numPr>
          <w:ilvl w:val="0"/>
          <w:numId w:val="4"/>
        </w:numPr>
        <w:rPr>
          <w:color w:val="000000" w:themeColor="text1"/>
        </w:rPr>
      </w:pPr>
      <w:r w:rsidRPr="001D3B25">
        <w:rPr>
          <w:color w:val="000000" w:themeColor="text1"/>
        </w:rPr>
        <w:t>Inshore Marine Water Quality Monitoring</w:t>
      </w:r>
    </w:p>
    <w:p w14:paraId="6D1F481E" w14:textId="77777777" w:rsidR="008A1A24" w:rsidRPr="001D3B25" w:rsidRDefault="008A1A24" w:rsidP="002B6DF5">
      <w:pPr>
        <w:numPr>
          <w:ilvl w:val="0"/>
          <w:numId w:val="4"/>
        </w:numPr>
        <w:rPr>
          <w:color w:val="000000" w:themeColor="text1"/>
        </w:rPr>
      </w:pPr>
      <w:r w:rsidRPr="001D3B25">
        <w:rPr>
          <w:color w:val="000000" w:themeColor="text1"/>
        </w:rPr>
        <w:t>Inshore Coral Reef Monitoring</w:t>
      </w:r>
    </w:p>
    <w:p w14:paraId="641E9591" w14:textId="77777777" w:rsidR="008A1A24" w:rsidRPr="00872986" w:rsidRDefault="001D3B25" w:rsidP="002B6DF5">
      <w:pPr>
        <w:rPr>
          <w:color w:val="000000" w:themeColor="text1"/>
          <w:lang w:eastAsia="en-AU"/>
        </w:rPr>
      </w:pPr>
      <w:r w:rsidRPr="00872986">
        <w:rPr>
          <w:color w:val="000000" w:themeColor="text1"/>
        </w:rPr>
        <w:t>I</w:t>
      </w:r>
      <w:r w:rsidR="008A1A24" w:rsidRPr="00872986">
        <w:rPr>
          <w:color w:val="000000" w:themeColor="text1"/>
        </w:rPr>
        <w:t>n previous year</w:t>
      </w:r>
      <w:r w:rsidRPr="00872986">
        <w:rPr>
          <w:color w:val="000000" w:themeColor="text1"/>
        </w:rPr>
        <w:t>s</w:t>
      </w:r>
      <w:r w:rsidR="008A1A24" w:rsidRPr="00872986">
        <w:rPr>
          <w:color w:val="000000" w:themeColor="text1"/>
        </w:rPr>
        <w:t xml:space="preserve">, </w:t>
      </w:r>
      <w:r w:rsidRPr="00872986">
        <w:rPr>
          <w:color w:val="000000" w:themeColor="text1"/>
        </w:rPr>
        <w:t xml:space="preserve">AIMS has </w:t>
      </w:r>
      <w:r w:rsidR="008A1A24" w:rsidRPr="00872986">
        <w:rPr>
          <w:color w:val="000000" w:themeColor="text1"/>
          <w:lang w:eastAsia="en-AU"/>
        </w:rPr>
        <w:t>combine</w:t>
      </w:r>
      <w:r w:rsidRPr="00872986">
        <w:rPr>
          <w:color w:val="000000" w:themeColor="text1"/>
          <w:lang w:eastAsia="en-AU"/>
        </w:rPr>
        <w:t>d</w:t>
      </w:r>
      <w:r w:rsidR="008A1A24" w:rsidRPr="00872986">
        <w:rPr>
          <w:color w:val="000000" w:themeColor="text1"/>
          <w:lang w:eastAsia="en-AU"/>
        </w:rPr>
        <w:t xml:space="preserve"> the results of the AIMS Water Quality and Coral Reef Monitoring into an integrated report. </w:t>
      </w:r>
      <w:r w:rsidRPr="00872986">
        <w:rPr>
          <w:color w:val="000000" w:themeColor="text1"/>
          <w:lang w:eastAsia="en-AU"/>
        </w:rPr>
        <w:t>However, with the revision of the water quality monitoring</w:t>
      </w:r>
      <w:r w:rsidR="00872986" w:rsidRPr="00872986">
        <w:rPr>
          <w:color w:val="000000" w:themeColor="text1"/>
          <w:lang w:eastAsia="en-AU"/>
        </w:rPr>
        <w:t xml:space="preserve"> component </w:t>
      </w:r>
      <w:r w:rsidR="00475B7A">
        <w:rPr>
          <w:color w:val="000000" w:themeColor="text1"/>
          <w:lang w:eastAsia="en-AU"/>
        </w:rPr>
        <w:t xml:space="preserve">in 2015 </w:t>
      </w:r>
      <w:r w:rsidR="00872986" w:rsidRPr="00872986">
        <w:rPr>
          <w:color w:val="000000" w:themeColor="text1"/>
          <w:lang w:eastAsia="en-AU"/>
        </w:rPr>
        <w:t xml:space="preserve">it was decided that </w:t>
      </w:r>
      <w:r w:rsidR="00475B7A" w:rsidRPr="00872986">
        <w:rPr>
          <w:color w:val="000000" w:themeColor="text1"/>
          <w:lang w:eastAsia="en-AU"/>
        </w:rPr>
        <w:t xml:space="preserve">the </w:t>
      </w:r>
      <w:r w:rsidR="00475B7A" w:rsidRPr="00475B7A">
        <w:rPr>
          <w:i/>
          <w:color w:val="000000" w:themeColor="text1"/>
          <w:lang w:eastAsia="en-AU"/>
        </w:rPr>
        <w:t>in situ</w:t>
      </w:r>
      <w:r w:rsidR="00475B7A">
        <w:rPr>
          <w:color w:val="000000" w:themeColor="text1"/>
          <w:lang w:eastAsia="en-AU"/>
        </w:rPr>
        <w:t xml:space="preserve"> </w:t>
      </w:r>
      <w:r w:rsidR="00475B7A" w:rsidRPr="00872986">
        <w:rPr>
          <w:color w:val="000000" w:themeColor="text1"/>
          <w:lang w:eastAsia="en-AU"/>
        </w:rPr>
        <w:t xml:space="preserve">water quality monitoring undertaken by AIMS and the flood plume monitoring </w:t>
      </w:r>
      <w:r w:rsidR="00475B7A">
        <w:rPr>
          <w:color w:val="000000" w:themeColor="text1"/>
          <w:lang w:eastAsia="en-AU"/>
        </w:rPr>
        <w:t xml:space="preserve">by </w:t>
      </w:r>
      <w:r w:rsidR="00475B7A" w:rsidRPr="00872986">
        <w:rPr>
          <w:color w:val="000000" w:themeColor="text1"/>
          <w:lang w:eastAsia="en-AU"/>
        </w:rPr>
        <w:t xml:space="preserve">James Cook University </w:t>
      </w:r>
      <w:r w:rsidR="003F0873">
        <w:rPr>
          <w:color w:val="000000" w:themeColor="text1"/>
          <w:lang w:eastAsia="en-AU"/>
        </w:rPr>
        <w:t>will</w:t>
      </w:r>
      <w:r w:rsidR="00872986" w:rsidRPr="00872986">
        <w:rPr>
          <w:color w:val="000000" w:themeColor="text1"/>
          <w:lang w:eastAsia="en-AU"/>
        </w:rPr>
        <w:t xml:space="preserve"> </w:t>
      </w:r>
      <w:r w:rsidR="00475B7A">
        <w:rPr>
          <w:color w:val="000000" w:themeColor="text1"/>
          <w:lang w:eastAsia="en-AU"/>
        </w:rPr>
        <w:t xml:space="preserve">be merged and </w:t>
      </w:r>
      <w:r w:rsidR="00872986" w:rsidRPr="00872986">
        <w:rPr>
          <w:color w:val="000000" w:themeColor="text1"/>
          <w:lang w:eastAsia="en-AU"/>
        </w:rPr>
        <w:t xml:space="preserve">provide a </w:t>
      </w:r>
      <w:r w:rsidR="003F0873">
        <w:rPr>
          <w:color w:val="000000" w:themeColor="text1"/>
          <w:lang w:eastAsia="en-AU"/>
        </w:rPr>
        <w:t>combined</w:t>
      </w:r>
      <w:r w:rsidR="00872986" w:rsidRPr="00872986">
        <w:rPr>
          <w:color w:val="000000" w:themeColor="text1"/>
          <w:lang w:eastAsia="en-AU"/>
        </w:rPr>
        <w:t xml:space="preserve"> marine water quality report</w:t>
      </w:r>
      <w:r w:rsidR="003F0873">
        <w:rPr>
          <w:color w:val="000000" w:themeColor="text1"/>
          <w:lang w:eastAsia="en-AU"/>
        </w:rPr>
        <w:t xml:space="preserve"> (see L</w:t>
      </w:r>
      <w:r w:rsidR="003F0873">
        <w:rPr>
          <w:rFonts w:cs="Arial"/>
          <w:color w:val="000000" w:themeColor="text1"/>
          <w:lang w:eastAsia="en-AU"/>
        </w:rPr>
        <w:t>ø</w:t>
      </w:r>
      <w:r w:rsidR="003F0873">
        <w:rPr>
          <w:color w:val="000000" w:themeColor="text1"/>
          <w:lang w:eastAsia="en-AU"/>
        </w:rPr>
        <w:t xml:space="preserve">nborg </w:t>
      </w:r>
      <w:r w:rsidR="003F0873" w:rsidRPr="0054101D">
        <w:rPr>
          <w:i/>
          <w:color w:val="000000" w:themeColor="text1"/>
          <w:lang w:eastAsia="en-AU"/>
        </w:rPr>
        <w:t>et al.</w:t>
      </w:r>
      <w:r w:rsidR="003F0873">
        <w:rPr>
          <w:color w:val="000000" w:themeColor="text1"/>
          <w:lang w:eastAsia="en-AU"/>
        </w:rPr>
        <w:t xml:space="preserve"> </w:t>
      </w:r>
      <w:r w:rsidR="008E6F11">
        <w:rPr>
          <w:color w:val="000000" w:themeColor="text1"/>
          <w:lang w:eastAsia="en-AU"/>
        </w:rPr>
        <w:t>2015</w:t>
      </w:r>
      <w:r w:rsidR="003F0873">
        <w:rPr>
          <w:color w:val="000000" w:themeColor="text1"/>
          <w:lang w:eastAsia="en-AU"/>
        </w:rPr>
        <w:t>)</w:t>
      </w:r>
      <w:r w:rsidR="00872986" w:rsidRPr="00872986">
        <w:rPr>
          <w:color w:val="000000" w:themeColor="text1"/>
          <w:lang w:eastAsia="en-AU"/>
        </w:rPr>
        <w:t xml:space="preserve">. </w:t>
      </w:r>
      <w:r w:rsidR="00475B7A">
        <w:rPr>
          <w:color w:val="000000" w:themeColor="text1"/>
          <w:lang w:eastAsia="en-AU"/>
        </w:rPr>
        <w:t>Hence, t</w:t>
      </w:r>
      <w:r w:rsidR="00872986" w:rsidRPr="00872986">
        <w:rPr>
          <w:color w:val="000000" w:themeColor="text1"/>
          <w:lang w:eastAsia="en-AU"/>
        </w:rPr>
        <w:t xml:space="preserve">his </w:t>
      </w:r>
      <w:r w:rsidR="003F0873">
        <w:rPr>
          <w:color w:val="000000" w:themeColor="text1"/>
          <w:lang w:eastAsia="en-AU"/>
        </w:rPr>
        <w:t xml:space="preserve">present </w:t>
      </w:r>
      <w:r w:rsidR="00872986" w:rsidRPr="00872986">
        <w:rPr>
          <w:color w:val="000000" w:themeColor="text1"/>
          <w:lang w:eastAsia="en-AU"/>
        </w:rPr>
        <w:t xml:space="preserve">report is </w:t>
      </w:r>
      <w:r w:rsidR="00475B7A">
        <w:rPr>
          <w:color w:val="000000" w:themeColor="text1"/>
          <w:lang w:eastAsia="en-AU"/>
        </w:rPr>
        <w:t xml:space="preserve">now </w:t>
      </w:r>
      <w:r w:rsidR="00872986" w:rsidRPr="00872986">
        <w:rPr>
          <w:color w:val="000000" w:themeColor="text1"/>
          <w:lang w:eastAsia="en-AU"/>
        </w:rPr>
        <w:t>focused at only the coral monitoring component</w:t>
      </w:r>
      <w:r w:rsidR="00475B7A">
        <w:rPr>
          <w:color w:val="000000" w:themeColor="text1"/>
          <w:lang w:eastAsia="en-AU"/>
        </w:rPr>
        <w:t>. I</w:t>
      </w:r>
      <w:r w:rsidR="00872986" w:rsidRPr="00872986">
        <w:rPr>
          <w:color w:val="000000" w:themeColor="text1"/>
          <w:lang w:eastAsia="en-AU"/>
        </w:rPr>
        <w:t xml:space="preserve">n keeping with the </w:t>
      </w:r>
      <w:r w:rsidR="008A1A24" w:rsidRPr="00872986">
        <w:rPr>
          <w:color w:val="000000" w:themeColor="text1"/>
          <w:lang w:eastAsia="en-AU"/>
        </w:rPr>
        <w:t xml:space="preserve">overarching objective of the MMP to: </w:t>
      </w:r>
    </w:p>
    <w:p w14:paraId="045CC075" w14:textId="77777777" w:rsidR="00872986" w:rsidRPr="00872986" w:rsidRDefault="00590C38" w:rsidP="002B6DF5">
      <w:pPr>
        <w:ind w:left="720"/>
        <w:rPr>
          <w:rFonts w:cs="Arial"/>
          <w:i/>
          <w:color w:val="000000" w:themeColor="text1"/>
        </w:rPr>
      </w:pPr>
      <w:r w:rsidRPr="00872986">
        <w:rPr>
          <w:rFonts w:cs="Arial"/>
          <w:i/>
          <w:color w:val="000000" w:themeColor="text1"/>
          <w:szCs w:val="22"/>
        </w:rPr>
        <w:t>“</w:t>
      </w:r>
      <w:r w:rsidR="008A1A24" w:rsidRPr="00872986">
        <w:rPr>
          <w:rFonts w:cs="Arial"/>
          <w:i/>
          <w:color w:val="000000" w:themeColor="text1"/>
          <w:szCs w:val="22"/>
        </w:rPr>
        <w:t>Assess trends in ecosystem health and resilience indicators for the Great Barrier Reef in relation to water quality and its linkages to end-of-catchment loads</w:t>
      </w:r>
      <w:r w:rsidR="008A1A24" w:rsidRPr="00872986">
        <w:rPr>
          <w:rFonts w:cs="Arial"/>
          <w:i/>
          <w:color w:val="000000" w:themeColor="text1"/>
        </w:rPr>
        <w:t>”</w:t>
      </w:r>
      <w:r w:rsidR="00872986" w:rsidRPr="00872986">
        <w:rPr>
          <w:rFonts w:cs="Arial"/>
          <w:i/>
          <w:color w:val="000000" w:themeColor="text1"/>
        </w:rPr>
        <w:t>,</w:t>
      </w:r>
    </w:p>
    <w:p w14:paraId="755007BE" w14:textId="77777777" w:rsidR="003F0873" w:rsidRDefault="00457EB1" w:rsidP="00475B7A">
      <w:pPr>
        <w:rPr>
          <w:color w:val="000000" w:themeColor="text1"/>
        </w:rPr>
      </w:pPr>
      <w:r>
        <w:rPr>
          <w:rFonts w:cs="Arial"/>
          <w:color w:val="000000" w:themeColor="text1"/>
        </w:rPr>
        <w:t>K</w:t>
      </w:r>
      <w:r w:rsidR="00802CBE">
        <w:rPr>
          <w:rFonts w:cs="Arial"/>
          <w:color w:val="000000" w:themeColor="text1"/>
        </w:rPr>
        <w:t xml:space="preserve">ey water quality results are replicated here as required for the </w:t>
      </w:r>
      <w:r w:rsidR="00C04305">
        <w:rPr>
          <w:rFonts w:cs="Arial"/>
          <w:color w:val="000000" w:themeColor="text1"/>
        </w:rPr>
        <w:t xml:space="preserve">analysis and </w:t>
      </w:r>
      <w:r w:rsidR="00872986" w:rsidRPr="00872986">
        <w:rPr>
          <w:rFonts w:cs="Arial"/>
          <w:color w:val="000000" w:themeColor="text1"/>
        </w:rPr>
        <w:t>interpre</w:t>
      </w:r>
      <w:r w:rsidR="00802CBE">
        <w:rPr>
          <w:rFonts w:cs="Arial"/>
          <w:color w:val="000000" w:themeColor="text1"/>
        </w:rPr>
        <w:t>tation of coral results</w:t>
      </w:r>
      <w:r w:rsidR="00872986" w:rsidRPr="00872986">
        <w:rPr>
          <w:rFonts w:cs="Arial"/>
          <w:color w:val="000000" w:themeColor="text1"/>
        </w:rPr>
        <w:t xml:space="preserve">. </w:t>
      </w:r>
      <w:r w:rsidR="008A1A24" w:rsidRPr="00773FDE">
        <w:rPr>
          <w:color w:val="000000" w:themeColor="text1"/>
          <w:lang w:eastAsia="en-AU"/>
        </w:rPr>
        <w:t>Th</w:t>
      </w:r>
      <w:r w:rsidR="00475B7A">
        <w:rPr>
          <w:color w:val="000000" w:themeColor="text1"/>
          <w:lang w:eastAsia="en-AU"/>
        </w:rPr>
        <w:t>e</w:t>
      </w:r>
      <w:r w:rsidR="008A1A24" w:rsidRPr="00773FDE">
        <w:rPr>
          <w:color w:val="000000" w:themeColor="text1"/>
          <w:lang w:eastAsia="en-AU"/>
        </w:rPr>
        <w:t xml:space="preserve"> report</w:t>
      </w:r>
      <w:r w:rsidR="004D0692" w:rsidRPr="00773FDE">
        <w:rPr>
          <w:color w:val="000000" w:themeColor="text1"/>
          <w:lang w:eastAsia="en-AU"/>
        </w:rPr>
        <w:t xml:space="preserve"> </w:t>
      </w:r>
      <w:r w:rsidR="008A1A24" w:rsidRPr="00773FDE">
        <w:rPr>
          <w:color w:val="000000" w:themeColor="text1"/>
          <w:lang w:eastAsia="en-AU"/>
        </w:rPr>
        <w:t xml:space="preserve">covers </w:t>
      </w:r>
      <w:r w:rsidR="00872986" w:rsidRPr="00773FDE">
        <w:rPr>
          <w:color w:val="000000" w:themeColor="text1"/>
          <w:lang w:eastAsia="en-AU"/>
        </w:rPr>
        <w:t xml:space="preserve">coral reef monitoring </w:t>
      </w:r>
      <w:r w:rsidR="008A1A24" w:rsidRPr="00773FDE">
        <w:rPr>
          <w:color w:val="000000" w:themeColor="text1"/>
          <w:lang w:eastAsia="en-AU"/>
        </w:rPr>
        <w:t xml:space="preserve">conducted </w:t>
      </w:r>
      <w:r w:rsidR="00872986" w:rsidRPr="00773FDE">
        <w:rPr>
          <w:color w:val="000000" w:themeColor="text1"/>
          <w:lang w:eastAsia="en-AU"/>
        </w:rPr>
        <w:t>between May 2015 and</w:t>
      </w:r>
      <w:r w:rsidR="008A1A24" w:rsidRPr="00773FDE">
        <w:rPr>
          <w:color w:val="000000" w:themeColor="text1"/>
          <w:lang w:eastAsia="en-AU"/>
        </w:rPr>
        <w:t xml:space="preserve"> </w:t>
      </w:r>
      <w:r w:rsidR="00872986" w:rsidRPr="00773FDE">
        <w:rPr>
          <w:color w:val="000000" w:themeColor="text1"/>
          <w:lang w:eastAsia="en-AU"/>
        </w:rPr>
        <w:t>August 2015</w:t>
      </w:r>
      <w:r w:rsidR="008A1A24" w:rsidRPr="00773FDE">
        <w:rPr>
          <w:color w:val="000000" w:themeColor="text1"/>
          <w:lang w:eastAsia="en-AU"/>
        </w:rPr>
        <w:t xml:space="preserve"> with inclusion of data from previous MMP </w:t>
      </w:r>
      <w:r w:rsidR="00872986" w:rsidRPr="00773FDE">
        <w:rPr>
          <w:color w:val="000000" w:themeColor="text1"/>
          <w:lang w:eastAsia="en-AU"/>
        </w:rPr>
        <w:t xml:space="preserve">and LTMP </w:t>
      </w:r>
      <w:r w:rsidR="008A1A24" w:rsidRPr="00773FDE">
        <w:rPr>
          <w:color w:val="000000" w:themeColor="text1"/>
          <w:lang w:eastAsia="en-AU"/>
        </w:rPr>
        <w:t>monitoring</w:t>
      </w:r>
      <w:r w:rsidR="008A1A24" w:rsidRPr="00773FDE">
        <w:rPr>
          <w:color w:val="000000" w:themeColor="text1"/>
        </w:rPr>
        <w:t>.</w:t>
      </w:r>
      <w:r w:rsidR="003F0873">
        <w:rPr>
          <w:color w:val="000000" w:themeColor="text1"/>
        </w:rPr>
        <w:br w:type="page"/>
      </w:r>
    </w:p>
    <w:p w14:paraId="1A45E98E" w14:textId="77777777" w:rsidR="008A1A24" w:rsidRPr="0004130F" w:rsidRDefault="008A1A24" w:rsidP="006D0A76">
      <w:pPr>
        <w:pStyle w:val="Heading1"/>
      </w:pPr>
      <w:bookmarkStart w:id="61" w:name="_Toc167192422"/>
      <w:bookmarkStart w:id="62" w:name="_Toc437424403"/>
      <w:bookmarkStart w:id="63" w:name="_Toc437424527"/>
      <w:bookmarkStart w:id="64" w:name="_Toc437432457"/>
      <w:bookmarkStart w:id="65" w:name="_Toc437432530"/>
      <w:bookmarkStart w:id="66" w:name="_Toc460490653"/>
      <w:bookmarkStart w:id="67" w:name="_Toc330104786"/>
      <w:bookmarkStart w:id="68" w:name="_Toc330104937"/>
      <w:bookmarkStart w:id="69" w:name="_Toc330105841"/>
      <w:bookmarkStart w:id="70" w:name="_Toc330113421"/>
      <w:bookmarkStart w:id="71" w:name="_Toc330115339"/>
      <w:bookmarkStart w:id="72" w:name="_Toc330177419"/>
      <w:bookmarkStart w:id="73" w:name="_Toc330177763"/>
      <w:bookmarkStart w:id="74" w:name="_Toc330191361"/>
      <w:bookmarkStart w:id="75" w:name="_Toc330281974"/>
      <w:r w:rsidRPr="0004130F">
        <w:lastRenderedPageBreak/>
        <w:t>Introduction</w:t>
      </w:r>
      <w:bookmarkEnd w:id="61"/>
      <w:bookmarkEnd w:id="62"/>
      <w:bookmarkEnd w:id="63"/>
      <w:bookmarkEnd w:id="64"/>
      <w:bookmarkEnd w:id="65"/>
      <w:bookmarkEnd w:id="66"/>
    </w:p>
    <w:p w14:paraId="071DA4DC" w14:textId="77777777" w:rsidR="00A937E5" w:rsidRPr="00CB4912" w:rsidRDefault="00A937E5" w:rsidP="002B6DF5">
      <w:pPr>
        <w:spacing w:after="100" w:afterAutospacing="1"/>
        <w:rPr>
          <w:color w:val="000000" w:themeColor="text1"/>
        </w:rPr>
      </w:pPr>
      <w:r w:rsidRPr="00773FDE">
        <w:rPr>
          <w:color w:val="000000" w:themeColor="text1"/>
        </w:rPr>
        <w:t xml:space="preserve">Coastal </w:t>
      </w:r>
      <w:r w:rsidR="00C04305">
        <w:rPr>
          <w:color w:val="000000" w:themeColor="text1"/>
        </w:rPr>
        <w:t>environments</w:t>
      </w:r>
      <w:r w:rsidRPr="00773FDE">
        <w:rPr>
          <w:color w:val="000000" w:themeColor="text1"/>
        </w:rPr>
        <w:t xml:space="preserve"> are under increasing pressure from human population growth, intensifying land use and urban and industrial development</w:t>
      </w:r>
      <w:r w:rsidR="00720C7E">
        <w:rPr>
          <w:color w:val="000000" w:themeColor="text1"/>
        </w:rPr>
        <w:t xml:space="preserve"> (Halpern </w:t>
      </w:r>
      <w:r w:rsidR="00720C7E" w:rsidRPr="00FA06C2">
        <w:rPr>
          <w:i/>
          <w:color w:val="000000" w:themeColor="text1"/>
        </w:rPr>
        <w:t>et al.</w:t>
      </w:r>
      <w:r w:rsidR="00720C7E">
        <w:rPr>
          <w:color w:val="000000" w:themeColor="text1"/>
        </w:rPr>
        <w:t xml:space="preserve"> 2015)</w:t>
      </w:r>
      <w:r w:rsidRPr="00773FDE">
        <w:rPr>
          <w:color w:val="000000" w:themeColor="text1"/>
        </w:rPr>
        <w:t xml:space="preserve">. </w:t>
      </w:r>
      <w:r>
        <w:rPr>
          <w:color w:val="000000" w:themeColor="text1"/>
        </w:rPr>
        <w:t>I</w:t>
      </w:r>
      <w:r w:rsidRPr="00773FDE">
        <w:rPr>
          <w:color w:val="000000" w:themeColor="text1"/>
        </w:rPr>
        <w:t xml:space="preserve">ncreased loads of </w:t>
      </w:r>
      <w:r w:rsidRPr="00773FDE">
        <w:rPr>
          <w:rFonts w:cs="Arial"/>
          <w:color w:val="000000" w:themeColor="text1"/>
        </w:rPr>
        <w:t>suspended sediment, nutrients and pollutants,</w:t>
      </w:r>
      <w:r w:rsidRPr="00773FDE">
        <w:rPr>
          <w:color w:val="000000" w:themeColor="text1"/>
        </w:rPr>
        <w:t xml:space="preserve"> such as pesticides and other chemicals, invariably enter coastal waters and lead to a decline in estuarine and coastal marine water quality</w:t>
      </w:r>
      <w:r>
        <w:rPr>
          <w:color w:val="000000" w:themeColor="text1"/>
        </w:rPr>
        <w:t xml:space="preserve"> </w:t>
      </w:r>
      <w:r w:rsidR="00463651">
        <w:rPr>
          <w:color w:val="000000" w:themeColor="text1"/>
        </w:rPr>
        <w:t>and the</w:t>
      </w:r>
      <w:r>
        <w:rPr>
          <w:color w:val="000000" w:themeColor="text1"/>
        </w:rPr>
        <w:t xml:space="preserve"> ecosystems therein</w:t>
      </w:r>
      <w:r w:rsidRPr="00773FDE">
        <w:rPr>
          <w:color w:val="000000" w:themeColor="text1"/>
        </w:rPr>
        <w:t xml:space="preserve">. </w:t>
      </w:r>
    </w:p>
    <w:p w14:paraId="174A4F36" w14:textId="77777777" w:rsidR="00A937E5" w:rsidRDefault="00A937E5" w:rsidP="002B6DF5">
      <w:pPr>
        <w:spacing w:after="240"/>
        <w:rPr>
          <w:color w:val="000000" w:themeColor="text1"/>
        </w:rPr>
      </w:pPr>
      <w:r w:rsidRPr="00773FDE">
        <w:rPr>
          <w:color w:val="000000" w:themeColor="text1"/>
        </w:rPr>
        <w:t xml:space="preserve">It is well documented that sediment and nutrient loads carried by land runoff into the coastal and inshore zones of the Great Barrier Reef </w:t>
      </w:r>
      <w:r w:rsidRPr="00773FDE">
        <w:rPr>
          <w:rFonts w:eastAsia="MS Mincho"/>
          <w:color w:val="000000" w:themeColor="text1"/>
          <w:lang w:eastAsia="ja-JP"/>
        </w:rPr>
        <w:t>(</w:t>
      </w:r>
      <w:r w:rsidRPr="00773FDE">
        <w:rPr>
          <w:color w:val="000000" w:themeColor="text1"/>
        </w:rPr>
        <w:t>Reef)</w:t>
      </w:r>
      <w:r w:rsidRPr="00773FDE">
        <w:rPr>
          <w:rFonts w:eastAsia="MS Mincho"/>
          <w:color w:val="000000" w:themeColor="text1"/>
          <w:lang w:eastAsia="ja-JP"/>
        </w:rPr>
        <w:t xml:space="preserve"> </w:t>
      </w:r>
      <w:r w:rsidRPr="00773FDE">
        <w:rPr>
          <w:color w:val="000000" w:themeColor="text1"/>
        </w:rPr>
        <w:t xml:space="preserve">have increased since European settlement (e.g., Kroon </w:t>
      </w:r>
      <w:r w:rsidRPr="00773FDE">
        <w:rPr>
          <w:i/>
          <w:color w:val="000000" w:themeColor="text1"/>
        </w:rPr>
        <w:t>et al</w:t>
      </w:r>
      <w:r w:rsidR="00522D23">
        <w:rPr>
          <w:color w:val="000000" w:themeColor="text1"/>
        </w:rPr>
        <w:t>. 2012,</w:t>
      </w:r>
      <w:r w:rsidRPr="00773FDE">
        <w:rPr>
          <w:color w:val="000000" w:themeColor="text1"/>
        </w:rPr>
        <w:t xml:space="preserve"> Waters </w:t>
      </w:r>
      <w:r w:rsidRPr="00773FDE">
        <w:rPr>
          <w:i/>
          <w:color w:val="000000" w:themeColor="text1"/>
        </w:rPr>
        <w:t>et al.</w:t>
      </w:r>
      <w:r w:rsidRPr="00773FDE">
        <w:rPr>
          <w:color w:val="000000" w:themeColor="text1"/>
        </w:rPr>
        <w:t xml:space="preserve"> 2014). Concern about the negative effects </w:t>
      </w:r>
      <w:r>
        <w:rPr>
          <w:color w:val="000000" w:themeColor="text1"/>
        </w:rPr>
        <w:t>that these increases were having on the Great Barrier Reef ecosystem</w:t>
      </w:r>
      <w:r w:rsidRPr="00773FDE">
        <w:rPr>
          <w:color w:val="000000" w:themeColor="text1"/>
        </w:rPr>
        <w:t xml:space="preserve"> triggered the formulation of the Reef Water Quality Protection Plan (Reef Plan) for catchments adjacent to the GBR World Heritage Area by the Australian and Queensl</w:t>
      </w:r>
      <w:r w:rsidR="00522D23">
        <w:rPr>
          <w:color w:val="000000" w:themeColor="text1"/>
        </w:rPr>
        <w:t>and governments (Anon. 2003,</w:t>
      </w:r>
      <w:r w:rsidRPr="00773FDE">
        <w:rPr>
          <w:color w:val="000000" w:themeColor="text1"/>
        </w:rPr>
        <w:t xml:space="preserve"> 2009). Reef Plan was revised and recently updated (Anon. 2013). The current Reef 2050 Plan actions and initiatives aim to improve land management practices </w:t>
      </w:r>
      <w:r>
        <w:rPr>
          <w:color w:val="000000" w:themeColor="text1"/>
        </w:rPr>
        <w:t xml:space="preserve">to achieve improvement in </w:t>
      </w:r>
      <w:r w:rsidRPr="00773FDE">
        <w:rPr>
          <w:color w:val="000000" w:themeColor="text1"/>
        </w:rPr>
        <w:t xml:space="preserve">the downstream water quality of creeks and rivers. These actions and initiatives should, with time, also lead to improved water quality in the coastal and inshore Reef </w:t>
      </w:r>
      <w:r>
        <w:rPr>
          <w:color w:val="000000" w:themeColor="text1"/>
        </w:rPr>
        <w:t xml:space="preserve">that in turn support the ongoing health and resilience of Great Barrier Reef </w:t>
      </w:r>
      <w:r w:rsidRPr="00773FDE">
        <w:rPr>
          <w:color w:val="000000" w:themeColor="text1"/>
        </w:rPr>
        <w:t xml:space="preserve">(see Brodie </w:t>
      </w:r>
      <w:r w:rsidRPr="00773FDE">
        <w:rPr>
          <w:i/>
          <w:color w:val="000000" w:themeColor="text1"/>
        </w:rPr>
        <w:t>et al.</w:t>
      </w:r>
      <w:r w:rsidRPr="00773FDE">
        <w:rPr>
          <w:color w:val="000000" w:themeColor="text1"/>
        </w:rPr>
        <w:t xml:space="preserve"> 2012</w:t>
      </w:r>
      <w:r w:rsidR="00A63E90">
        <w:rPr>
          <w:color w:val="000000" w:themeColor="text1"/>
        </w:rPr>
        <w:t>a</w:t>
      </w:r>
      <w:r w:rsidRPr="00773FDE">
        <w:rPr>
          <w:color w:val="000000" w:themeColor="text1"/>
        </w:rPr>
        <w:t xml:space="preserve"> for a discussion of expected time lags in the ecosystem response). </w:t>
      </w:r>
    </w:p>
    <w:p w14:paraId="18CD8271" w14:textId="77777777" w:rsidR="00A937E5" w:rsidRPr="00CB4912" w:rsidRDefault="00A937E5" w:rsidP="002B6DF5">
      <w:pPr>
        <w:spacing w:after="100" w:afterAutospacing="1"/>
      </w:pPr>
      <w:r>
        <w:t xml:space="preserve">Reef Plan can be considered in a </w:t>
      </w:r>
      <w:r w:rsidRPr="00B1306B">
        <w:rPr>
          <w:i/>
        </w:rPr>
        <w:t>Drivers-Pressures-States-Impacts-Responses</w:t>
      </w:r>
      <w:r>
        <w:t xml:space="preserve"> (DPSIR) framework (Maxim </w:t>
      </w:r>
      <w:r w:rsidRPr="00F50109">
        <w:rPr>
          <w:i/>
        </w:rPr>
        <w:t>et al.</w:t>
      </w:r>
      <w:r>
        <w:t xml:space="preserve"> 2009, Rehr </w:t>
      </w:r>
      <w:r w:rsidRPr="00F50109">
        <w:rPr>
          <w:i/>
        </w:rPr>
        <w:t xml:space="preserve">et </w:t>
      </w:r>
      <w:r>
        <w:rPr>
          <w:i/>
        </w:rPr>
        <w:t>a</w:t>
      </w:r>
      <w:r w:rsidRPr="00F50109">
        <w:rPr>
          <w:i/>
        </w:rPr>
        <w:t>l.</w:t>
      </w:r>
      <w:r>
        <w:t xml:space="preserve"> 2012). Socio-economic factors are the </w:t>
      </w:r>
      <w:r w:rsidRPr="00B1306B">
        <w:rPr>
          <w:i/>
        </w:rPr>
        <w:t>drivers</w:t>
      </w:r>
      <w:r>
        <w:t xml:space="preserve"> of human activ</w:t>
      </w:r>
      <w:r w:rsidR="00463651">
        <w:t>ities</w:t>
      </w:r>
      <w:r>
        <w:t xml:space="preserve"> from local, within catchment, scale through to the global scale. Human activities result in both locally derived </w:t>
      </w:r>
      <w:r w:rsidRPr="00B1306B">
        <w:rPr>
          <w:i/>
        </w:rPr>
        <w:t>pressures</w:t>
      </w:r>
      <w:r>
        <w:t xml:space="preserve"> on downstream ecosystems such as increased exposure to sediments, nutrients and toxicants that interact with global </w:t>
      </w:r>
      <w:r w:rsidRPr="00B1306B">
        <w:rPr>
          <w:i/>
        </w:rPr>
        <w:t>pressures</w:t>
      </w:r>
      <w:r>
        <w:t xml:space="preserve"> such as climate change. These </w:t>
      </w:r>
      <w:r w:rsidRPr="00B1306B">
        <w:rPr>
          <w:i/>
        </w:rPr>
        <w:t>pressures</w:t>
      </w:r>
      <w:r>
        <w:t xml:space="preserve"> change the </w:t>
      </w:r>
      <w:r w:rsidRPr="00B1306B">
        <w:rPr>
          <w:i/>
        </w:rPr>
        <w:t>state</w:t>
      </w:r>
      <w:r>
        <w:t xml:space="preserve"> of the Great Barrier Reef ecosystems. This </w:t>
      </w:r>
      <w:r w:rsidRPr="00B1306B">
        <w:rPr>
          <w:i/>
        </w:rPr>
        <w:t>state</w:t>
      </w:r>
      <w:r>
        <w:t xml:space="preserve"> can then be interpreted in terms of </w:t>
      </w:r>
      <w:r w:rsidRPr="00B1306B">
        <w:rPr>
          <w:i/>
        </w:rPr>
        <w:t>impact</w:t>
      </w:r>
      <w:r>
        <w:t xml:space="preserve"> on desirable ecosystem functioning or services that in turn can be used to inform decisions as to the need for </w:t>
      </w:r>
      <w:r w:rsidRPr="00B1306B">
        <w:rPr>
          <w:i/>
        </w:rPr>
        <w:t>response</w:t>
      </w:r>
      <w:r>
        <w:t xml:space="preserve"> such as policy or regulatory actions to alleviate that </w:t>
      </w:r>
      <w:r w:rsidRPr="00B1306B">
        <w:rPr>
          <w:i/>
        </w:rPr>
        <w:t>impact</w:t>
      </w:r>
      <w:r>
        <w:t>.</w:t>
      </w:r>
    </w:p>
    <w:p w14:paraId="1F11E8E4" w14:textId="77777777" w:rsidR="00A937E5" w:rsidRDefault="00A937E5" w:rsidP="002B6DF5">
      <w:pPr>
        <w:spacing w:after="240"/>
        <w:rPr>
          <w:color w:val="000000" w:themeColor="text1"/>
          <w:lang w:val="en-US"/>
        </w:rPr>
      </w:pPr>
      <w:r>
        <w:rPr>
          <w:color w:val="000000" w:themeColor="text1"/>
        </w:rPr>
        <w:t xml:space="preserve">To allow the full application of a DPSIR framework requires the monitoring of both </w:t>
      </w:r>
      <w:r w:rsidRPr="0045547E">
        <w:rPr>
          <w:i/>
          <w:color w:val="000000" w:themeColor="text1"/>
        </w:rPr>
        <w:t xml:space="preserve">pressures </w:t>
      </w:r>
      <w:r>
        <w:rPr>
          <w:color w:val="000000" w:themeColor="text1"/>
        </w:rPr>
        <w:t xml:space="preserve">and </w:t>
      </w:r>
      <w:r w:rsidRPr="0045547E">
        <w:rPr>
          <w:i/>
          <w:color w:val="000000" w:themeColor="text1"/>
        </w:rPr>
        <w:t>states</w:t>
      </w:r>
      <w:r>
        <w:rPr>
          <w:color w:val="000000" w:themeColor="text1"/>
        </w:rPr>
        <w:t xml:space="preserve"> that should be reported where possible in terms of </w:t>
      </w:r>
      <w:r w:rsidRPr="0045547E">
        <w:rPr>
          <w:i/>
          <w:color w:val="000000" w:themeColor="text1"/>
        </w:rPr>
        <w:t>impacts</w:t>
      </w:r>
      <w:r>
        <w:rPr>
          <w:color w:val="000000" w:themeColor="text1"/>
        </w:rPr>
        <w:t xml:space="preserve"> so that appropriate management </w:t>
      </w:r>
      <w:r w:rsidRPr="0045547E">
        <w:rPr>
          <w:i/>
          <w:color w:val="000000" w:themeColor="text1"/>
        </w:rPr>
        <w:t>responses</w:t>
      </w:r>
      <w:r>
        <w:rPr>
          <w:color w:val="000000" w:themeColor="text1"/>
        </w:rPr>
        <w:t xml:space="preserve"> can be devised, or conversely, the outcomes of existing m</w:t>
      </w:r>
      <w:r w:rsidR="00714423">
        <w:rPr>
          <w:color w:val="000000" w:themeColor="text1"/>
        </w:rPr>
        <w:t xml:space="preserve">anagement strategies assessed. </w:t>
      </w:r>
      <w:r w:rsidRPr="00773FDE">
        <w:rPr>
          <w:color w:val="000000" w:themeColor="text1"/>
        </w:rPr>
        <w:t>Reef Plan actions include</w:t>
      </w:r>
      <w:r>
        <w:rPr>
          <w:color w:val="000000" w:themeColor="text1"/>
        </w:rPr>
        <w:t>d</w:t>
      </w:r>
      <w:r w:rsidRPr="00773FDE">
        <w:rPr>
          <w:color w:val="000000" w:themeColor="text1"/>
        </w:rPr>
        <w:t xml:space="preserve"> the establishment of monitoring programs extending from the paddock to the Reef (Anon. 2010), to assess the effectiveness of Reef Plan's implementation. The MMP is an integral part of this monitoring providing </w:t>
      </w:r>
      <w:r w:rsidRPr="00773FDE">
        <w:rPr>
          <w:color w:val="000000" w:themeColor="text1"/>
          <w:lang w:val="en-US"/>
        </w:rPr>
        <w:t xml:space="preserve">physicochemical and biological data to </w:t>
      </w:r>
      <w:r>
        <w:rPr>
          <w:color w:val="000000" w:themeColor="text1"/>
          <w:lang w:val="en-US"/>
        </w:rPr>
        <w:t>document th</w:t>
      </w:r>
      <w:r w:rsidR="00463651">
        <w:rPr>
          <w:color w:val="000000" w:themeColor="text1"/>
          <w:lang w:val="en-US"/>
        </w:rPr>
        <w:t>e</w:t>
      </w:r>
      <w:r>
        <w:rPr>
          <w:color w:val="000000" w:themeColor="text1"/>
          <w:lang w:val="en-US"/>
        </w:rPr>
        <w:t xml:space="preserve"> state of water quality, concentrations of pesticides, coral reefs and seagrass beds in inshore areas of the Reef. The MMP additionally collates observations of extrinsic pressures such as sea temperature variability, occurrence of tropical cyclones, river discharge volumes and predator populations that must be variously considered in any assessment of water quality or ecosystem state.</w:t>
      </w:r>
      <w:r w:rsidR="00570B67">
        <w:rPr>
          <w:color w:val="000000" w:themeColor="text1"/>
          <w:lang w:val="en-US"/>
        </w:rPr>
        <w:t xml:space="preserve"> Ultimately the state </w:t>
      </w:r>
      <w:r w:rsidR="00BD5271">
        <w:rPr>
          <w:color w:val="000000" w:themeColor="text1"/>
          <w:lang w:val="en-US"/>
        </w:rPr>
        <w:t xml:space="preserve">of </w:t>
      </w:r>
      <w:r w:rsidR="00570B67">
        <w:rPr>
          <w:color w:val="000000" w:themeColor="text1"/>
          <w:lang w:val="en-US"/>
        </w:rPr>
        <w:t xml:space="preserve">marine waters and the ecosystems of the Reef will provide both a basis for assessing the success of Reef Plan and the </w:t>
      </w:r>
      <w:r w:rsidR="008D2A85">
        <w:rPr>
          <w:color w:val="000000" w:themeColor="text1"/>
          <w:lang w:val="en-US"/>
        </w:rPr>
        <w:t>necessity for future management strategies</w:t>
      </w:r>
      <w:r w:rsidR="00570B67">
        <w:rPr>
          <w:color w:val="000000" w:themeColor="text1"/>
          <w:lang w:val="en-US"/>
        </w:rPr>
        <w:t>.</w:t>
      </w:r>
    </w:p>
    <w:p w14:paraId="0D204361" w14:textId="77777777" w:rsidR="00A937E5" w:rsidRPr="00714423" w:rsidRDefault="00A937E5" w:rsidP="00121FC3">
      <w:pPr>
        <w:spacing w:after="240"/>
      </w:pPr>
      <w:r>
        <w:rPr>
          <w:color w:val="000000" w:themeColor="text1"/>
          <w:lang w:val="en-US"/>
        </w:rPr>
        <w:t xml:space="preserve">The coral reef component of the MMP is based on the general understanding that healthy and resilient coral communities exist in a dynamic equilibrium with communities in a cycle of recovery punctuated by acute disturbance events. </w:t>
      </w:r>
      <w:r w:rsidR="00121FC3" w:rsidRPr="00773FDE">
        <w:rPr>
          <w:color w:val="000000" w:themeColor="text1"/>
        </w:rPr>
        <w:t xml:space="preserve">Common disturbances to inshore reefs include cyclones (often associated with flooding), thermal bleaching, and outbreaks of crown-of-thorns </w:t>
      </w:r>
      <w:r w:rsidR="009109BA">
        <w:rPr>
          <w:color w:val="000000" w:themeColor="text1"/>
        </w:rPr>
        <w:t>seastars</w:t>
      </w:r>
      <w:r w:rsidR="00E15C32">
        <w:rPr>
          <w:color w:val="000000" w:themeColor="text1"/>
        </w:rPr>
        <w:t xml:space="preserve"> (COTS)</w:t>
      </w:r>
      <w:r w:rsidR="00121FC3" w:rsidRPr="00773FDE">
        <w:rPr>
          <w:color w:val="000000" w:themeColor="text1"/>
        </w:rPr>
        <w:t xml:space="preserve">, all of which can result in widespread mortality of corals (e.g. Sweatman </w:t>
      </w:r>
      <w:r w:rsidR="00121FC3" w:rsidRPr="00773FDE">
        <w:rPr>
          <w:i/>
          <w:color w:val="000000" w:themeColor="text1"/>
        </w:rPr>
        <w:t>et al.</w:t>
      </w:r>
      <w:r w:rsidR="00121FC3" w:rsidRPr="00773FDE">
        <w:rPr>
          <w:color w:val="000000" w:themeColor="text1"/>
        </w:rPr>
        <w:t xml:space="preserve"> 2007, </w:t>
      </w:r>
      <w:r w:rsidR="00121FC3" w:rsidRPr="00543F1C">
        <w:rPr>
          <w:color w:val="000000" w:themeColor="text1"/>
        </w:rPr>
        <w:t xml:space="preserve">Osborne </w:t>
      </w:r>
      <w:r w:rsidR="00121FC3" w:rsidRPr="00543F1C">
        <w:rPr>
          <w:i/>
          <w:color w:val="000000" w:themeColor="text1"/>
        </w:rPr>
        <w:t>et al.</w:t>
      </w:r>
      <w:r w:rsidR="00121FC3" w:rsidRPr="00543F1C">
        <w:rPr>
          <w:color w:val="000000" w:themeColor="text1"/>
        </w:rPr>
        <w:t xml:space="preserve"> 2011)</w:t>
      </w:r>
      <w:r w:rsidR="00121FC3">
        <w:rPr>
          <w:color w:val="000000" w:themeColor="text1"/>
        </w:rPr>
        <w:t xml:space="preserve"> on the Reef</w:t>
      </w:r>
      <w:r w:rsidR="00121FC3" w:rsidRPr="00543F1C">
        <w:rPr>
          <w:color w:val="000000" w:themeColor="text1"/>
        </w:rPr>
        <w:t>.</w:t>
      </w:r>
      <w:r w:rsidR="00121FC3">
        <w:rPr>
          <w:color w:val="000000" w:themeColor="text1"/>
        </w:rPr>
        <w:t xml:space="preserve"> </w:t>
      </w:r>
      <w:r>
        <w:rPr>
          <w:color w:val="000000" w:themeColor="text1"/>
          <w:lang w:val="en-US"/>
        </w:rPr>
        <w:t xml:space="preserve">The potential impact of pollutants carried into the system as runoff is </w:t>
      </w:r>
      <w:r w:rsidR="00121FC3">
        <w:rPr>
          <w:color w:val="000000" w:themeColor="text1"/>
          <w:lang w:val="en-US"/>
        </w:rPr>
        <w:t>both an increase in the susceptibility of corals to these disturbances</w:t>
      </w:r>
      <w:r w:rsidR="004304DE">
        <w:rPr>
          <w:color w:val="000000" w:themeColor="text1"/>
          <w:lang w:val="en-US"/>
        </w:rPr>
        <w:t>;</w:t>
      </w:r>
      <w:r w:rsidR="00A77C75">
        <w:rPr>
          <w:color w:val="000000" w:themeColor="text1"/>
          <w:lang w:val="en-US"/>
        </w:rPr>
        <w:t xml:space="preserve"> </w:t>
      </w:r>
      <w:r w:rsidR="00E15C32">
        <w:rPr>
          <w:color w:val="000000" w:themeColor="text1"/>
          <w:lang w:val="en-US"/>
        </w:rPr>
        <w:t>nutrient availability may promote outbreaks of COTS (Wooldridge &amp; Brodie 2015) and increase susceptibility to thermal stress (</w:t>
      </w:r>
      <w:r w:rsidR="00EC540D">
        <w:rPr>
          <w:color w:val="000000" w:themeColor="text1"/>
          <w:lang w:val="en-US"/>
        </w:rPr>
        <w:t xml:space="preserve">Wooldridge &amp; Done 2004, Wiedenmann </w:t>
      </w:r>
      <w:r w:rsidR="00EC540D" w:rsidRPr="00FA06C2">
        <w:rPr>
          <w:i/>
          <w:color w:val="000000" w:themeColor="text1"/>
          <w:lang w:val="en-US"/>
        </w:rPr>
        <w:t>et al.</w:t>
      </w:r>
      <w:r w:rsidR="00EC540D">
        <w:rPr>
          <w:color w:val="000000" w:themeColor="text1"/>
          <w:lang w:val="en-US"/>
        </w:rPr>
        <w:t xml:space="preserve"> 2013</w:t>
      </w:r>
      <w:r w:rsidR="00E15C32">
        <w:rPr>
          <w:color w:val="000000" w:themeColor="text1"/>
          <w:lang w:val="en-US"/>
        </w:rPr>
        <w:t xml:space="preserve">), </w:t>
      </w:r>
      <w:r>
        <w:rPr>
          <w:color w:val="000000" w:themeColor="text1"/>
          <w:lang w:val="en-US"/>
        </w:rPr>
        <w:t xml:space="preserve">and/or </w:t>
      </w:r>
      <w:r w:rsidR="00EC540D">
        <w:rPr>
          <w:color w:val="000000" w:themeColor="text1"/>
          <w:lang w:val="en-US"/>
        </w:rPr>
        <w:t xml:space="preserve">the </w:t>
      </w:r>
      <w:r w:rsidR="00121FC3">
        <w:rPr>
          <w:color w:val="000000" w:themeColor="text1"/>
          <w:lang w:val="en-US"/>
        </w:rPr>
        <w:t xml:space="preserve">suppression of the recovery process (Schaffelke </w:t>
      </w:r>
      <w:r w:rsidR="00121FC3" w:rsidRPr="00FA06C2">
        <w:rPr>
          <w:i/>
          <w:color w:val="000000" w:themeColor="text1"/>
          <w:lang w:val="en-US"/>
        </w:rPr>
        <w:t>et al.</w:t>
      </w:r>
      <w:r w:rsidR="00121FC3">
        <w:rPr>
          <w:color w:val="000000" w:themeColor="text1"/>
          <w:lang w:val="en-US"/>
        </w:rPr>
        <w:t xml:space="preserve"> 2013)</w:t>
      </w:r>
      <w:r w:rsidR="00EC540D">
        <w:rPr>
          <w:color w:val="000000" w:themeColor="text1"/>
          <w:lang w:val="en-US"/>
        </w:rPr>
        <w:t>.</w:t>
      </w:r>
      <w:r w:rsidR="00121FC3">
        <w:rPr>
          <w:color w:val="000000" w:themeColor="text1"/>
          <w:lang w:val="en-US"/>
        </w:rPr>
        <w:t xml:space="preserve"> </w:t>
      </w:r>
      <w:r w:rsidRPr="00714423">
        <w:t xml:space="preserve">The replacement of corals lost to disturbance is reliant on both the recruitment of new colonies and regeneration of existing colonies from remaining </w:t>
      </w:r>
      <w:r w:rsidRPr="00714423">
        <w:lastRenderedPageBreak/>
        <w:t xml:space="preserve">tissue fragments (Smith 2008, Diaz-Pulido </w:t>
      </w:r>
      <w:r w:rsidRPr="0054101D">
        <w:rPr>
          <w:i/>
        </w:rPr>
        <w:t>et al.</w:t>
      </w:r>
      <w:r w:rsidRPr="00714423">
        <w:t xml:space="preserve"> 2009).</w:t>
      </w:r>
      <w:r w:rsidR="00714423" w:rsidRPr="00714423">
        <w:t xml:space="preserve"> </w:t>
      </w:r>
      <w:r w:rsidRPr="00714423">
        <w:t>Elevated concentrations of nutrients, agr</w:t>
      </w:r>
      <w:r w:rsidR="00A77C75">
        <w:t>o</w:t>
      </w:r>
      <w:r w:rsidRPr="00714423">
        <w:t xml:space="preserve">chemicals, and turbidity can negatively affect reproduction in corals (reviewed by Fabricius 2005, van Dam </w:t>
      </w:r>
      <w:r w:rsidRPr="0054101D">
        <w:rPr>
          <w:i/>
        </w:rPr>
        <w:t>et al.</w:t>
      </w:r>
      <w:r w:rsidRPr="00714423">
        <w:t xml:space="preserve"> 2011 Erftemeijer </w:t>
      </w:r>
      <w:r w:rsidRPr="0054101D">
        <w:rPr>
          <w:i/>
        </w:rPr>
        <w:t>et al.</w:t>
      </w:r>
      <w:r w:rsidRPr="00714423">
        <w:t xml:space="preserve"> 2012). High rates of sediment deposition and accumulation on surfaces can affect larval settlement (Babcock </w:t>
      </w:r>
      <w:r w:rsidR="005A065B" w:rsidRPr="00714423">
        <w:t>&amp;</w:t>
      </w:r>
      <w:r w:rsidRPr="00714423">
        <w:t xml:space="preserve"> Smith 2002, Baird </w:t>
      </w:r>
      <w:r w:rsidRPr="0054101D">
        <w:rPr>
          <w:i/>
        </w:rPr>
        <w:t>et al.</w:t>
      </w:r>
      <w:r w:rsidRPr="00714423">
        <w:t xml:space="preserve"> 2003, </w:t>
      </w:r>
      <w:proofErr w:type="gramStart"/>
      <w:r w:rsidRPr="00714423">
        <w:t>Fabricius</w:t>
      </w:r>
      <w:proofErr w:type="gramEnd"/>
      <w:r w:rsidRPr="00714423">
        <w:t xml:space="preserve"> </w:t>
      </w:r>
      <w:r w:rsidRPr="0054101D">
        <w:rPr>
          <w:i/>
        </w:rPr>
        <w:t>et al.</w:t>
      </w:r>
      <w:r w:rsidRPr="00714423">
        <w:t xml:space="preserve"> 2003) and smother juvenile corals (Harrison </w:t>
      </w:r>
      <w:r w:rsidR="005A065B" w:rsidRPr="00714423">
        <w:t>&amp;</w:t>
      </w:r>
      <w:r w:rsidRPr="00714423">
        <w:t xml:space="preserve"> Wallace 1990, Rogers 1990, Fabricius </w:t>
      </w:r>
      <w:r w:rsidR="005A065B" w:rsidRPr="00714423">
        <w:t>&amp;</w:t>
      </w:r>
      <w:r w:rsidRPr="00714423">
        <w:t xml:space="preserve"> Wolanski 2000). In addition, macroalgae have higher abundance in areas with high water column chlorophyll concentrations, indicating higher nutrient availability (De’ath </w:t>
      </w:r>
      <w:r w:rsidR="005A065B" w:rsidRPr="00714423">
        <w:t>&amp;</w:t>
      </w:r>
      <w:r w:rsidRPr="00714423">
        <w:t xml:space="preserve"> Fabricius 2010). High macroalgal abundance may suppress reef resilience (e.g. Hughes </w:t>
      </w:r>
      <w:r w:rsidRPr="0054101D">
        <w:rPr>
          <w:i/>
        </w:rPr>
        <w:t>et al.</w:t>
      </w:r>
      <w:r w:rsidRPr="00714423">
        <w:t xml:space="preserve"> 2007, Cheal </w:t>
      </w:r>
      <w:r w:rsidRPr="0054101D">
        <w:rPr>
          <w:i/>
        </w:rPr>
        <w:t>et al.</w:t>
      </w:r>
      <w:r w:rsidR="009F400E" w:rsidRPr="00714423">
        <w:t xml:space="preserve"> 2010,</w:t>
      </w:r>
      <w:r w:rsidRPr="00714423">
        <w:t xml:space="preserve"> Foster </w:t>
      </w:r>
      <w:r w:rsidRPr="00477193">
        <w:rPr>
          <w:i/>
        </w:rPr>
        <w:t>et al.</w:t>
      </w:r>
      <w:r w:rsidR="009F400E" w:rsidRPr="00714423">
        <w:t xml:space="preserve"> 200</w:t>
      </w:r>
      <w:r w:rsidR="00477193">
        <w:t>8</w:t>
      </w:r>
      <w:r w:rsidR="009F400E" w:rsidRPr="00714423">
        <w:t>,</w:t>
      </w:r>
      <w:r w:rsidRPr="00714423">
        <w:t xml:space="preserve"> but see Bruno </w:t>
      </w:r>
      <w:r w:rsidRPr="0054101D">
        <w:rPr>
          <w:i/>
        </w:rPr>
        <w:t>et al.</w:t>
      </w:r>
      <w:r w:rsidRPr="00714423">
        <w:t xml:space="preserve"> 2009) by increased competition for space or changing the microenvironment into which corals settle and grow (e.g. McCook </w:t>
      </w:r>
      <w:r w:rsidRPr="0054101D">
        <w:rPr>
          <w:i/>
        </w:rPr>
        <w:t>et al.</w:t>
      </w:r>
      <w:r w:rsidR="00522D23" w:rsidRPr="00714423">
        <w:t xml:space="preserve"> 2001</w:t>
      </w:r>
      <w:r w:rsidRPr="00714423">
        <w:t xml:space="preserve">, Hauri </w:t>
      </w:r>
      <w:r w:rsidRPr="0054101D">
        <w:rPr>
          <w:i/>
        </w:rPr>
        <w:t>et al.</w:t>
      </w:r>
      <w:r w:rsidRPr="00714423">
        <w:t xml:space="preserve"> 2010). Macroalgae have been documented to suppress fecundity (Foster </w:t>
      </w:r>
      <w:r w:rsidRPr="00477193">
        <w:rPr>
          <w:i/>
        </w:rPr>
        <w:t>et al.</w:t>
      </w:r>
      <w:r w:rsidRPr="00714423">
        <w:t xml:space="preserve"> 2008), reduce recruitment of hard corals (Birrell </w:t>
      </w:r>
      <w:r w:rsidRPr="0054101D">
        <w:rPr>
          <w:i/>
        </w:rPr>
        <w:t>et al.</w:t>
      </w:r>
      <w:r w:rsidRPr="00714423">
        <w:t xml:space="preserve"> 2008b, Diaz-Pulido </w:t>
      </w:r>
      <w:r w:rsidRPr="0054101D">
        <w:rPr>
          <w:i/>
        </w:rPr>
        <w:t>et al.</w:t>
      </w:r>
      <w:r w:rsidRPr="00714423">
        <w:t xml:space="preserve"> 2010), diminish the capacity of growth among local coral communities (Fabricius 2005),and suppress coral recovery by altering microbial communities associated with corals (Morrow </w:t>
      </w:r>
      <w:r w:rsidRPr="0054101D">
        <w:rPr>
          <w:i/>
        </w:rPr>
        <w:t>et al</w:t>
      </w:r>
      <w:r w:rsidRPr="00714423">
        <w:t xml:space="preserve">. 2012, Vega Thurber </w:t>
      </w:r>
      <w:r w:rsidRPr="0054101D">
        <w:rPr>
          <w:i/>
        </w:rPr>
        <w:t>et al</w:t>
      </w:r>
      <w:r w:rsidR="00CB4912" w:rsidRPr="0054101D">
        <w:rPr>
          <w:i/>
        </w:rPr>
        <w:t>.</w:t>
      </w:r>
      <w:r w:rsidR="00CB4912" w:rsidRPr="00714423">
        <w:t xml:space="preserve"> 2012).</w:t>
      </w:r>
    </w:p>
    <w:p w14:paraId="29C59DD5" w14:textId="77777777" w:rsidR="00A937E5" w:rsidRDefault="00A937E5" w:rsidP="002B6DF5">
      <w:pPr>
        <w:spacing w:after="240"/>
        <w:rPr>
          <w:color w:val="000000" w:themeColor="text1"/>
        </w:rPr>
      </w:pPr>
      <w:r w:rsidRPr="000E4124">
        <w:rPr>
          <w:color w:val="000000" w:themeColor="text1"/>
        </w:rPr>
        <w:t>In addition to influences on the early life stages of corals,</w:t>
      </w:r>
      <w:r>
        <w:rPr>
          <w:color w:val="000000" w:themeColor="text1"/>
        </w:rPr>
        <w:t xml:space="preserve"> changes in water quality have been shown to increase incidence of coral disease: for example </w:t>
      </w:r>
      <w:r w:rsidRPr="00773FDE">
        <w:rPr>
          <w:rFonts w:cs="Arial"/>
          <w:color w:val="000000" w:themeColor="text1"/>
          <w:szCs w:val="22"/>
        </w:rPr>
        <w:t>increased organic carbon concentr</w:t>
      </w:r>
      <w:r>
        <w:rPr>
          <w:rFonts w:cs="Arial"/>
          <w:color w:val="000000" w:themeColor="text1"/>
          <w:szCs w:val="22"/>
        </w:rPr>
        <w:t>ations</w:t>
      </w:r>
      <w:r w:rsidRPr="00773FDE">
        <w:rPr>
          <w:rFonts w:cs="Arial"/>
          <w:color w:val="000000" w:themeColor="text1"/>
          <w:szCs w:val="22"/>
        </w:rPr>
        <w:t xml:space="preserve"> promote coral diseases and mortality (Kline </w:t>
      </w:r>
      <w:r w:rsidRPr="00773FDE">
        <w:rPr>
          <w:rFonts w:cs="Arial"/>
          <w:i/>
          <w:color w:val="000000" w:themeColor="text1"/>
          <w:szCs w:val="22"/>
        </w:rPr>
        <w:t>et al</w:t>
      </w:r>
      <w:r w:rsidRPr="00773FDE">
        <w:rPr>
          <w:rFonts w:cs="Arial"/>
          <w:color w:val="000000" w:themeColor="text1"/>
          <w:szCs w:val="22"/>
        </w:rPr>
        <w:t xml:space="preserve">. 2006, Kuntz </w:t>
      </w:r>
      <w:r w:rsidRPr="00773FDE">
        <w:rPr>
          <w:rFonts w:cs="Arial"/>
          <w:i/>
          <w:color w:val="000000" w:themeColor="text1"/>
          <w:szCs w:val="22"/>
        </w:rPr>
        <w:t>et al</w:t>
      </w:r>
      <w:r w:rsidRPr="00773FDE">
        <w:rPr>
          <w:rFonts w:cs="Arial"/>
          <w:color w:val="000000" w:themeColor="text1"/>
          <w:szCs w:val="22"/>
        </w:rPr>
        <w:t>. 2005).</w:t>
      </w:r>
      <w:r>
        <w:rPr>
          <w:rFonts w:cs="Arial"/>
          <w:color w:val="000000" w:themeColor="text1"/>
          <w:szCs w:val="22"/>
        </w:rPr>
        <w:t xml:space="preserve"> The selective pressure of water quality on coral communities is clearly evident in changes in community composition </w:t>
      </w:r>
      <w:r w:rsidRPr="000E4124">
        <w:rPr>
          <w:color w:val="000000" w:themeColor="text1"/>
        </w:rPr>
        <w:t>along environmental gradients</w:t>
      </w:r>
      <w:r>
        <w:rPr>
          <w:color w:val="000000" w:themeColor="text1"/>
        </w:rPr>
        <w:t xml:space="preserve"> </w:t>
      </w:r>
      <w:r w:rsidRPr="00773FDE">
        <w:rPr>
          <w:color w:val="000000" w:themeColor="text1"/>
        </w:rPr>
        <w:t xml:space="preserve">(De’ath </w:t>
      </w:r>
      <w:r w:rsidR="005A065B">
        <w:rPr>
          <w:color w:val="000000" w:themeColor="text1"/>
        </w:rPr>
        <w:t>&amp;</w:t>
      </w:r>
      <w:r w:rsidRPr="00773FDE">
        <w:rPr>
          <w:color w:val="000000" w:themeColor="text1"/>
        </w:rPr>
        <w:t xml:space="preserve"> Fabricius 2010, Thompson </w:t>
      </w:r>
      <w:r w:rsidRPr="00773FDE">
        <w:rPr>
          <w:i/>
          <w:color w:val="000000" w:themeColor="text1"/>
        </w:rPr>
        <w:t>et al.</w:t>
      </w:r>
      <w:r w:rsidRPr="00773FDE">
        <w:rPr>
          <w:color w:val="000000" w:themeColor="text1"/>
        </w:rPr>
        <w:t xml:space="preserve"> 2010</w:t>
      </w:r>
      <w:r w:rsidR="007F7841">
        <w:rPr>
          <w:color w:val="000000" w:themeColor="text1"/>
        </w:rPr>
        <w:t>a</w:t>
      </w:r>
      <w:r w:rsidRPr="00773FDE">
        <w:rPr>
          <w:color w:val="000000" w:themeColor="text1"/>
        </w:rPr>
        <w:t xml:space="preserve">, Uthicke </w:t>
      </w:r>
      <w:r w:rsidRPr="00773FDE">
        <w:rPr>
          <w:i/>
          <w:color w:val="000000" w:themeColor="text1"/>
        </w:rPr>
        <w:t>et al.</w:t>
      </w:r>
      <w:r w:rsidRPr="00773FDE">
        <w:rPr>
          <w:color w:val="000000" w:themeColor="text1"/>
        </w:rPr>
        <w:t xml:space="preserve"> 2010, </w:t>
      </w:r>
      <w:proofErr w:type="gramStart"/>
      <w:r w:rsidRPr="00773FDE">
        <w:rPr>
          <w:color w:val="000000" w:themeColor="text1"/>
        </w:rPr>
        <w:t>Fabricius</w:t>
      </w:r>
      <w:proofErr w:type="gramEnd"/>
      <w:r w:rsidRPr="00773FDE">
        <w:rPr>
          <w:color w:val="000000" w:themeColor="text1"/>
        </w:rPr>
        <w:t xml:space="preserve"> </w:t>
      </w:r>
      <w:r w:rsidRPr="00773FDE">
        <w:rPr>
          <w:i/>
          <w:color w:val="000000" w:themeColor="text1"/>
        </w:rPr>
        <w:t>et al</w:t>
      </w:r>
      <w:r w:rsidRPr="00773FDE">
        <w:rPr>
          <w:color w:val="000000" w:themeColor="text1"/>
        </w:rPr>
        <w:t>. 2012)</w:t>
      </w:r>
      <w:r w:rsidRPr="000E4124">
        <w:rPr>
          <w:color w:val="000000" w:themeColor="text1"/>
        </w:rPr>
        <w:t xml:space="preserve">. Corals derive energy in two ways, by feeding on ingested particles and plankton organisms and from the photosynthesis of their symbiotic algae (zooxanthellae). The ability to compensate by feeding where there is a reduction in energy derived from photosynthesis, e.g. as a result of light attenuation in turbid waters, varies between species (Anthony 1999, Anthony </w:t>
      </w:r>
      <w:r w:rsidR="005A065B">
        <w:rPr>
          <w:color w:val="000000" w:themeColor="text1"/>
        </w:rPr>
        <w:t>&amp;</w:t>
      </w:r>
      <w:r w:rsidRPr="000E4124">
        <w:rPr>
          <w:color w:val="000000" w:themeColor="text1"/>
        </w:rPr>
        <w:t xml:space="preserve"> Fabricius 2000). Similarly, the energy required to shed sediments varies between species due to differences in the efficiencies of passive (largely depending on growth form) or active (such as mucus production) strategies for sediment removal (Rogers 1990, Stafford-Smith </w:t>
      </w:r>
      <w:r w:rsidR="005A065B">
        <w:rPr>
          <w:color w:val="000000" w:themeColor="text1"/>
        </w:rPr>
        <w:t>&amp;</w:t>
      </w:r>
      <w:r w:rsidRPr="000E4124">
        <w:rPr>
          <w:color w:val="000000" w:themeColor="text1"/>
        </w:rPr>
        <w:t xml:space="preserve"> Ormond 1992). At the same time, high nutrient levels may favour particle feeders such as sponges and heterotrophic soft corals which are potential space competitors of hard corals. The result is that the combination of environmental parameters at a given location will disproportionately favour some species and thus influence the community composition of coral reef benthos.</w:t>
      </w:r>
      <w:r>
        <w:rPr>
          <w:color w:val="000000" w:themeColor="text1"/>
        </w:rPr>
        <w:t xml:space="preserve"> However, coral communities </w:t>
      </w:r>
      <w:r w:rsidRPr="00773FDE">
        <w:rPr>
          <w:color w:val="000000" w:themeColor="text1"/>
        </w:rPr>
        <w:t xml:space="preserve">occur in a wide range of environmental settings </w:t>
      </w:r>
      <w:r w:rsidR="00714423">
        <w:rPr>
          <w:color w:val="000000" w:themeColor="text1"/>
        </w:rPr>
        <w:t xml:space="preserve">because different coral species have different tolerances to environmental pressures </w:t>
      </w:r>
      <w:r w:rsidRPr="00773FDE">
        <w:rPr>
          <w:color w:val="000000" w:themeColor="text1"/>
        </w:rPr>
        <w:t xml:space="preserve">(e.g. </w:t>
      </w:r>
      <w:proofErr w:type="gramStart"/>
      <w:r w:rsidRPr="00773FDE">
        <w:rPr>
          <w:color w:val="000000" w:themeColor="text1"/>
        </w:rPr>
        <w:t>Done</w:t>
      </w:r>
      <w:proofErr w:type="gramEnd"/>
      <w:r w:rsidRPr="00773FDE">
        <w:rPr>
          <w:color w:val="000000" w:themeColor="text1"/>
        </w:rPr>
        <w:t xml:space="preserve"> 1982, Fabricius </w:t>
      </w:r>
      <w:r w:rsidR="005A065B">
        <w:rPr>
          <w:color w:val="000000" w:themeColor="text1"/>
        </w:rPr>
        <w:t>&amp;</w:t>
      </w:r>
      <w:r w:rsidR="0001742D">
        <w:rPr>
          <w:color w:val="000000" w:themeColor="text1"/>
        </w:rPr>
        <w:t xml:space="preserve"> De’ath 2001</w:t>
      </w:r>
      <w:r w:rsidRPr="00773FDE">
        <w:rPr>
          <w:color w:val="000000" w:themeColor="text1"/>
        </w:rPr>
        <w:t xml:space="preserve">, DeVantier </w:t>
      </w:r>
      <w:r w:rsidRPr="00773FDE">
        <w:rPr>
          <w:i/>
          <w:color w:val="000000" w:themeColor="text1"/>
        </w:rPr>
        <w:t>et al.</w:t>
      </w:r>
      <w:r w:rsidRPr="00773FDE">
        <w:rPr>
          <w:color w:val="000000" w:themeColor="text1"/>
        </w:rPr>
        <w:t xml:space="preserve"> 2006, De’ath </w:t>
      </w:r>
      <w:r w:rsidR="005A065B">
        <w:rPr>
          <w:color w:val="000000" w:themeColor="text1"/>
        </w:rPr>
        <w:t>&amp;</w:t>
      </w:r>
      <w:r w:rsidRPr="00773FDE">
        <w:rPr>
          <w:color w:val="000000" w:themeColor="text1"/>
        </w:rPr>
        <w:t xml:space="preserve"> Fabricius 2010). </w:t>
      </w:r>
    </w:p>
    <w:p w14:paraId="1D44B3B2" w14:textId="77777777" w:rsidR="00A937E5" w:rsidRPr="00CB4912" w:rsidRDefault="00A937E5" w:rsidP="002B6DF5">
      <w:pPr>
        <w:spacing w:after="240"/>
        <w:rPr>
          <w:color w:val="000000" w:themeColor="text1"/>
        </w:rPr>
      </w:pPr>
      <w:r w:rsidRPr="00773FDE">
        <w:rPr>
          <w:color w:val="000000" w:themeColor="text1"/>
        </w:rPr>
        <w:t xml:space="preserve">Coral reefs in the coastal and inshore zones of the </w:t>
      </w:r>
      <w:r w:rsidRPr="00773FDE">
        <w:rPr>
          <w:rFonts w:eastAsia="MS Mincho"/>
          <w:color w:val="000000" w:themeColor="text1"/>
        </w:rPr>
        <w:t>Reef</w:t>
      </w:r>
      <w:r w:rsidRPr="00773FDE">
        <w:rPr>
          <w:color w:val="000000" w:themeColor="text1"/>
        </w:rPr>
        <w:t xml:space="preserve">, which are often fringing reefs around continental islands, are </w:t>
      </w:r>
      <w:r w:rsidR="002F24B6">
        <w:rPr>
          <w:color w:val="000000" w:themeColor="text1"/>
        </w:rPr>
        <w:t>subject to high</w:t>
      </w:r>
      <w:r w:rsidRPr="00773FDE">
        <w:rPr>
          <w:color w:val="000000" w:themeColor="text1"/>
        </w:rPr>
        <w:t xml:space="preserve"> turbid</w:t>
      </w:r>
      <w:r w:rsidR="002F24B6">
        <w:rPr>
          <w:color w:val="000000" w:themeColor="text1"/>
        </w:rPr>
        <w:t xml:space="preserve">ity </w:t>
      </w:r>
      <w:r w:rsidRPr="00773FDE">
        <w:rPr>
          <w:color w:val="000000" w:themeColor="text1"/>
        </w:rPr>
        <w:t xml:space="preserve">due to frequent exposure to re-suspended sediment and episodic flood events. It is difficult to quantify the changes to coral reef communities caused by runoff of excess nutrients and sediments because of the lack of historical biological and environmental data that predate significant land use changes on the catchment. However, recent research has strengthened the evidence for causal relationships between water quality changes and the decline of some coral reefs and seagrass meadows in these zones (reviewed in Brodie </w:t>
      </w:r>
      <w:r w:rsidRPr="00773FDE">
        <w:rPr>
          <w:i/>
          <w:color w:val="000000" w:themeColor="text1"/>
        </w:rPr>
        <w:t>et al.</w:t>
      </w:r>
      <w:r w:rsidRPr="00773FDE">
        <w:rPr>
          <w:color w:val="000000" w:themeColor="text1"/>
        </w:rPr>
        <w:t xml:space="preserve"> 2012</w:t>
      </w:r>
      <w:r w:rsidR="00A63E90">
        <w:rPr>
          <w:color w:val="000000" w:themeColor="text1"/>
        </w:rPr>
        <w:t>b</w:t>
      </w:r>
      <w:r w:rsidRPr="00773FDE">
        <w:rPr>
          <w:color w:val="000000" w:themeColor="text1"/>
        </w:rPr>
        <w:t xml:space="preserve"> and Schaffelke </w:t>
      </w:r>
      <w:r w:rsidRPr="00773FDE">
        <w:rPr>
          <w:i/>
          <w:color w:val="000000" w:themeColor="text1"/>
        </w:rPr>
        <w:t>et al.</w:t>
      </w:r>
      <w:r w:rsidRPr="00773FDE">
        <w:rPr>
          <w:color w:val="000000" w:themeColor="text1"/>
        </w:rPr>
        <w:t xml:space="preserve"> 2013).</w:t>
      </w:r>
    </w:p>
    <w:p w14:paraId="6FAE79CB" w14:textId="77777777" w:rsidR="00A937E5" w:rsidRPr="000E4124" w:rsidRDefault="00A937E5" w:rsidP="002B6DF5">
      <w:pPr>
        <w:spacing w:after="240"/>
        <w:rPr>
          <w:color w:val="000000" w:themeColor="text1"/>
        </w:rPr>
      </w:pPr>
      <w:r w:rsidRPr="00773FDE">
        <w:rPr>
          <w:color w:val="000000" w:themeColor="text1"/>
        </w:rPr>
        <w:t>Given that the benthic communities on inshore reefs of the Reef show clear responses to gradients in turbidity, sedimentation rate and nutrient availability</w:t>
      </w:r>
      <w:r w:rsidR="00E22D3F">
        <w:rPr>
          <w:color w:val="000000" w:themeColor="text1"/>
        </w:rPr>
        <w:t xml:space="preserve"> (</w:t>
      </w:r>
      <w:r w:rsidR="00A02048">
        <w:rPr>
          <w:color w:val="000000" w:themeColor="text1"/>
        </w:rPr>
        <w:t xml:space="preserve">van Woesik </w:t>
      </w:r>
      <w:r w:rsidR="00A02048" w:rsidRPr="00FA06C2">
        <w:rPr>
          <w:i/>
          <w:color w:val="000000" w:themeColor="text1"/>
        </w:rPr>
        <w:t>et al.</w:t>
      </w:r>
      <w:r w:rsidR="00A02048">
        <w:rPr>
          <w:color w:val="000000" w:themeColor="text1"/>
        </w:rPr>
        <w:t xml:space="preserve"> 1999, </w:t>
      </w:r>
      <w:r w:rsidR="009A16C8">
        <w:rPr>
          <w:color w:val="000000" w:themeColor="text1"/>
        </w:rPr>
        <w:t xml:space="preserve">Fabricius </w:t>
      </w:r>
      <w:r w:rsidR="00A02048">
        <w:rPr>
          <w:color w:val="000000" w:themeColor="text1"/>
        </w:rPr>
        <w:t xml:space="preserve">&amp; De’ath 2001, Fabricius </w:t>
      </w:r>
      <w:r w:rsidR="009A16C8" w:rsidRPr="00FA06C2">
        <w:rPr>
          <w:i/>
          <w:color w:val="000000" w:themeColor="text1"/>
        </w:rPr>
        <w:t>et al.</w:t>
      </w:r>
      <w:r w:rsidR="009A16C8">
        <w:rPr>
          <w:color w:val="000000" w:themeColor="text1"/>
        </w:rPr>
        <w:t xml:space="preserve"> 2005,</w:t>
      </w:r>
      <w:r w:rsidR="00A02048">
        <w:rPr>
          <w:color w:val="000000" w:themeColor="text1"/>
        </w:rPr>
        <w:t xml:space="preserve"> Wismer </w:t>
      </w:r>
      <w:r w:rsidR="00A02048" w:rsidRPr="00FA06C2">
        <w:rPr>
          <w:i/>
          <w:color w:val="000000" w:themeColor="text1"/>
        </w:rPr>
        <w:t>et al.</w:t>
      </w:r>
      <w:r w:rsidR="00A02048">
        <w:rPr>
          <w:color w:val="000000" w:themeColor="text1"/>
        </w:rPr>
        <w:t xml:space="preserve"> 2009,</w:t>
      </w:r>
      <w:r w:rsidR="009A16C8">
        <w:rPr>
          <w:color w:val="000000" w:themeColor="text1"/>
        </w:rPr>
        <w:t xml:space="preserve"> </w:t>
      </w:r>
      <w:r w:rsidR="00E22D3F">
        <w:rPr>
          <w:color w:val="000000" w:themeColor="text1"/>
        </w:rPr>
        <w:t xml:space="preserve">Uthicke </w:t>
      </w:r>
      <w:r w:rsidR="00E22D3F" w:rsidRPr="00FA06C2">
        <w:rPr>
          <w:i/>
          <w:color w:val="000000" w:themeColor="text1"/>
        </w:rPr>
        <w:t>et al.</w:t>
      </w:r>
      <w:r w:rsidR="00E22D3F">
        <w:rPr>
          <w:color w:val="000000" w:themeColor="text1"/>
        </w:rPr>
        <w:t xml:space="preserve"> 2010</w:t>
      </w:r>
      <w:r w:rsidR="009A16C8">
        <w:rPr>
          <w:color w:val="000000" w:themeColor="text1"/>
        </w:rPr>
        <w:t xml:space="preserve">, Fabricius </w:t>
      </w:r>
      <w:r w:rsidR="009A16C8" w:rsidRPr="00FA06C2">
        <w:rPr>
          <w:i/>
          <w:color w:val="000000" w:themeColor="text1"/>
        </w:rPr>
        <w:t>et al.</w:t>
      </w:r>
      <w:r w:rsidR="009A16C8">
        <w:rPr>
          <w:color w:val="000000" w:themeColor="text1"/>
        </w:rPr>
        <w:t xml:space="preserve"> 2012</w:t>
      </w:r>
      <w:r w:rsidR="00E22D3F">
        <w:rPr>
          <w:color w:val="000000" w:themeColor="text1"/>
        </w:rPr>
        <w:t>)</w:t>
      </w:r>
      <w:r w:rsidRPr="00773FDE">
        <w:rPr>
          <w:color w:val="000000" w:themeColor="text1"/>
        </w:rPr>
        <w:t>, improved land management practices have the potential to reduce levels of chronic environmental stresses that impact on coral reef communities. However, recent assessments raise the question whether these actions will be sufficient to ensure the resilience of the Reef ecosystems into th</w:t>
      </w:r>
      <w:r w:rsidR="00522D23">
        <w:rPr>
          <w:color w:val="000000" w:themeColor="text1"/>
        </w:rPr>
        <w:t>e future (Bartley 2014a,</w:t>
      </w:r>
      <w:r w:rsidR="00457EB1">
        <w:rPr>
          <w:color w:val="000000" w:themeColor="text1"/>
        </w:rPr>
        <w:t xml:space="preserve"> </w:t>
      </w:r>
      <w:r w:rsidR="00522D23">
        <w:rPr>
          <w:color w:val="000000" w:themeColor="text1"/>
        </w:rPr>
        <w:t>b,</w:t>
      </w:r>
      <w:r w:rsidRPr="00773FDE">
        <w:rPr>
          <w:color w:val="000000" w:themeColor="text1"/>
        </w:rPr>
        <w:t xml:space="preserve"> Kroon </w:t>
      </w:r>
      <w:r w:rsidRPr="00522D23">
        <w:rPr>
          <w:i/>
          <w:color w:val="000000" w:themeColor="text1"/>
        </w:rPr>
        <w:t>et al.</w:t>
      </w:r>
      <w:r w:rsidRPr="00773FDE">
        <w:rPr>
          <w:color w:val="000000" w:themeColor="text1"/>
        </w:rPr>
        <w:t xml:space="preserve"> 2014).</w:t>
      </w:r>
      <w:r>
        <w:rPr>
          <w:color w:val="000000" w:themeColor="text1"/>
        </w:rPr>
        <w:t xml:space="preserve"> </w:t>
      </w:r>
      <w:r w:rsidRPr="00773FDE">
        <w:rPr>
          <w:color w:val="000000" w:themeColor="text1"/>
        </w:rPr>
        <w:t>Nutrients to sustain t</w:t>
      </w:r>
      <w:r w:rsidRPr="00773FDE">
        <w:rPr>
          <w:rFonts w:eastAsia="MS Mincho"/>
          <w:color w:val="000000" w:themeColor="text1"/>
          <w:lang w:eastAsia="ja-JP"/>
        </w:rPr>
        <w:t xml:space="preserve">he biological productivity of the Reef are supplied by a number of processes and sources such as upwelling of nutrient-enriched deep water from the Coral Sea and nitrogen fixation by (cyano-) bacteria (Furnas </w:t>
      </w:r>
      <w:r w:rsidRPr="00773FDE">
        <w:rPr>
          <w:rFonts w:eastAsia="MS Mincho"/>
          <w:i/>
          <w:color w:val="000000" w:themeColor="text1"/>
          <w:lang w:eastAsia="ja-JP"/>
        </w:rPr>
        <w:t>et al.</w:t>
      </w:r>
      <w:r w:rsidRPr="00773FDE">
        <w:rPr>
          <w:rFonts w:eastAsia="MS Mincho"/>
          <w:color w:val="000000" w:themeColor="text1"/>
          <w:lang w:eastAsia="ja-JP"/>
        </w:rPr>
        <w:t xml:space="preserve"> 2011). However, land runoff is the largest source of new nutrients to the inshore Reef (ibid.), especially during monsoonal flood events. </w:t>
      </w:r>
      <w:r w:rsidRPr="00773FDE">
        <w:rPr>
          <w:color w:val="000000" w:themeColor="text1"/>
        </w:rPr>
        <w:t>These</w:t>
      </w:r>
      <w:r w:rsidRPr="00773FDE">
        <w:rPr>
          <w:rFonts w:eastAsia="MS Mincho"/>
          <w:color w:val="000000" w:themeColor="text1"/>
          <w:lang w:eastAsia="ja-JP"/>
        </w:rPr>
        <w:t xml:space="preserve"> nutrients augment the regional stocks of nutrients already </w:t>
      </w:r>
      <w:r w:rsidRPr="00773FDE">
        <w:rPr>
          <w:rFonts w:eastAsia="MS Mincho"/>
          <w:color w:val="000000" w:themeColor="text1"/>
          <w:lang w:eastAsia="ja-JP"/>
        </w:rPr>
        <w:lastRenderedPageBreak/>
        <w:t xml:space="preserve">stored in biomass or detritus (Furnas </w:t>
      </w:r>
      <w:r w:rsidRPr="00773FDE">
        <w:rPr>
          <w:rFonts w:eastAsia="MS Mincho"/>
          <w:i/>
          <w:color w:val="000000" w:themeColor="text1"/>
          <w:lang w:eastAsia="ja-JP"/>
        </w:rPr>
        <w:t>et al.</w:t>
      </w:r>
      <w:r w:rsidRPr="00773FDE">
        <w:rPr>
          <w:rFonts w:eastAsia="MS Mincho"/>
          <w:color w:val="000000" w:themeColor="text1"/>
          <w:lang w:eastAsia="ja-JP"/>
        </w:rPr>
        <w:t xml:space="preserve"> 2011) which are continuously recycled to supply nutrients for marine plants and bacteria (Furnas </w:t>
      </w:r>
      <w:r w:rsidRPr="00773FDE">
        <w:rPr>
          <w:rFonts w:eastAsia="MS Mincho"/>
          <w:i/>
          <w:iCs/>
          <w:color w:val="000000" w:themeColor="text1"/>
          <w:lang w:eastAsia="ja-JP"/>
        </w:rPr>
        <w:t>et al.</w:t>
      </w:r>
      <w:r w:rsidRPr="00773FDE">
        <w:rPr>
          <w:rFonts w:eastAsia="MS Mincho"/>
          <w:color w:val="000000" w:themeColor="text1"/>
          <w:lang w:eastAsia="ja-JP"/>
        </w:rPr>
        <w:t xml:space="preserve"> 2005, Furnas </w:t>
      </w:r>
      <w:r w:rsidRPr="00773FDE">
        <w:rPr>
          <w:rFonts w:eastAsia="MS Mincho"/>
          <w:i/>
          <w:color w:val="000000" w:themeColor="text1"/>
          <w:lang w:eastAsia="ja-JP"/>
        </w:rPr>
        <w:t>et al.</w:t>
      </w:r>
      <w:r w:rsidRPr="00773FDE">
        <w:rPr>
          <w:rFonts w:eastAsia="MS Mincho"/>
          <w:color w:val="000000" w:themeColor="text1"/>
          <w:lang w:eastAsia="ja-JP"/>
        </w:rPr>
        <w:t xml:space="preserve"> 2011). </w:t>
      </w:r>
    </w:p>
    <w:p w14:paraId="1383618D" w14:textId="77777777" w:rsidR="00A937E5" w:rsidRPr="004C7867" w:rsidRDefault="00A937E5" w:rsidP="002B6DF5">
      <w:pPr>
        <w:rPr>
          <w:color w:val="000000" w:themeColor="text1"/>
        </w:rPr>
      </w:pPr>
      <w:r>
        <w:rPr>
          <w:color w:val="000000" w:themeColor="text1"/>
        </w:rPr>
        <w:t>T</w:t>
      </w:r>
      <w:r w:rsidRPr="004C7867">
        <w:rPr>
          <w:color w:val="000000" w:themeColor="text1"/>
        </w:rPr>
        <w:t>he complexity of interactions between benthic communities and environm</w:t>
      </w:r>
      <w:r>
        <w:rPr>
          <w:color w:val="000000" w:themeColor="text1"/>
        </w:rPr>
        <w:t xml:space="preserve">ental pressures </w:t>
      </w:r>
      <w:r w:rsidRPr="004C7867">
        <w:rPr>
          <w:color w:val="000000" w:themeColor="text1"/>
        </w:rPr>
        <w:t>makes it important to synthesi</w:t>
      </w:r>
      <w:r w:rsidR="00E22D3F">
        <w:rPr>
          <w:color w:val="000000" w:themeColor="text1"/>
        </w:rPr>
        <w:t>ze</w:t>
      </w:r>
      <w:r w:rsidRPr="004C7867">
        <w:rPr>
          <w:color w:val="000000" w:themeColor="text1"/>
        </w:rPr>
        <w:t xml:space="preserve"> coral community condition for reporting purposes. In this report we present a revised scoring system based on five independent indicators of </w:t>
      </w:r>
      <w:r w:rsidR="00E22D3F">
        <w:rPr>
          <w:color w:val="000000" w:themeColor="text1"/>
        </w:rPr>
        <w:t>reef ecosystem state</w:t>
      </w:r>
      <w:r w:rsidRPr="004C7867">
        <w:rPr>
          <w:color w:val="000000" w:themeColor="text1"/>
        </w:rPr>
        <w:t xml:space="preserve"> that forms the basis of the coral component of the Reef report card. This scoring system makes subtle adjustments to previously reported indicators of coral cover, macroalgae cover, density of juvenile corals and the rate at which coral cover increases and includes an additional indicator of coral community composition. In combination these indicators each represent different aspects of coral community resilience. </w:t>
      </w:r>
    </w:p>
    <w:p w14:paraId="32421AFE" w14:textId="77777777" w:rsidR="005C1709" w:rsidRPr="00E02BA6" w:rsidRDefault="00A937E5" w:rsidP="002B6DF5">
      <w:pPr>
        <w:rPr>
          <w:rFonts w:eastAsia="MS Mincho"/>
          <w:color w:val="000000" w:themeColor="text1"/>
        </w:rPr>
      </w:pPr>
      <w:r w:rsidRPr="00E02BA6">
        <w:rPr>
          <w:rFonts w:eastAsia="MS Mincho"/>
          <w:color w:val="000000" w:themeColor="text1"/>
        </w:rPr>
        <w:t xml:space="preserve">In order to relate inshore coral reef community health to variations in local reef water quality, this component of the MMP has </w:t>
      </w:r>
      <w:r w:rsidR="009203B3">
        <w:rPr>
          <w:rFonts w:eastAsia="MS Mincho"/>
          <w:color w:val="000000" w:themeColor="text1"/>
        </w:rPr>
        <w:t>the following</w:t>
      </w:r>
      <w:r w:rsidR="005C1709" w:rsidRPr="00E02BA6">
        <w:rPr>
          <w:rFonts w:eastAsia="MS Mincho"/>
          <w:color w:val="000000" w:themeColor="text1"/>
        </w:rPr>
        <w:t xml:space="preserve"> objectives:</w:t>
      </w:r>
    </w:p>
    <w:p w14:paraId="2D1241AA" w14:textId="77777777" w:rsidR="005C1709" w:rsidRPr="00E02BA6" w:rsidRDefault="005C1709" w:rsidP="005C1709">
      <w:pPr>
        <w:pStyle w:val="ListParagraph"/>
        <w:numPr>
          <w:ilvl w:val="0"/>
          <w:numId w:val="46"/>
        </w:numPr>
        <w:rPr>
          <w:rFonts w:eastAsia="MS Mincho"/>
          <w:color w:val="000000" w:themeColor="text1"/>
        </w:rPr>
      </w:pPr>
      <w:r w:rsidRPr="00E02BA6">
        <w:rPr>
          <w:rFonts w:eastAsia="MS Mincho"/>
          <w:color w:val="000000" w:themeColor="text1"/>
        </w:rPr>
        <w:t xml:space="preserve">To </w:t>
      </w:r>
      <w:r w:rsidR="009203B3">
        <w:rPr>
          <w:rFonts w:eastAsia="MS Mincho"/>
          <w:color w:val="000000" w:themeColor="text1"/>
        </w:rPr>
        <w:t xml:space="preserve">assess the condition of </w:t>
      </w:r>
      <w:r w:rsidRPr="00E02BA6">
        <w:rPr>
          <w:rFonts w:eastAsia="MS Mincho"/>
          <w:color w:val="000000" w:themeColor="text1"/>
        </w:rPr>
        <w:t xml:space="preserve">inshore coral reef </w:t>
      </w:r>
      <w:r w:rsidR="00E02BA6" w:rsidRPr="00E02BA6">
        <w:rPr>
          <w:rFonts w:eastAsia="MS Mincho"/>
          <w:color w:val="000000" w:themeColor="text1"/>
        </w:rPr>
        <w:t>communities</w:t>
      </w:r>
      <w:r w:rsidRPr="00E02BA6">
        <w:rPr>
          <w:rFonts w:eastAsia="MS Mincho"/>
          <w:color w:val="000000" w:themeColor="text1"/>
        </w:rPr>
        <w:t>;</w:t>
      </w:r>
    </w:p>
    <w:p w14:paraId="306DE3DC" w14:textId="77777777" w:rsidR="005C1709" w:rsidRPr="00E02BA6" w:rsidRDefault="005C1709" w:rsidP="005C1709">
      <w:pPr>
        <w:pStyle w:val="ListParagraph"/>
        <w:numPr>
          <w:ilvl w:val="0"/>
          <w:numId w:val="46"/>
        </w:numPr>
        <w:rPr>
          <w:rFonts w:eastAsia="MS Mincho"/>
          <w:color w:val="000000" w:themeColor="text1"/>
        </w:rPr>
      </w:pPr>
      <w:r w:rsidRPr="00E02BA6">
        <w:rPr>
          <w:rFonts w:eastAsia="MS Mincho"/>
          <w:color w:val="000000" w:themeColor="text1"/>
        </w:rPr>
        <w:t xml:space="preserve">To assess variation in </w:t>
      </w:r>
      <w:r w:rsidR="009203B3">
        <w:rPr>
          <w:rFonts w:eastAsia="MS Mincho"/>
          <w:color w:val="000000" w:themeColor="text1"/>
        </w:rPr>
        <w:t xml:space="preserve">this condition in </w:t>
      </w:r>
      <w:r w:rsidRPr="00E02BA6">
        <w:rPr>
          <w:rFonts w:eastAsia="MS Mincho"/>
          <w:color w:val="000000" w:themeColor="text1"/>
        </w:rPr>
        <w:t>relation to</w:t>
      </w:r>
      <w:r w:rsidR="00E02BA6" w:rsidRPr="00E02BA6">
        <w:rPr>
          <w:rFonts w:eastAsia="MS Mincho"/>
          <w:color w:val="000000" w:themeColor="text1"/>
        </w:rPr>
        <w:t xml:space="preserve"> </w:t>
      </w:r>
      <w:r w:rsidR="009203B3">
        <w:rPr>
          <w:rFonts w:eastAsia="MS Mincho"/>
          <w:color w:val="000000" w:themeColor="text1"/>
        </w:rPr>
        <w:t xml:space="preserve">exposure to </w:t>
      </w:r>
      <w:r w:rsidR="00E02BA6" w:rsidRPr="00E02BA6">
        <w:rPr>
          <w:rFonts w:eastAsia="MS Mincho"/>
          <w:color w:val="000000" w:themeColor="text1"/>
        </w:rPr>
        <w:t xml:space="preserve">both: acute pressures associated with disturbance events and chronic pressures related to </w:t>
      </w:r>
      <w:r w:rsidRPr="00E02BA6">
        <w:rPr>
          <w:rFonts w:eastAsia="MS Mincho"/>
          <w:color w:val="000000" w:themeColor="text1"/>
        </w:rPr>
        <w:t>marine water quality;</w:t>
      </w:r>
    </w:p>
    <w:p w14:paraId="02CB453E" w14:textId="77777777" w:rsidR="005C1709" w:rsidRPr="00E02BA6" w:rsidRDefault="005C1709" w:rsidP="005C1709">
      <w:pPr>
        <w:pStyle w:val="ListParagraph"/>
        <w:numPr>
          <w:ilvl w:val="0"/>
          <w:numId w:val="46"/>
        </w:numPr>
        <w:rPr>
          <w:rFonts w:eastAsia="MS Mincho"/>
          <w:color w:val="000000" w:themeColor="text1"/>
        </w:rPr>
      </w:pPr>
      <w:r w:rsidRPr="00E02BA6">
        <w:rPr>
          <w:rFonts w:eastAsia="MS Mincho"/>
          <w:color w:val="000000" w:themeColor="text1"/>
        </w:rPr>
        <w:t>Provide an integrated assessment of inshore coral community condition as the basis for the coral community component of the Report card.</w:t>
      </w:r>
    </w:p>
    <w:p w14:paraId="4B2C1897" w14:textId="77777777" w:rsidR="005C1709" w:rsidRPr="005C1709" w:rsidRDefault="005C1709" w:rsidP="005C1709">
      <w:pPr>
        <w:pStyle w:val="ListParagraph"/>
        <w:ind w:left="360"/>
        <w:rPr>
          <w:rFonts w:eastAsia="MS Mincho"/>
          <w:color w:val="000000" w:themeColor="text1"/>
        </w:rPr>
      </w:pPr>
    </w:p>
    <w:p w14:paraId="75B8341E" w14:textId="77777777" w:rsidR="00A937E5" w:rsidRDefault="00A937E5" w:rsidP="00156D38">
      <w:pPr>
        <w:pStyle w:val="ListParagraph"/>
        <w:ind w:left="360"/>
        <w:rPr>
          <w:rFonts w:eastAsia="MS Mincho"/>
          <w:color w:val="000000" w:themeColor="text1"/>
        </w:rPr>
      </w:pPr>
      <w:r>
        <w:rPr>
          <w:rFonts w:eastAsia="MS Mincho"/>
          <w:color w:val="000000" w:themeColor="text1"/>
        </w:rPr>
        <w:br w:type="page"/>
      </w:r>
    </w:p>
    <w:p w14:paraId="36B45CE2" w14:textId="77777777" w:rsidR="00EA753F" w:rsidRPr="00EA753F" w:rsidRDefault="00EA753F" w:rsidP="006D0A76">
      <w:pPr>
        <w:pStyle w:val="Heading1"/>
      </w:pPr>
      <w:bookmarkStart w:id="76" w:name="_Toc460490654"/>
      <w:r w:rsidRPr="00EA753F">
        <w:lastRenderedPageBreak/>
        <w:t>Methods</w:t>
      </w:r>
      <w:bookmarkEnd w:id="76"/>
      <w:r w:rsidRPr="00EA753F">
        <w:t xml:space="preserve"> </w:t>
      </w:r>
    </w:p>
    <w:p w14:paraId="405C18DA" w14:textId="77777777" w:rsidR="006305E9" w:rsidRDefault="00F352CD" w:rsidP="009139A2">
      <w:pPr>
        <w:pStyle w:val="Heading2"/>
        <w:spacing w:before="120"/>
        <w:rPr>
          <w:rFonts w:eastAsia="SimSun"/>
        </w:rPr>
      </w:pPr>
      <w:bookmarkStart w:id="77" w:name="_Toc460490655"/>
      <w:r>
        <w:rPr>
          <w:rFonts w:eastAsia="SimSun"/>
        </w:rPr>
        <w:t>4</w:t>
      </w:r>
      <w:r w:rsidR="006305E9">
        <w:rPr>
          <w:rFonts w:eastAsia="SimSun"/>
        </w:rPr>
        <w:t>.1</w:t>
      </w:r>
      <w:r w:rsidR="006305E9">
        <w:rPr>
          <w:rFonts w:eastAsia="SimSun"/>
        </w:rPr>
        <w:tab/>
        <w:t>Sampling design</w:t>
      </w:r>
      <w:bookmarkEnd w:id="77"/>
    </w:p>
    <w:p w14:paraId="2832395D" w14:textId="77777777" w:rsidR="00AF3BB1" w:rsidRDefault="00334128" w:rsidP="00CB4912">
      <w:pPr>
        <w:rPr>
          <w:rFonts w:eastAsia="MS Mincho"/>
        </w:rPr>
      </w:pPr>
      <w:r>
        <w:rPr>
          <w:rFonts w:eastAsia="MS Mincho"/>
        </w:rPr>
        <w:t xml:space="preserve">Monitoring of inshore coral reef communities is limited to reefs adjacent to four of the six </w:t>
      </w:r>
      <w:r w:rsidR="005178A5">
        <w:rPr>
          <w:rFonts w:eastAsia="MS Mincho"/>
        </w:rPr>
        <w:t>natural r</w:t>
      </w:r>
      <w:r>
        <w:rPr>
          <w:rFonts w:eastAsia="MS Mincho"/>
        </w:rPr>
        <w:t xml:space="preserve">esource </w:t>
      </w:r>
      <w:r w:rsidR="005178A5">
        <w:rPr>
          <w:rFonts w:eastAsia="MS Mincho"/>
        </w:rPr>
        <w:t>m</w:t>
      </w:r>
      <w:r>
        <w:rPr>
          <w:rFonts w:eastAsia="MS Mincho"/>
        </w:rPr>
        <w:t xml:space="preserve">anagement (NRM) regions with catchments draining into the Reef: Wet Tropics, Burdekin, </w:t>
      </w:r>
      <w:r w:rsidR="00AF3BB1">
        <w:rPr>
          <w:rFonts w:eastAsia="MS Mincho"/>
        </w:rPr>
        <w:t xml:space="preserve">Mackay Whitsunday and Fitzroy. No reefs are included adjacent to Cape York due to logistic and occupational health and safety issues relating to diving in coastal waters in this region. </w:t>
      </w:r>
      <w:r w:rsidR="005178A5">
        <w:rPr>
          <w:rFonts w:eastAsia="MS Mincho"/>
        </w:rPr>
        <w:t>L</w:t>
      </w:r>
      <w:r w:rsidR="00AF3BB1">
        <w:rPr>
          <w:rFonts w:eastAsia="MS Mincho"/>
        </w:rPr>
        <w:t xml:space="preserve">imited development of coral reefs </w:t>
      </w:r>
      <w:r w:rsidR="005178A5">
        <w:rPr>
          <w:rFonts w:eastAsia="MS Mincho"/>
        </w:rPr>
        <w:t xml:space="preserve">in nearshore waters </w:t>
      </w:r>
      <w:r w:rsidR="00AF3BB1">
        <w:rPr>
          <w:rFonts w:eastAsia="MS Mincho"/>
        </w:rPr>
        <w:t xml:space="preserve">adjacent to the Burnett Mary NRM region </w:t>
      </w:r>
      <w:r w:rsidR="005178A5">
        <w:rPr>
          <w:rFonts w:eastAsia="MS Mincho"/>
        </w:rPr>
        <w:t>precluded s</w:t>
      </w:r>
      <w:r w:rsidR="00AF3BB1">
        <w:rPr>
          <w:rFonts w:eastAsia="MS Mincho"/>
        </w:rPr>
        <w:t>ampling</w:t>
      </w:r>
      <w:r w:rsidR="005178A5">
        <w:rPr>
          <w:rFonts w:eastAsia="MS Mincho"/>
        </w:rPr>
        <w:t xml:space="preserve"> there</w:t>
      </w:r>
      <w:r w:rsidR="00AF3BB1">
        <w:rPr>
          <w:rFonts w:eastAsia="MS Mincho"/>
        </w:rPr>
        <w:t xml:space="preserve">. </w:t>
      </w:r>
      <w:r w:rsidR="008218B9">
        <w:t>Sub-regions were included in the Wet Tropics NRM to more closely align reefs with the combined catchments of; the Barron and Daintree rivers, the Johnstone and Russell-Mulgrave Rivers, and the Herbert and Tully rivers</w:t>
      </w:r>
    </w:p>
    <w:p w14:paraId="29CF7A48" w14:textId="77777777" w:rsidR="00944204" w:rsidRPr="002710DB" w:rsidRDefault="00FE4FD7" w:rsidP="009139A2">
      <w:pPr>
        <w:pStyle w:val="Heading3"/>
      </w:pPr>
      <w:r>
        <w:t xml:space="preserve">4.1.1 </w:t>
      </w:r>
      <w:r w:rsidR="00944204" w:rsidRPr="002710DB">
        <w:t>Site Selection</w:t>
      </w:r>
    </w:p>
    <w:p w14:paraId="1792D94D" w14:textId="77777777" w:rsidR="00944204" w:rsidRPr="002710DB" w:rsidRDefault="00944204" w:rsidP="00944204">
      <w:r>
        <w:t xml:space="preserve">On advice from an expert panel the GBRMPA selected the reefs monitoring by the MMP. The selection was </w:t>
      </w:r>
      <w:r w:rsidRPr="002710DB">
        <w:t>based upon two primary considerations:</w:t>
      </w:r>
    </w:p>
    <w:p w14:paraId="77A71AD6" w14:textId="77777777" w:rsidR="00944204" w:rsidRPr="002710DB" w:rsidRDefault="00944204" w:rsidP="00944204"/>
    <w:p w14:paraId="60BD88F7" w14:textId="77777777" w:rsidR="00944204" w:rsidRPr="002710DB" w:rsidRDefault="008218B9" w:rsidP="00944204">
      <w:pPr>
        <w:numPr>
          <w:ilvl w:val="0"/>
          <w:numId w:val="3"/>
        </w:numPr>
        <w:tabs>
          <w:tab w:val="clear" w:pos="720"/>
          <w:tab w:val="num" w:pos="360"/>
        </w:tabs>
        <w:ind w:left="360"/>
      </w:pPr>
      <w:r>
        <w:t xml:space="preserve">Within the Reef strong gradients in water quality </w:t>
      </w:r>
      <w:r>
        <w:rPr>
          <w:rFonts w:eastAsia="MS Mincho"/>
        </w:rPr>
        <w:t xml:space="preserve">exist with distance from the coast and </w:t>
      </w:r>
      <w:r>
        <w:rPr>
          <w:rFonts w:ascii="Helvetica" w:hAnsi="Helvetica" w:cs="Helvetica"/>
          <w:szCs w:val="22"/>
        </w:rPr>
        <w:t xml:space="preserve">increasing distance from rivers in a northerly direction (Larcombe </w:t>
      </w:r>
      <w:r>
        <w:rPr>
          <w:rFonts w:ascii="Helvetica" w:hAnsi="Helvetica" w:cs="Helvetica"/>
          <w:i/>
          <w:szCs w:val="22"/>
        </w:rPr>
        <w:t>et al.</w:t>
      </w:r>
      <w:r>
        <w:rPr>
          <w:rFonts w:ascii="Helvetica" w:hAnsi="Helvetica" w:cs="Helvetica"/>
          <w:szCs w:val="22"/>
        </w:rPr>
        <w:t xml:space="preserve"> 1995, Brinkman </w:t>
      </w:r>
      <w:r>
        <w:rPr>
          <w:rFonts w:ascii="Helvetica" w:hAnsi="Helvetica" w:cs="Helvetica"/>
          <w:i/>
          <w:szCs w:val="22"/>
        </w:rPr>
        <w:t>et al.</w:t>
      </w:r>
      <w:r>
        <w:rPr>
          <w:rFonts w:ascii="Helvetica" w:hAnsi="Helvetica" w:cs="Helvetica"/>
          <w:szCs w:val="22"/>
        </w:rPr>
        <w:t xml:space="preserve"> 2011)</w:t>
      </w:r>
      <w:r w:rsidR="008774A5">
        <w:rPr>
          <w:rFonts w:eastAsia="MS Mincho"/>
        </w:rPr>
        <w:t xml:space="preserve">. </w:t>
      </w:r>
      <w:r>
        <w:rPr>
          <w:rFonts w:eastAsia="MS Mincho"/>
        </w:rPr>
        <w:t>The selection of reefs for inclusion in the sampling design was informed by the desire to include reefs spanning these gradients so as to facilitate the teasing out of water quality associated impacts</w:t>
      </w:r>
      <w:r w:rsidR="00944204" w:rsidRPr="002710DB">
        <w:t>;</w:t>
      </w:r>
    </w:p>
    <w:p w14:paraId="623C4412" w14:textId="77777777" w:rsidR="00944204" w:rsidRPr="002710DB" w:rsidRDefault="00944204" w:rsidP="00944204">
      <w:pPr>
        <w:numPr>
          <w:ilvl w:val="0"/>
          <w:numId w:val="3"/>
        </w:numPr>
        <w:tabs>
          <w:tab w:val="clear" w:pos="720"/>
          <w:tab w:val="num" w:pos="360"/>
        </w:tabs>
        <w:ind w:left="360"/>
      </w:pPr>
      <w:r w:rsidRPr="002710DB">
        <w:t>Sampling locations were selected where there was either an existing coral reef community or evidence (in the form of carbonate-based substratum) of past coral reef development.</w:t>
      </w:r>
      <w:r>
        <w:t xml:space="preserve"> Exact locations were selected without prior investigation, once a section of reef had been identified that was of sufficient size to accommodate our sampling design a marker was deployed from the surface and transects established from this point.</w:t>
      </w:r>
    </w:p>
    <w:p w14:paraId="3D0C464C" w14:textId="77777777" w:rsidR="00944204" w:rsidRPr="002710DB" w:rsidRDefault="00944204" w:rsidP="00944204"/>
    <w:p w14:paraId="1AF1B0B2" w14:textId="77777777" w:rsidR="009B342F" w:rsidRDefault="00944204" w:rsidP="00944204">
      <w:r w:rsidRPr="002710DB">
        <w:t xml:space="preserve">In the Wet Tropics region, where </w:t>
      </w:r>
      <w:r>
        <w:t xml:space="preserve">few reefs exist in the inshore zone and </w:t>
      </w:r>
      <w:r w:rsidRPr="002710DB">
        <w:t xml:space="preserve">well-developed reefs existed on more than one aspect of an island, </w:t>
      </w:r>
      <w:r w:rsidR="008218B9">
        <w:t xml:space="preserve">separate </w:t>
      </w:r>
      <w:r w:rsidRPr="002710DB">
        <w:t xml:space="preserve">reefs </w:t>
      </w:r>
      <w:r w:rsidR="008218B9">
        <w:t xml:space="preserve">on windward and leeward aspects </w:t>
      </w:r>
      <w:r w:rsidRPr="002710DB">
        <w:t xml:space="preserve">were included in the design. Coral reef communities can be quite different on windward compared to leeward reefs even though the surrounding water quality is relatively similar. Differences in wave and current regimes determine whether materials, e.g. sediments, fresh water, nutrients or toxins imported by flood events, accumulate or disperse and hence determine the exposure of benthic communities to environmental stresses. A list of the selected reefs is presented in </w:t>
      </w:r>
      <w:r w:rsidR="003C3A1E" w:rsidRPr="003C3A1E">
        <w:fldChar w:fldCharType="begin"/>
      </w:r>
      <w:r w:rsidR="003C3A1E" w:rsidRPr="003C3A1E">
        <w:instrText xml:space="preserve"> REF _Ref460423522 \h </w:instrText>
      </w:r>
      <w:r w:rsidR="003C3A1E">
        <w:instrText xml:space="preserve"> \* MERGEFORMAT </w:instrText>
      </w:r>
      <w:r w:rsidR="003C3A1E" w:rsidRPr="003C3A1E">
        <w:fldChar w:fldCharType="separate"/>
      </w:r>
      <w:r w:rsidR="00B61881" w:rsidRPr="00B61881">
        <w:t>Table 1</w:t>
      </w:r>
      <w:r w:rsidR="003C3A1E" w:rsidRPr="003C3A1E">
        <w:fldChar w:fldCharType="end"/>
      </w:r>
      <w:r w:rsidRPr="003C3A1E">
        <w:t xml:space="preserve"> </w:t>
      </w:r>
      <w:r w:rsidRPr="002710DB">
        <w:t xml:space="preserve">and the geographic locations are shown in Figure </w:t>
      </w:r>
      <w:r w:rsidR="009B342F">
        <w:t>3</w:t>
      </w:r>
      <w:r w:rsidR="009B342F" w:rsidRPr="009B342F">
        <w:t xml:space="preserve"> </w:t>
      </w:r>
      <w:r w:rsidR="009B342F" w:rsidRPr="002710DB">
        <w:t>and also indicated on maps within each (sub-) regional section</w:t>
      </w:r>
      <w:r w:rsidR="009B342F">
        <w:t>.</w:t>
      </w:r>
    </w:p>
    <w:p w14:paraId="45146365" w14:textId="77777777" w:rsidR="0033239F" w:rsidRDefault="0033239F" w:rsidP="0033239F">
      <w:r>
        <w:t xml:space="preserve">There have been two changes to the selection of reefs sampled. </w:t>
      </w:r>
      <w:r w:rsidRPr="002710DB">
        <w:t>In 2005 and 2006 three mainland fringing reef locations were sampled along the Daintree coast. Concerns over increasing crocodile populations in this area led to the cessation of sampling at these locations</w:t>
      </w:r>
      <w:r>
        <w:t>. In 2015 a revision of the marine water quality monitoring component of the MMP resulted in a concentration of sampling effort along a gradient away from the Tully River mouth. To better match the water quality sampling to the coral reef sampling in the Tully-Herbert sub-region a new reef site was initiated at Bedarra and sampl</w:t>
      </w:r>
      <w:r w:rsidR="008774A5">
        <w:t>ing at King Reef discontinued.</w:t>
      </w:r>
    </w:p>
    <w:p w14:paraId="3A360584" w14:textId="77777777" w:rsidR="0033239F" w:rsidRDefault="009B342F" w:rsidP="0033239F">
      <w:r>
        <w:t>In addition to reefs monitored by the MMP data from inshore reefs monitored by the AIMS long-term monitoring program have been included in this report (</w:t>
      </w:r>
      <w:r w:rsidR="003C3A1E" w:rsidRPr="003C3A1E">
        <w:fldChar w:fldCharType="begin"/>
      </w:r>
      <w:r w:rsidR="003C3A1E" w:rsidRPr="003C3A1E">
        <w:instrText xml:space="preserve"> REF _Ref460423522 \h </w:instrText>
      </w:r>
      <w:r w:rsidR="003C3A1E">
        <w:instrText xml:space="preserve"> \* MERGEFORMAT </w:instrText>
      </w:r>
      <w:r w:rsidR="003C3A1E" w:rsidRPr="003C3A1E">
        <w:fldChar w:fldCharType="separate"/>
      </w:r>
      <w:r w:rsidR="00B61881" w:rsidRPr="00B61881">
        <w:t>Table 1</w:t>
      </w:r>
      <w:r w:rsidR="003C3A1E" w:rsidRPr="003C3A1E">
        <w:fldChar w:fldCharType="end"/>
      </w:r>
      <w:r>
        <w:t>,</w:t>
      </w:r>
      <w:r w:rsidR="003C3A1E">
        <w:t xml:space="preserve"> </w:t>
      </w:r>
      <w:r w:rsidR="003C3A1E">
        <w:fldChar w:fldCharType="begin"/>
      </w:r>
      <w:r w:rsidR="003C3A1E">
        <w:instrText xml:space="preserve"> REF _Ref460423586 \h </w:instrText>
      </w:r>
      <w:r w:rsidR="003C3A1E">
        <w:fldChar w:fldCharType="separate"/>
      </w:r>
      <w:r w:rsidR="00B61881">
        <w:t xml:space="preserve">Figure </w:t>
      </w:r>
      <w:r w:rsidR="00B61881">
        <w:rPr>
          <w:noProof/>
        </w:rPr>
        <w:t>3</w:t>
      </w:r>
      <w:r w:rsidR="003C3A1E">
        <w:fldChar w:fldCharType="end"/>
      </w:r>
      <w:r>
        <w:t xml:space="preserve">). The addition of these reefs serves to extend the basis for assessments of coral community condition. </w:t>
      </w:r>
      <w:r w:rsidR="0033239F">
        <w:t>Finally, as the MMP sites at Middle reef in the Burdekin region were co-located with LTMP sites this reef was also removed from the MMP sampling schedule in 2015.</w:t>
      </w:r>
    </w:p>
    <w:p w14:paraId="457E5B0A" w14:textId="77777777" w:rsidR="009B342F" w:rsidRDefault="009B342F" w:rsidP="009B342F"/>
    <w:p w14:paraId="1B77706B" w14:textId="77777777" w:rsidR="009B342F" w:rsidRDefault="009B342F" w:rsidP="00944204"/>
    <w:p w14:paraId="50206DEB" w14:textId="77777777" w:rsidR="00B815F5" w:rsidRDefault="00B815F5" w:rsidP="00B815F5">
      <w:pPr>
        <w:rPr>
          <w:rStyle w:val="Heading4Char"/>
          <w:rFonts w:eastAsia="Times New Roman"/>
          <w:i w:val="0"/>
          <w:color w:val="0070C0"/>
          <w:szCs w:val="20"/>
          <w:lang w:eastAsia="en-AU"/>
        </w:rPr>
      </w:pPr>
      <w:r>
        <w:rPr>
          <w:noProof/>
          <w:lang w:val="en-AU" w:eastAsia="en-AU"/>
        </w:rPr>
        <w:lastRenderedPageBreak/>
        <w:drawing>
          <wp:inline distT="0" distB="0" distL="0" distR="0" wp14:anchorId="285E1AF9" wp14:editId="3D3D9447">
            <wp:extent cx="5419344" cy="6577584"/>
            <wp:effectExtent l="0" t="0" r="0" b="0"/>
            <wp:docPr id="10" name="Picture 10" descr="Figure 3: Sampling locations of the MMP coral and water quality monitoring. Table 1 (below) describes monitoring activities undertaken at each location. NRM Region boundaries are represented by coloured catchment areas." title="Figure 3: Sampling locations of the MMP coral and water quality monitor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 24reefs for Angus plus LTMP [Converted].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419344" cy="6577584"/>
                    </a:xfrm>
                    <a:prstGeom prst="rect">
                      <a:avLst/>
                    </a:prstGeom>
                  </pic:spPr>
                </pic:pic>
              </a:graphicData>
            </a:graphic>
          </wp:inline>
        </w:drawing>
      </w:r>
    </w:p>
    <w:p w14:paraId="0725C14B" w14:textId="77777777" w:rsidR="00B815F5" w:rsidRPr="006B3B22" w:rsidRDefault="00B815F5" w:rsidP="00B815F5">
      <w:pPr>
        <w:pStyle w:val="Caption"/>
        <w:rPr>
          <w:rStyle w:val="IntenseReference"/>
          <w:rFonts w:eastAsia="SimSun"/>
          <w:bCs w:val="0"/>
          <w:vanish/>
          <w:color w:val="auto"/>
        </w:rPr>
      </w:pPr>
      <w:bookmarkStart w:id="78" w:name="_Ref460423586"/>
      <w:bookmarkStart w:id="79" w:name="_Toc460490772"/>
      <w:r>
        <w:t xml:space="preserve">Figure </w:t>
      </w:r>
      <w:r w:rsidR="005D2F9F">
        <w:fldChar w:fldCharType="begin"/>
      </w:r>
      <w:r w:rsidR="005D2F9F">
        <w:instrText xml:space="preserve"> SEQ Figure \* ARABIC </w:instrText>
      </w:r>
      <w:r w:rsidR="005D2F9F">
        <w:fldChar w:fldCharType="separate"/>
      </w:r>
      <w:r w:rsidR="00B61881">
        <w:rPr>
          <w:noProof/>
        </w:rPr>
        <w:t>3</w:t>
      </w:r>
      <w:r w:rsidR="005D2F9F">
        <w:rPr>
          <w:noProof/>
        </w:rPr>
        <w:fldChar w:fldCharType="end"/>
      </w:r>
      <w:bookmarkEnd w:id="78"/>
      <w:r>
        <w:t xml:space="preserve">: </w:t>
      </w:r>
      <w:r w:rsidRPr="0004130F">
        <w:rPr>
          <w:rStyle w:val="Heading4Char"/>
          <w:rFonts w:ascii="Arial Narrow" w:hAnsi="Arial Narrow"/>
          <w:i w:val="0"/>
        </w:rPr>
        <w:t>Sampling locations of the MMP coral and water quality monitoring.</w:t>
      </w:r>
      <w:bookmarkEnd w:id="79"/>
      <w:r w:rsidRPr="0004130F">
        <w:rPr>
          <w:rStyle w:val="IntenseReference"/>
          <w:rFonts w:eastAsia="SimSun"/>
          <w:bCs w:val="0"/>
          <w:color w:val="auto"/>
        </w:rPr>
        <w:t xml:space="preserve"> </w:t>
      </w:r>
    </w:p>
    <w:p w14:paraId="4E750375" w14:textId="77777777" w:rsidR="00B815F5" w:rsidRPr="008E37D2" w:rsidRDefault="00B815F5" w:rsidP="00B815F5">
      <w:pPr>
        <w:rPr>
          <w:rStyle w:val="IntenseReference"/>
          <w:rFonts w:eastAsia="SimSun"/>
        </w:rPr>
      </w:pPr>
      <w:r w:rsidRPr="0004130F">
        <w:rPr>
          <w:rStyle w:val="IntenseReference"/>
          <w:rFonts w:eastAsia="SimSun"/>
          <w:bCs w:val="0"/>
          <w:color w:val="auto"/>
        </w:rPr>
        <w:t>Table 1</w:t>
      </w:r>
      <w:r>
        <w:rPr>
          <w:rStyle w:val="IntenseReference"/>
          <w:rFonts w:eastAsia="SimSun"/>
          <w:bCs w:val="0"/>
          <w:color w:val="auto"/>
        </w:rPr>
        <w:t xml:space="preserve"> (below)</w:t>
      </w:r>
      <w:r w:rsidRPr="0004130F">
        <w:rPr>
          <w:rStyle w:val="IntenseReference"/>
          <w:rFonts w:eastAsia="SimSun"/>
          <w:bCs w:val="0"/>
          <w:color w:val="auto"/>
        </w:rPr>
        <w:t xml:space="preserve"> describes monitoring activities undertaken at each location. </w:t>
      </w:r>
      <w:r w:rsidRPr="0004130F">
        <w:rPr>
          <w:rStyle w:val="IntenseReference"/>
          <w:rFonts w:eastAsia="SimSun" w:cs="Arial"/>
          <w:color w:val="auto"/>
        </w:rPr>
        <w:t>NRM Region boundaries are represented by coloured catchment areas.</w:t>
      </w:r>
    </w:p>
    <w:p w14:paraId="7A127598" w14:textId="77777777" w:rsidR="00156D38" w:rsidRDefault="00156D38">
      <w:pPr>
        <w:jc w:val="left"/>
        <w:rPr>
          <w:sz w:val="20"/>
        </w:rPr>
      </w:pPr>
      <w:r>
        <w:rPr>
          <w:sz w:val="20"/>
        </w:rPr>
        <w:br w:type="page"/>
      </w:r>
    </w:p>
    <w:p w14:paraId="31363D1C" w14:textId="77777777" w:rsidR="00944204" w:rsidRPr="002710DB" w:rsidRDefault="00FE4FD7" w:rsidP="009139A2">
      <w:pPr>
        <w:pStyle w:val="Heading3"/>
      </w:pPr>
      <w:r>
        <w:lastRenderedPageBreak/>
        <w:t xml:space="preserve">4.1.2 </w:t>
      </w:r>
      <w:r w:rsidR="00944204" w:rsidRPr="002710DB">
        <w:t>Depth Selection</w:t>
      </w:r>
    </w:p>
    <w:p w14:paraId="08D31C70" w14:textId="77777777" w:rsidR="00944204" w:rsidRPr="002710DB" w:rsidRDefault="00944204" w:rsidP="00944204">
      <w:r w:rsidRPr="002710DB">
        <w:t xml:space="preserve">From observations of a number of inshore reefs undertaken by AIMS in 2004 (Sweatman </w:t>
      </w:r>
      <w:r w:rsidRPr="002819E0">
        <w:rPr>
          <w:i/>
        </w:rPr>
        <w:t>et al</w:t>
      </w:r>
      <w:r w:rsidRPr="002710DB">
        <w:rPr>
          <w:i/>
        </w:rPr>
        <w:t>.</w:t>
      </w:r>
      <w:r w:rsidRPr="002710DB">
        <w:t xml:space="preserve"> 2007), marked differences in community structure and exposure to perturbations with depth were noted. The lower limit for the inshore coral surveys was selected at 5m below datum, because coral communities rapidly diminish below this depth at many reefs</w:t>
      </w:r>
      <w:r w:rsidR="00457EB1">
        <w:t xml:space="preserve">, </w:t>
      </w:r>
      <w:r w:rsidRPr="002710DB">
        <w:t xml:space="preserve">2m below datum was selected as the ‘shallow’ depth as this allowed surveys of the reef crest. Shallower depths were considered but discounted for logistical reasons, including the inability to use the photo technique in very shallow water, site markers creating a danger to navigation and difficulty in locating a depth contour on very shallow sloping substrata typical of reef flats. </w:t>
      </w:r>
      <w:r>
        <w:t>The AIMS LTMP sites are not as consistently depth defined as those of the MMP with most sites set in the range of 5-7m below LAT. Middle Reef is the exception with sites there at approximately 3m below LAT.</w:t>
      </w:r>
    </w:p>
    <w:p w14:paraId="25F6B02F" w14:textId="77777777" w:rsidR="00944204" w:rsidRPr="002710DB" w:rsidRDefault="00FE4FD7" w:rsidP="009139A2">
      <w:pPr>
        <w:pStyle w:val="Heading3"/>
      </w:pPr>
      <w:r>
        <w:t xml:space="preserve">4.1.3 </w:t>
      </w:r>
      <w:r w:rsidR="00944204" w:rsidRPr="002710DB">
        <w:t>Site marking</w:t>
      </w:r>
    </w:p>
    <w:p w14:paraId="03D1B719" w14:textId="77777777" w:rsidR="00E0160D" w:rsidRDefault="00944204" w:rsidP="00F73646">
      <w:r w:rsidRPr="002710DB">
        <w:t xml:space="preserve">At each reef </w:t>
      </w:r>
      <w:r w:rsidR="00F73646">
        <w:t>(</w:t>
      </w:r>
      <w:r w:rsidR="00F73646" w:rsidRPr="00F73646">
        <w:fldChar w:fldCharType="begin"/>
      </w:r>
      <w:r w:rsidR="00F73646" w:rsidRPr="00F73646">
        <w:instrText xml:space="preserve"> REF _Ref460423522 \h </w:instrText>
      </w:r>
      <w:r w:rsidR="00F73646">
        <w:instrText xml:space="preserve"> \* MERGEFORMAT </w:instrText>
      </w:r>
      <w:r w:rsidR="00F73646" w:rsidRPr="00F73646">
        <w:fldChar w:fldCharType="separate"/>
      </w:r>
      <w:r w:rsidR="00B61881" w:rsidRPr="00B61881">
        <w:t>Table 1</w:t>
      </w:r>
      <w:r w:rsidR="00F73646" w:rsidRPr="00F73646">
        <w:fldChar w:fldCharType="end"/>
      </w:r>
      <w:r w:rsidR="00F73646">
        <w:t xml:space="preserve">) </w:t>
      </w:r>
      <w:r>
        <w:t>two sites separated by at least 250 m were selected</w:t>
      </w:r>
      <w:r w:rsidR="009B342F">
        <w:t xml:space="preserve"> along a similar aspect</w:t>
      </w:r>
      <w:r>
        <w:t>. These sites are</w:t>
      </w:r>
      <w:r w:rsidRPr="002710DB">
        <w:t xml:space="preserve"> permanently marked with steel fence posts at the beginning of each of five 20m transects and smaller (10mm diameter) steel rods at the 10m mark and the end of each transect. Compass bearings and measured distances record the transect path between these permanent markers. Transects were set initially by running two 60m fibreglass tape measures out along the desired 5m or 2m depth contour. Digital depth gauges were used along with tide heights from the closest location included in ‘Seafarer Tides’ electronic tide charts produced by the Australian Hydrographic Service to set transects as close as possible to the desired depths of 5m and 2m below lowest astronomical tide (LAT). Consecutive 20m transects were separated by 5m. The position of the first picket of each site was recorded by GPS</w:t>
      </w:r>
      <w:r>
        <w:t>. Site directions and waypoints are stored electronically in AIMS databases.</w:t>
      </w:r>
      <w:r w:rsidR="00E0160D" w:rsidRPr="00E0160D">
        <w:t xml:space="preserve"> </w:t>
      </w:r>
    </w:p>
    <w:p w14:paraId="1F69DA27" w14:textId="77777777" w:rsidR="009B342F" w:rsidRPr="002710DB" w:rsidRDefault="00FE4FD7" w:rsidP="009139A2">
      <w:pPr>
        <w:pStyle w:val="Heading3"/>
      </w:pPr>
      <w:r>
        <w:t xml:space="preserve">4.1.4 </w:t>
      </w:r>
      <w:r w:rsidR="009B342F" w:rsidRPr="002710DB">
        <w:t>S</w:t>
      </w:r>
      <w:r w:rsidR="009B342F">
        <w:t xml:space="preserve">ampling </w:t>
      </w:r>
      <w:r w:rsidR="00186731">
        <w:t xml:space="preserve">timing and </w:t>
      </w:r>
      <w:r w:rsidR="009B342F">
        <w:t>frequency</w:t>
      </w:r>
    </w:p>
    <w:p w14:paraId="3AE2DA1E" w14:textId="77777777" w:rsidR="00954B71" w:rsidRDefault="009B342F" w:rsidP="009B342F">
      <w:r>
        <w:t>Coral reef surveys were undertaken predominantly over the months May-July as this allows the full influences of summer disturbances such as cyclones and bleaching events to be realised</w:t>
      </w:r>
      <w:r w:rsidR="004304DE">
        <w:t>. A</w:t>
      </w:r>
      <w:r>
        <w:t>lthough the acute events occur over summer the stress incurred can cause ongoing mortality for several months. The winter sampling also protects observers from potential risk from marine s</w:t>
      </w:r>
      <w:r w:rsidR="008774A5">
        <w:t>tingers over the summer months.</w:t>
      </w:r>
      <w:r>
        <w:t xml:space="preserve"> The exception </w:t>
      </w:r>
      <w:r w:rsidR="00186731">
        <w:t>was</w:t>
      </w:r>
      <w:r>
        <w:t xml:space="preserve"> Snapper Island where sampling occurred typically in the months August –October. </w:t>
      </w:r>
    </w:p>
    <w:p w14:paraId="2BD68379" w14:textId="77777777" w:rsidR="009B342F" w:rsidRDefault="009B342F" w:rsidP="009B342F">
      <w:r>
        <w:t xml:space="preserve">The frequency of survey has changed </w:t>
      </w:r>
      <w:r w:rsidR="00954B71">
        <w:t>incrementally due to bu</w:t>
      </w:r>
      <w:r>
        <w:t>dgetary constraint</w:t>
      </w:r>
      <w:r w:rsidR="00954B71">
        <w:t>s</w:t>
      </w:r>
      <w:r>
        <w:t>. In 2005 and 2006 all MMP reefs were surveyed. From 2007 through to 2014</w:t>
      </w:r>
      <w:r w:rsidR="00954B71">
        <w:t xml:space="preserve"> a</w:t>
      </w:r>
      <w:r>
        <w:t xml:space="preserve"> subset of reefs at which there were </w:t>
      </w:r>
      <w:r w:rsidR="00954B71">
        <w:t>co-</w:t>
      </w:r>
      <w:r>
        <w:t>locat</w:t>
      </w:r>
      <w:r w:rsidR="00CA29DC">
        <w:t>ed water sampling sites (</w:t>
      </w:r>
      <w:r w:rsidR="00CA29DC" w:rsidRPr="00CA29DC">
        <w:fldChar w:fldCharType="begin"/>
      </w:r>
      <w:r w:rsidR="00CA29DC" w:rsidRPr="00CA29DC">
        <w:instrText xml:space="preserve"> REF _Ref460423522 \h </w:instrText>
      </w:r>
      <w:r w:rsidR="00CA29DC">
        <w:instrText xml:space="preserve"> \* MERGEFORMAT </w:instrText>
      </w:r>
      <w:r w:rsidR="00CA29DC" w:rsidRPr="00CA29DC">
        <w:fldChar w:fldCharType="separate"/>
      </w:r>
      <w:r w:rsidR="00B61881" w:rsidRPr="00B61881">
        <w:t>Table 1</w:t>
      </w:r>
      <w:r w:rsidR="00CA29DC" w:rsidRPr="00CA29DC">
        <w:fldChar w:fldCharType="end"/>
      </w:r>
      <w:r w:rsidRPr="00CA29DC">
        <w:t>,</w:t>
      </w:r>
      <w:r>
        <w:t xml:space="preserve"> section 4.2.1) were classified as “core”</w:t>
      </w:r>
      <w:r w:rsidR="00954B71">
        <w:t xml:space="preserve"> reefs and sampled</w:t>
      </w:r>
      <w:r>
        <w:t xml:space="preserve"> annually</w:t>
      </w:r>
      <w:r w:rsidR="00954B71">
        <w:t>. T</w:t>
      </w:r>
      <w:r>
        <w:t>he remaining reefs were classified as “cycle” and sampled only in altern</w:t>
      </w:r>
      <w:r w:rsidR="00954B71">
        <w:t>ate years with half sampled in o</w:t>
      </w:r>
      <w:r>
        <w:t>dd numbered years (i.e. 2009,</w:t>
      </w:r>
      <w:r w:rsidR="00954B71">
        <w:t xml:space="preserve"> </w:t>
      </w:r>
      <w:r w:rsidR="00457EB1">
        <w:t>2011 &amp;</w:t>
      </w:r>
      <w:r w:rsidR="00954B71">
        <w:t xml:space="preserve"> </w:t>
      </w:r>
      <w:r>
        <w:t>2013) and the remain</w:t>
      </w:r>
      <w:r w:rsidR="00954B71">
        <w:t>der</w:t>
      </w:r>
      <w:r>
        <w:t xml:space="preserve"> in even numbered years. When an acute disturbance was suspected to have impacted cycle reefs during the preceding summer they were resurveyed irrespective of their odd or even year classification so as to gain the best estimate of the impact of the acute event and bookend the start of the recovery period. From 2015 further funding reductions necessitated a move to sampling all reefs on a </w:t>
      </w:r>
      <w:r w:rsidR="006B6D8C">
        <w:t>biennial</w:t>
      </w:r>
      <w:r>
        <w:t xml:space="preserve"> cycle though a contingency</w:t>
      </w:r>
      <w:r w:rsidR="00162AE6">
        <w:t xml:space="preserve"> for the out-of-</w:t>
      </w:r>
      <w:r>
        <w:t>phase resampling of reefs impacted by acute disturbance was maintained.</w:t>
      </w:r>
    </w:p>
    <w:p w14:paraId="5F7E72E0" w14:textId="77777777" w:rsidR="00DA550A" w:rsidRDefault="00DA550A">
      <w:pPr>
        <w:jc w:val="left"/>
        <w:rPr>
          <w:rStyle w:val="Heading7Char"/>
          <w:rFonts w:eastAsia="SimSun"/>
        </w:rPr>
      </w:pPr>
      <w:r>
        <w:rPr>
          <w:rStyle w:val="Heading7Char"/>
          <w:rFonts w:eastAsia="SimSun"/>
        </w:rPr>
        <w:br w:type="page"/>
      </w:r>
    </w:p>
    <w:p w14:paraId="1109E4E1" w14:textId="77777777" w:rsidR="00B815F5" w:rsidRPr="003C3A1E" w:rsidRDefault="009142F0" w:rsidP="009142F0">
      <w:pPr>
        <w:pStyle w:val="Caption"/>
        <w:rPr>
          <w:rStyle w:val="IntenseReference"/>
          <w:rFonts w:eastAsia="SimSun"/>
        </w:rPr>
      </w:pPr>
      <w:bookmarkStart w:id="80" w:name="_Ref460423522"/>
      <w:bookmarkStart w:id="81" w:name="_Toc453855048"/>
      <w:r w:rsidRPr="007D12BE">
        <w:rPr>
          <w:rStyle w:val="Heading7Char"/>
          <w:rFonts w:eastAsia="SimSun"/>
        </w:rPr>
        <w:lastRenderedPageBreak/>
        <w:t xml:space="preserve">Table </w:t>
      </w:r>
      <w:r w:rsidR="005D2F9F" w:rsidRPr="007D12BE">
        <w:rPr>
          <w:rStyle w:val="Heading7Char"/>
          <w:rFonts w:eastAsia="SimSun"/>
        </w:rPr>
        <w:fldChar w:fldCharType="begin"/>
      </w:r>
      <w:r w:rsidR="005D2F9F" w:rsidRPr="007D12BE">
        <w:rPr>
          <w:rStyle w:val="Heading7Char"/>
          <w:rFonts w:eastAsia="SimSun"/>
        </w:rPr>
        <w:instrText xml:space="preserve"> SEQ Table \* ARABIC </w:instrText>
      </w:r>
      <w:r w:rsidR="005D2F9F" w:rsidRPr="007D12BE">
        <w:rPr>
          <w:rStyle w:val="Heading7Char"/>
          <w:rFonts w:eastAsia="SimSun"/>
        </w:rPr>
        <w:fldChar w:fldCharType="separate"/>
      </w:r>
      <w:r w:rsidR="00B61881">
        <w:rPr>
          <w:rStyle w:val="Heading7Char"/>
          <w:rFonts w:eastAsia="SimSun"/>
          <w:noProof/>
        </w:rPr>
        <w:t>1</w:t>
      </w:r>
      <w:r w:rsidR="005D2F9F" w:rsidRPr="007D12BE">
        <w:rPr>
          <w:rStyle w:val="Heading7Char"/>
          <w:rFonts w:eastAsia="SimSun"/>
        </w:rPr>
        <w:fldChar w:fldCharType="end"/>
      </w:r>
      <w:bookmarkEnd w:id="80"/>
      <w:r w:rsidR="00B815F5" w:rsidRPr="007D12BE">
        <w:rPr>
          <w:rStyle w:val="Heading7Char"/>
          <w:rFonts w:eastAsia="SimSun"/>
        </w:rPr>
        <w:t>: Sampling locations</w:t>
      </w:r>
      <w:r w:rsidR="00B815F5" w:rsidRPr="003C3A1E">
        <w:rPr>
          <w:rStyle w:val="Heading7Char"/>
          <w:rFonts w:eastAsia="SimSun"/>
        </w:rPr>
        <w:t>.</w:t>
      </w:r>
      <w:r w:rsidR="00B815F5" w:rsidRPr="00E670D1">
        <w:rPr>
          <w:rStyle w:val="IntenseReference"/>
          <w:rFonts w:eastAsia="SimSun"/>
        </w:rPr>
        <w:t xml:space="preserve"> </w:t>
      </w:r>
      <w:r w:rsidR="005E5E4B" w:rsidRPr="007D12BE">
        <w:rPr>
          <w:rStyle w:val="IntenseReference"/>
          <w:rFonts w:eastAsia="SimSun"/>
        </w:rPr>
        <w:t>Black symbols mark reefs surveyed as per sampling design, Grey symbols mark reefs out of schedule to assess disturbance</w:t>
      </w:r>
      <w:r w:rsidR="00B815F5" w:rsidRPr="007D12BE">
        <w:rPr>
          <w:rStyle w:val="IntenseReference"/>
          <w:rFonts w:eastAsia="SimSun"/>
        </w:rPr>
        <w:t>. At each reef surveys of juvenile coral densities, benthic cover estimates derived from photo point intercept transects and scuba searches for incidence of coral mortality are undertaken</w:t>
      </w:r>
      <w:r w:rsidR="00997278" w:rsidRPr="007D12BE">
        <w:rPr>
          <w:rStyle w:val="IntenseReference"/>
          <w:rFonts w:eastAsia="SimSun"/>
        </w:rPr>
        <w:t xml:space="preserve">. WQ, indicates reefs at which water quality monitoring is undertaken, * </w:t>
      </w:r>
      <w:r w:rsidR="00651AE0" w:rsidRPr="007D12BE">
        <w:rPr>
          <w:rStyle w:val="IntenseReference"/>
          <w:rFonts w:eastAsia="SimSun"/>
        </w:rPr>
        <w:t>indicates WQ was ceased in 2014, and ** indicates WQ was begun in 2015.</w:t>
      </w:r>
      <w:bookmarkEnd w:id="81"/>
      <w:r w:rsidR="00B815F5" w:rsidRPr="003C3A1E">
        <w:rPr>
          <w:rStyle w:val="IntenseReference"/>
          <w:rFonts w:eastAsia="SimSun"/>
        </w:rPr>
        <w:t xml:space="preserve"> </w:t>
      </w:r>
    </w:p>
    <w:tbl>
      <w:tblPr>
        <w:tblStyle w:val="TableGrid"/>
        <w:tblW w:w="9889" w:type="dxa"/>
        <w:tblLayout w:type="fixed"/>
        <w:tblLook w:val="04A0" w:firstRow="1" w:lastRow="0" w:firstColumn="1" w:lastColumn="0" w:noHBand="0" w:noVBand="1"/>
        <w:tblCaption w:val="Table 1: Sampling locations"/>
        <w:tblDescription w:val="Table 1: Sampling locations. Black symbols mark reefs surveyed as per sampling design, Grey symbols mark reefs out of schedule to assess disturbance. At each reef surveys of juvenile coral densities, benthic cover estimates derived from photo point intercept transects and scuba searches for incidence of coral mortality are undertaken. WQ, indicates reefs at which water quality monitoring is undertaken, * indicates WQ was ceased in 2014, and ** indicates WQ was begun in 2015. "/>
      </w:tblPr>
      <w:tblGrid>
        <w:gridCol w:w="817"/>
        <w:gridCol w:w="1153"/>
        <w:gridCol w:w="2391"/>
        <w:gridCol w:w="850"/>
        <w:gridCol w:w="426"/>
        <w:gridCol w:w="425"/>
        <w:gridCol w:w="425"/>
        <w:gridCol w:w="425"/>
        <w:gridCol w:w="426"/>
        <w:gridCol w:w="425"/>
        <w:gridCol w:w="425"/>
        <w:gridCol w:w="425"/>
        <w:gridCol w:w="426"/>
        <w:gridCol w:w="425"/>
        <w:gridCol w:w="425"/>
      </w:tblGrid>
      <w:tr w:rsidR="00651AE0" w14:paraId="2239E2A5" w14:textId="77777777" w:rsidTr="00CB5B8A">
        <w:trPr>
          <w:cantSplit/>
          <w:trHeight w:val="1067"/>
          <w:tblHeader/>
        </w:trPr>
        <w:tc>
          <w:tcPr>
            <w:tcW w:w="817" w:type="dxa"/>
            <w:textDirection w:val="btLr"/>
            <w:vAlign w:val="center"/>
          </w:tcPr>
          <w:p w14:paraId="439E35A0" w14:textId="77777777" w:rsidR="00651AE0" w:rsidRPr="003C3A1E" w:rsidRDefault="00651AE0" w:rsidP="00651AE0">
            <w:pPr>
              <w:ind w:left="113" w:right="113"/>
              <w:jc w:val="center"/>
              <w:rPr>
                <w:rStyle w:val="IntenseReference"/>
              </w:rPr>
            </w:pPr>
            <w:r w:rsidRPr="003C3A1E">
              <w:rPr>
                <w:rStyle w:val="IntenseReference"/>
              </w:rPr>
              <w:t>Region</w:t>
            </w:r>
          </w:p>
        </w:tc>
        <w:tc>
          <w:tcPr>
            <w:tcW w:w="1153" w:type="dxa"/>
            <w:textDirection w:val="btLr"/>
            <w:vAlign w:val="center"/>
          </w:tcPr>
          <w:p w14:paraId="277C0335" w14:textId="77777777" w:rsidR="00651AE0" w:rsidRPr="003C3A1E" w:rsidRDefault="00651AE0" w:rsidP="00651AE0">
            <w:pPr>
              <w:ind w:left="113" w:right="113"/>
              <w:jc w:val="center"/>
              <w:rPr>
                <w:rStyle w:val="IntenseReference"/>
              </w:rPr>
            </w:pPr>
            <w:r w:rsidRPr="003C3A1E">
              <w:rPr>
                <w:rStyle w:val="IntenseReference"/>
              </w:rPr>
              <w:t>Sub Region</w:t>
            </w:r>
          </w:p>
        </w:tc>
        <w:tc>
          <w:tcPr>
            <w:tcW w:w="2391" w:type="dxa"/>
            <w:vAlign w:val="center"/>
          </w:tcPr>
          <w:p w14:paraId="5B93D80D" w14:textId="77777777" w:rsidR="00651AE0" w:rsidRPr="003C3A1E" w:rsidRDefault="00651AE0" w:rsidP="00651AE0">
            <w:pPr>
              <w:jc w:val="center"/>
              <w:rPr>
                <w:rStyle w:val="IntenseReference"/>
              </w:rPr>
            </w:pPr>
            <w:r w:rsidRPr="003C3A1E">
              <w:rPr>
                <w:rStyle w:val="IntenseReference"/>
              </w:rPr>
              <w:t>Reef</w:t>
            </w:r>
          </w:p>
        </w:tc>
        <w:tc>
          <w:tcPr>
            <w:tcW w:w="850" w:type="dxa"/>
            <w:textDirection w:val="btLr"/>
            <w:vAlign w:val="center"/>
          </w:tcPr>
          <w:p w14:paraId="51D455B8" w14:textId="77777777" w:rsidR="00651AE0" w:rsidRPr="003C3A1E" w:rsidRDefault="00651AE0" w:rsidP="00651AE0">
            <w:pPr>
              <w:ind w:left="113" w:right="113"/>
              <w:jc w:val="center"/>
              <w:rPr>
                <w:rStyle w:val="IntenseReference"/>
              </w:rPr>
            </w:pPr>
            <w:r w:rsidRPr="003C3A1E">
              <w:rPr>
                <w:rStyle w:val="IntenseReference"/>
              </w:rPr>
              <w:t>Program</w:t>
            </w:r>
          </w:p>
        </w:tc>
        <w:tc>
          <w:tcPr>
            <w:tcW w:w="426" w:type="dxa"/>
            <w:textDirection w:val="btLr"/>
            <w:vAlign w:val="center"/>
          </w:tcPr>
          <w:p w14:paraId="59E95C5E" w14:textId="77777777" w:rsidR="00651AE0" w:rsidRPr="003C3A1E" w:rsidRDefault="00651AE0" w:rsidP="00651AE0">
            <w:pPr>
              <w:ind w:left="113" w:right="113"/>
              <w:jc w:val="center"/>
              <w:rPr>
                <w:rStyle w:val="IntenseReference"/>
              </w:rPr>
            </w:pPr>
            <w:r w:rsidRPr="003C3A1E">
              <w:rPr>
                <w:rStyle w:val="IntenseReference"/>
              </w:rPr>
              <w:t>2005</w:t>
            </w:r>
          </w:p>
        </w:tc>
        <w:tc>
          <w:tcPr>
            <w:tcW w:w="425" w:type="dxa"/>
            <w:textDirection w:val="btLr"/>
            <w:vAlign w:val="center"/>
          </w:tcPr>
          <w:p w14:paraId="68896AE5" w14:textId="77777777" w:rsidR="00651AE0" w:rsidRPr="003C3A1E" w:rsidRDefault="00651AE0" w:rsidP="00651AE0">
            <w:pPr>
              <w:ind w:left="113" w:right="113"/>
              <w:jc w:val="center"/>
              <w:rPr>
                <w:rStyle w:val="IntenseReference"/>
              </w:rPr>
            </w:pPr>
            <w:r w:rsidRPr="003C3A1E">
              <w:rPr>
                <w:rStyle w:val="IntenseReference"/>
              </w:rPr>
              <w:t>2006</w:t>
            </w:r>
          </w:p>
        </w:tc>
        <w:tc>
          <w:tcPr>
            <w:tcW w:w="425" w:type="dxa"/>
            <w:textDirection w:val="btLr"/>
            <w:vAlign w:val="center"/>
          </w:tcPr>
          <w:p w14:paraId="7AD6D0D8" w14:textId="77777777" w:rsidR="00651AE0" w:rsidRPr="003C3A1E" w:rsidRDefault="00651AE0" w:rsidP="00651AE0">
            <w:pPr>
              <w:ind w:left="113" w:right="113"/>
              <w:jc w:val="center"/>
              <w:rPr>
                <w:rStyle w:val="IntenseReference"/>
              </w:rPr>
            </w:pPr>
            <w:r w:rsidRPr="003C3A1E">
              <w:rPr>
                <w:rStyle w:val="IntenseReference"/>
              </w:rPr>
              <w:t>2007</w:t>
            </w:r>
          </w:p>
        </w:tc>
        <w:tc>
          <w:tcPr>
            <w:tcW w:w="425" w:type="dxa"/>
            <w:textDirection w:val="btLr"/>
            <w:vAlign w:val="center"/>
          </w:tcPr>
          <w:p w14:paraId="1E16DFC3" w14:textId="77777777" w:rsidR="00651AE0" w:rsidRPr="003C3A1E" w:rsidRDefault="00651AE0" w:rsidP="00651AE0">
            <w:pPr>
              <w:ind w:left="113" w:right="113"/>
              <w:jc w:val="center"/>
              <w:rPr>
                <w:rStyle w:val="IntenseReference"/>
              </w:rPr>
            </w:pPr>
            <w:r w:rsidRPr="003C3A1E">
              <w:rPr>
                <w:rStyle w:val="IntenseReference"/>
              </w:rPr>
              <w:t>2008</w:t>
            </w:r>
          </w:p>
        </w:tc>
        <w:tc>
          <w:tcPr>
            <w:tcW w:w="426" w:type="dxa"/>
            <w:textDirection w:val="btLr"/>
            <w:vAlign w:val="center"/>
          </w:tcPr>
          <w:p w14:paraId="6E9307E4" w14:textId="77777777" w:rsidR="00651AE0" w:rsidRPr="003C3A1E" w:rsidRDefault="00651AE0" w:rsidP="00651AE0">
            <w:pPr>
              <w:ind w:left="113" w:right="113"/>
              <w:jc w:val="center"/>
              <w:rPr>
                <w:rStyle w:val="IntenseReference"/>
              </w:rPr>
            </w:pPr>
            <w:r w:rsidRPr="003C3A1E">
              <w:rPr>
                <w:rStyle w:val="IntenseReference"/>
              </w:rPr>
              <w:t>2009</w:t>
            </w:r>
          </w:p>
        </w:tc>
        <w:tc>
          <w:tcPr>
            <w:tcW w:w="425" w:type="dxa"/>
            <w:textDirection w:val="btLr"/>
            <w:vAlign w:val="center"/>
          </w:tcPr>
          <w:p w14:paraId="19A29DAE" w14:textId="77777777" w:rsidR="00651AE0" w:rsidRPr="003C3A1E" w:rsidRDefault="00651AE0" w:rsidP="00651AE0">
            <w:pPr>
              <w:ind w:left="113" w:right="113"/>
              <w:jc w:val="center"/>
              <w:rPr>
                <w:rStyle w:val="IntenseReference"/>
              </w:rPr>
            </w:pPr>
            <w:r w:rsidRPr="003C3A1E">
              <w:rPr>
                <w:rStyle w:val="IntenseReference"/>
              </w:rPr>
              <w:t>2010</w:t>
            </w:r>
          </w:p>
        </w:tc>
        <w:tc>
          <w:tcPr>
            <w:tcW w:w="425" w:type="dxa"/>
            <w:textDirection w:val="btLr"/>
            <w:vAlign w:val="center"/>
          </w:tcPr>
          <w:p w14:paraId="0E87ECC3" w14:textId="77777777" w:rsidR="00651AE0" w:rsidRPr="003C3A1E" w:rsidRDefault="00651AE0" w:rsidP="00651AE0">
            <w:pPr>
              <w:ind w:left="113" w:right="113"/>
              <w:jc w:val="center"/>
              <w:rPr>
                <w:rStyle w:val="IntenseReference"/>
              </w:rPr>
            </w:pPr>
            <w:r w:rsidRPr="003C3A1E">
              <w:rPr>
                <w:rStyle w:val="IntenseReference"/>
              </w:rPr>
              <w:t>2011</w:t>
            </w:r>
          </w:p>
        </w:tc>
        <w:tc>
          <w:tcPr>
            <w:tcW w:w="425" w:type="dxa"/>
            <w:textDirection w:val="btLr"/>
            <w:vAlign w:val="center"/>
          </w:tcPr>
          <w:p w14:paraId="0F92B26F" w14:textId="77777777" w:rsidR="00651AE0" w:rsidRPr="003C3A1E" w:rsidRDefault="00651AE0" w:rsidP="00651AE0">
            <w:pPr>
              <w:ind w:left="113" w:right="113"/>
              <w:jc w:val="center"/>
              <w:rPr>
                <w:rStyle w:val="IntenseReference"/>
              </w:rPr>
            </w:pPr>
            <w:r w:rsidRPr="003C3A1E">
              <w:rPr>
                <w:rStyle w:val="IntenseReference"/>
              </w:rPr>
              <w:t>2012</w:t>
            </w:r>
          </w:p>
        </w:tc>
        <w:tc>
          <w:tcPr>
            <w:tcW w:w="426" w:type="dxa"/>
            <w:textDirection w:val="btLr"/>
            <w:vAlign w:val="center"/>
          </w:tcPr>
          <w:p w14:paraId="09D40BA4" w14:textId="77777777" w:rsidR="00651AE0" w:rsidRPr="003C3A1E" w:rsidRDefault="00651AE0" w:rsidP="00651AE0">
            <w:pPr>
              <w:ind w:left="113" w:right="113"/>
              <w:jc w:val="center"/>
              <w:rPr>
                <w:rStyle w:val="IntenseReference"/>
              </w:rPr>
            </w:pPr>
            <w:r w:rsidRPr="003C3A1E">
              <w:rPr>
                <w:rStyle w:val="IntenseReference"/>
              </w:rPr>
              <w:t>2013</w:t>
            </w:r>
          </w:p>
        </w:tc>
        <w:tc>
          <w:tcPr>
            <w:tcW w:w="425" w:type="dxa"/>
            <w:textDirection w:val="btLr"/>
            <w:vAlign w:val="center"/>
          </w:tcPr>
          <w:p w14:paraId="26CF58B6" w14:textId="77777777" w:rsidR="00651AE0" w:rsidRPr="003C3A1E" w:rsidRDefault="00651AE0" w:rsidP="00651AE0">
            <w:pPr>
              <w:ind w:left="113" w:right="113"/>
              <w:jc w:val="center"/>
              <w:rPr>
                <w:rStyle w:val="IntenseReference"/>
              </w:rPr>
            </w:pPr>
            <w:r w:rsidRPr="003C3A1E">
              <w:rPr>
                <w:rStyle w:val="IntenseReference"/>
              </w:rPr>
              <w:t>2014</w:t>
            </w:r>
          </w:p>
        </w:tc>
        <w:tc>
          <w:tcPr>
            <w:tcW w:w="425" w:type="dxa"/>
            <w:textDirection w:val="btLr"/>
            <w:vAlign w:val="center"/>
          </w:tcPr>
          <w:p w14:paraId="7B8B188D" w14:textId="77777777" w:rsidR="00651AE0" w:rsidRPr="003C3A1E" w:rsidRDefault="00651AE0" w:rsidP="00651AE0">
            <w:pPr>
              <w:ind w:left="113" w:right="113"/>
              <w:jc w:val="center"/>
              <w:rPr>
                <w:rStyle w:val="IntenseReference"/>
              </w:rPr>
            </w:pPr>
            <w:r w:rsidRPr="003C3A1E">
              <w:rPr>
                <w:rStyle w:val="IntenseReference"/>
              </w:rPr>
              <w:t>2015</w:t>
            </w:r>
          </w:p>
        </w:tc>
      </w:tr>
      <w:tr w:rsidR="00613E31" w14:paraId="7C3CE2F7" w14:textId="77777777" w:rsidTr="00613E31">
        <w:tc>
          <w:tcPr>
            <w:tcW w:w="817" w:type="dxa"/>
            <w:vMerge w:val="restart"/>
            <w:vAlign w:val="center"/>
          </w:tcPr>
          <w:p w14:paraId="21B88C84" w14:textId="77777777" w:rsidR="00613E31" w:rsidRPr="003C3A1E" w:rsidRDefault="00613E31" w:rsidP="00613E31">
            <w:pPr>
              <w:jc w:val="center"/>
              <w:rPr>
                <w:rStyle w:val="IntenseReference"/>
              </w:rPr>
            </w:pPr>
            <w:r w:rsidRPr="003C3A1E">
              <w:rPr>
                <w:rStyle w:val="IntenseReference"/>
              </w:rPr>
              <w:t>Wet Tropics</w:t>
            </w:r>
          </w:p>
        </w:tc>
        <w:tc>
          <w:tcPr>
            <w:tcW w:w="1153" w:type="dxa"/>
            <w:vMerge w:val="restart"/>
            <w:vAlign w:val="center"/>
          </w:tcPr>
          <w:p w14:paraId="3FF35CC0" w14:textId="77777777" w:rsidR="00613E31" w:rsidRPr="003C3A1E" w:rsidRDefault="00613E31" w:rsidP="00613E31">
            <w:pPr>
              <w:jc w:val="center"/>
              <w:rPr>
                <w:rStyle w:val="IntenseReference"/>
              </w:rPr>
            </w:pPr>
            <w:r w:rsidRPr="003C3A1E">
              <w:rPr>
                <w:rStyle w:val="IntenseReference"/>
              </w:rPr>
              <w:t>Barron Daintree</w:t>
            </w:r>
          </w:p>
        </w:tc>
        <w:tc>
          <w:tcPr>
            <w:tcW w:w="2391" w:type="dxa"/>
            <w:vAlign w:val="bottom"/>
          </w:tcPr>
          <w:p w14:paraId="7639FF73" w14:textId="77777777" w:rsidR="00613E31" w:rsidRPr="003C3A1E" w:rsidRDefault="00613E31" w:rsidP="00B815F5">
            <w:pPr>
              <w:rPr>
                <w:rStyle w:val="IntenseReference"/>
              </w:rPr>
            </w:pPr>
            <w:r w:rsidRPr="003C3A1E">
              <w:rPr>
                <w:rStyle w:val="IntenseReference"/>
              </w:rPr>
              <w:t>Cape Tribulation North</w:t>
            </w:r>
          </w:p>
        </w:tc>
        <w:tc>
          <w:tcPr>
            <w:tcW w:w="850" w:type="dxa"/>
          </w:tcPr>
          <w:p w14:paraId="2A09C67B" w14:textId="77777777" w:rsidR="00613E31" w:rsidRPr="003C3A1E" w:rsidRDefault="00613E31" w:rsidP="00B815F5">
            <w:pPr>
              <w:rPr>
                <w:rStyle w:val="IntenseReference"/>
              </w:rPr>
            </w:pPr>
            <w:r w:rsidRPr="003C3A1E">
              <w:rPr>
                <w:rStyle w:val="IntenseReference"/>
              </w:rPr>
              <w:t>MMP</w:t>
            </w:r>
          </w:p>
        </w:tc>
        <w:tc>
          <w:tcPr>
            <w:tcW w:w="426" w:type="dxa"/>
          </w:tcPr>
          <w:p w14:paraId="54101F25"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987ACB4"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34F93C33" w14:textId="77777777" w:rsidR="00613E31" w:rsidRPr="00651AE0" w:rsidRDefault="00613E31" w:rsidP="00B815F5">
            <w:pPr>
              <w:rPr>
                <w:rFonts w:ascii="Arial Narrow" w:hAnsi="Arial Narrow" w:cs="Arial"/>
                <w:sz w:val="22"/>
                <w:szCs w:val="22"/>
              </w:rPr>
            </w:pPr>
          </w:p>
        </w:tc>
        <w:tc>
          <w:tcPr>
            <w:tcW w:w="425" w:type="dxa"/>
          </w:tcPr>
          <w:p w14:paraId="58873CF4" w14:textId="77777777" w:rsidR="00613E31" w:rsidRPr="00651AE0" w:rsidRDefault="00613E31" w:rsidP="00B815F5">
            <w:pPr>
              <w:rPr>
                <w:rFonts w:ascii="Arial Narrow" w:hAnsi="Arial Narrow" w:cs="Arial"/>
                <w:sz w:val="22"/>
                <w:szCs w:val="22"/>
              </w:rPr>
            </w:pPr>
          </w:p>
        </w:tc>
        <w:tc>
          <w:tcPr>
            <w:tcW w:w="426" w:type="dxa"/>
          </w:tcPr>
          <w:p w14:paraId="573A40F8" w14:textId="77777777" w:rsidR="00613E31" w:rsidRPr="00651AE0" w:rsidRDefault="00613E31" w:rsidP="00B815F5">
            <w:pPr>
              <w:rPr>
                <w:rFonts w:ascii="Arial Narrow" w:hAnsi="Arial Narrow" w:cs="Arial"/>
                <w:sz w:val="22"/>
                <w:szCs w:val="22"/>
              </w:rPr>
            </w:pPr>
          </w:p>
        </w:tc>
        <w:tc>
          <w:tcPr>
            <w:tcW w:w="425" w:type="dxa"/>
          </w:tcPr>
          <w:p w14:paraId="70DB4C3F" w14:textId="77777777" w:rsidR="00613E31" w:rsidRPr="00651AE0" w:rsidRDefault="00613E31" w:rsidP="00B815F5">
            <w:pPr>
              <w:rPr>
                <w:rFonts w:ascii="Arial Narrow" w:hAnsi="Arial Narrow" w:cs="Arial"/>
                <w:sz w:val="22"/>
                <w:szCs w:val="22"/>
              </w:rPr>
            </w:pPr>
          </w:p>
        </w:tc>
        <w:tc>
          <w:tcPr>
            <w:tcW w:w="425" w:type="dxa"/>
          </w:tcPr>
          <w:p w14:paraId="28090B25" w14:textId="77777777" w:rsidR="00613E31" w:rsidRPr="00651AE0" w:rsidRDefault="00613E31" w:rsidP="00B815F5">
            <w:pPr>
              <w:rPr>
                <w:rFonts w:ascii="Arial Narrow" w:hAnsi="Arial Narrow" w:cs="Arial"/>
                <w:szCs w:val="22"/>
              </w:rPr>
            </w:pPr>
          </w:p>
        </w:tc>
        <w:tc>
          <w:tcPr>
            <w:tcW w:w="425" w:type="dxa"/>
          </w:tcPr>
          <w:p w14:paraId="7DFD4076" w14:textId="77777777" w:rsidR="00613E31" w:rsidRPr="00651AE0" w:rsidRDefault="00613E31" w:rsidP="00B815F5">
            <w:pPr>
              <w:rPr>
                <w:rFonts w:ascii="Arial Narrow" w:hAnsi="Arial Narrow" w:cs="Arial"/>
                <w:szCs w:val="22"/>
              </w:rPr>
            </w:pPr>
          </w:p>
        </w:tc>
        <w:tc>
          <w:tcPr>
            <w:tcW w:w="426" w:type="dxa"/>
          </w:tcPr>
          <w:p w14:paraId="779EEDA5" w14:textId="77777777" w:rsidR="00613E31" w:rsidRPr="00651AE0" w:rsidRDefault="00613E31" w:rsidP="00B815F5">
            <w:pPr>
              <w:rPr>
                <w:rFonts w:ascii="Arial Narrow" w:hAnsi="Arial Narrow" w:cs="Arial"/>
                <w:szCs w:val="22"/>
              </w:rPr>
            </w:pPr>
          </w:p>
        </w:tc>
        <w:tc>
          <w:tcPr>
            <w:tcW w:w="425" w:type="dxa"/>
          </w:tcPr>
          <w:p w14:paraId="270FB9AC" w14:textId="77777777" w:rsidR="00613E31" w:rsidRPr="00651AE0" w:rsidRDefault="00613E31" w:rsidP="00B815F5">
            <w:pPr>
              <w:rPr>
                <w:rFonts w:ascii="Arial Narrow" w:hAnsi="Arial Narrow" w:cs="Arial"/>
                <w:szCs w:val="22"/>
              </w:rPr>
            </w:pPr>
          </w:p>
        </w:tc>
        <w:tc>
          <w:tcPr>
            <w:tcW w:w="425" w:type="dxa"/>
          </w:tcPr>
          <w:p w14:paraId="2152B029" w14:textId="77777777" w:rsidR="00613E31" w:rsidRPr="00651AE0" w:rsidRDefault="00613E31" w:rsidP="00B815F5">
            <w:pPr>
              <w:rPr>
                <w:rFonts w:ascii="Arial Narrow" w:hAnsi="Arial Narrow" w:cs="Arial"/>
                <w:szCs w:val="22"/>
              </w:rPr>
            </w:pPr>
          </w:p>
        </w:tc>
      </w:tr>
      <w:tr w:rsidR="00613E31" w14:paraId="0AAD5304" w14:textId="77777777" w:rsidTr="00613E31">
        <w:tc>
          <w:tcPr>
            <w:tcW w:w="817" w:type="dxa"/>
            <w:vMerge/>
            <w:vAlign w:val="center"/>
          </w:tcPr>
          <w:p w14:paraId="46DC2846" w14:textId="77777777" w:rsidR="00613E31" w:rsidRPr="003C3A1E" w:rsidRDefault="00613E31" w:rsidP="00613E31">
            <w:pPr>
              <w:jc w:val="center"/>
              <w:rPr>
                <w:rStyle w:val="IntenseReference"/>
              </w:rPr>
            </w:pPr>
          </w:p>
        </w:tc>
        <w:tc>
          <w:tcPr>
            <w:tcW w:w="1153" w:type="dxa"/>
            <w:vMerge/>
            <w:vAlign w:val="center"/>
          </w:tcPr>
          <w:p w14:paraId="0701D9BA" w14:textId="77777777" w:rsidR="00613E31" w:rsidRPr="003C3A1E" w:rsidRDefault="00613E31" w:rsidP="00613E31">
            <w:pPr>
              <w:jc w:val="center"/>
              <w:rPr>
                <w:rStyle w:val="IntenseReference"/>
              </w:rPr>
            </w:pPr>
          </w:p>
        </w:tc>
        <w:tc>
          <w:tcPr>
            <w:tcW w:w="2391" w:type="dxa"/>
            <w:vAlign w:val="bottom"/>
          </w:tcPr>
          <w:p w14:paraId="6D0A754E" w14:textId="77777777" w:rsidR="00613E31" w:rsidRPr="003C3A1E" w:rsidRDefault="00613E31" w:rsidP="00B815F5">
            <w:pPr>
              <w:rPr>
                <w:rStyle w:val="IntenseReference"/>
              </w:rPr>
            </w:pPr>
            <w:r w:rsidRPr="003C3A1E">
              <w:rPr>
                <w:rStyle w:val="IntenseReference"/>
              </w:rPr>
              <w:t>Cape Tribulation Mid</w:t>
            </w:r>
          </w:p>
        </w:tc>
        <w:tc>
          <w:tcPr>
            <w:tcW w:w="850" w:type="dxa"/>
          </w:tcPr>
          <w:p w14:paraId="45432F24" w14:textId="77777777" w:rsidR="00613E31" w:rsidRPr="003C3A1E" w:rsidRDefault="00613E31" w:rsidP="00B815F5">
            <w:pPr>
              <w:rPr>
                <w:rStyle w:val="IntenseReference"/>
              </w:rPr>
            </w:pPr>
            <w:r w:rsidRPr="003C3A1E">
              <w:rPr>
                <w:rStyle w:val="IntenseReference"/>
              </w:rPr>
              <w:t>MMP</w:t>
            </w:r>
          </w:p>
        </w:tc>
        <w:tc>
          <w:tcPr>
            <w:tcW w:w="426" w:type="dxa"/>
          </w:tcPr>
          <w:p w14:paraId="3D745105"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3254F799"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0AB66B4" w14:textId="77777777" w:rsidR="00613E31" w:rsidRPr="00651AE0" w:rsidRDefault="00613E31" w:rsidP="00B815F5">
            <w:pPr>
              <w:rPr>
                <w:rFonts w:ascii="Arial Narrow" w:hAnsi="Arial Narrow" w:cs="Arial"/>
                <w:sz w:val="22"/>
                <w:szCs w:val="22"/>
              </w:rPr>
            </w:pPr>
          </w:p>
        </w:tc>
        <w:tc>
          <w:tcPr>
            <w:tcW w:w="425" w:type="dxa"/>
          </w:tcPr>
          <w:p w14:paraId="4A8FAAC2" w14:textId="77777777" w:rsidR="00613E31" w:rsidRPr="00651AE0" w:rsidRDefault="00613E31" w:rsidP="00B815F5">
            <w:pPr>
              <w:rPr>
                <w:rFonts w:ascii="Arial Narrow" w:hAnsi="Arial Narrow" w:cs="Arial"/>
                <w:sz w:val="22"/>
                <w:szCs w:val="22"/>
              </w:rPr>
            </w:pPr>
          </w:p>
        </w:tc>
        <w:tc>
          <w:tcPr>
            <w:tcW w:w="426" w:type="dxa"/>
          </w:tcPr>
          <w:p w14:paraId="0496A421" w14:textId="77777777" w:rsidR="00613E31" w:rsidRPr="00651AE0" w:rsidRDefault="00613E31" w:rsidP="00B815F5">
            <w:pPr>
              <w:rPr>
                <w:rFonts w:ascii="Arial Narrow" w:hAnsi="Arial Narrow" w:cs="Arial"/>
                <w:sz w:val="22"/>
                <w:szCs w:val="22"/>
              </w:rPr>
            </w:pPr>
          </w:p>
        </w:tc>
        <w:tc>
          <w:tcPr>
            <w:tcW w:w="425" w:type="dxa"/>
          </w:tcPr>
          <w:p w14:paraId="22234827" w14:textId="77777777" w:rsidR="00613E31" w:rsidRPr="00651AE0" w:rsidRDefault="00613E31" w:rsidP="00B815F5">
            <w:pPr>
              <w:rPr>
                <w:rFonts w:ascii="Arial Narrow" w:hAnsi="Arial Narrow" w:cs="Arial"/>
                <w:sz w:val="22"/>
                <w:szCs w:val="22"/>
              </w:rPr>
            </w:pPr>
          </w:p>
        </w:tc>
        <w:tc>
          <w:tcPr>
            <w:tcW w:w="425" w:type="dxa"/>
          </w:tcPr>
          <w:p w14:paraId="3E93C28E" w14:textId="77777777" w:rsidR="00613E31" w:rsidRPr="00651AE0" w:rsidRDefault="00613E31" w:rsidP="00B815F5">
            <w:pPr>
              <w:rPr>
                <w:rFonts w:ascii="Arial Narrow" w:hAnsi="Arial Narrow" w:cs="Arial"/>
                <w:szCs w:val="22"/>
              </w:rPr>
            </w:pPr>
          </w:p>
        </w:tc>
        <w:tc>
          <w:tcPr>
            <w:tcW w:w="425" w:type="dxa"/>
          </w:tcPr>
          <w:p w14:paraId="459B98E1" w14:textId="77777777" w:rsidR="00613E31" w:rsidRPr="00651AE0" w:rsidRDefault="00613E31" w:rsidP="00B815F5">
            <w:pPr>
              <w:rPr>
                <w:rFonts w:ascii="Arial Narrow" w:hAnsi="Arial Narrow" w:cs="Arial"/>
                <w:szCs w:val="22"/>
              </w:rPr>
            </w:pPr>
          </w:p>
        </w:tc>
        <w:tc>
          <w:tcPr>
            <w:tcW w:w="426" w:type="dxa"/>
          </w:tcPr>
          <w:p w14:paraId="7D44BAAA" w14:textId="77777777" w:rsidR="00613E31" w:rsidRPr="00651AE0" w:rsidRDefault="00613E31" w:rsidP="00B815F5">
            <w:pPr>
              <w:rPr>
                <w:rFonts w:ascii="Arial Narrow" w:hAnsi="Arial Narrow" w:cs="Arial"/>
                <w:szCs w:val="22"/>
              </w:rPr>
            </w:pPr>
          </w:p>
        </w:tc>
        <w:tc>
          <w:tcPr>
            <w:tcW w:w="425" w:type="dxa"/>
          </w:tcPr>
          <w:p w14:paraId="50B9FE2C" w14:textId="77777777" w:rsidR="00613E31" w:rsidRPr="00651AE0" w:rsidRDefault="00613E31" w:rsidP="00B815F5">
            <w:pPr>
              <w:rPr>
                <w:rFonts w:ascii="Arial Narrow" w:hAnsi="Arial Narrow" w:cs="Arial"/>
                <w:szCs w:val="22"/>
              </w:rPr>
            </w:pPr>
          </w:p>
        </w:tc>
        <w:tc>
          <w:tcPr>
            <w:tcW w:w="425" w:type="dxa"/>
          </w:tcPr>
          <w:p w14:paraId="0A58C5EA" w14:textId="77777777" w:rsidR="00613E31" w:rsidRPr="00651AE0" w:rsidRDefault="00613E31" w:rsidP="00B815F5">
            <w:pPr>
              <w:rPr>
                <w:rFonts w:ascii="Arial Narrow" w:hAnsi="Arial Narrow" w:cs="Arial"/>
                <w:szCs w:val="22"/>
              </w:rPr>
            </w:pPr>
          </w:p>
        </w:tc>
      </w:tr>
      <w:tr w:rsidR="00613E31" w14:paraId="3B0619FC" w14:textId="77777777" w:rsidTr="00613E31">
        <w:tc>
          <w:tcPr>
            <w:tcW w:w="817" w:type="dxa"/>
            <w:vMerge/>
            <w:vAlign w:val="center"/>
          </w:tcPr>
          <w:p w14:paraId="36566BFD" w14:textId="77777777" w:rsidR="00613E31" w:rsidRPr="003C3A1E" w:rsidRDefault="00613E31" w:rsidP="00613E31">
            <w:pPr>
              <w:jc w:val="center"/>
              <w:rPr>
                <w:rStyle w:val="IntenseReference"/>
              </w:rPr>
            </w:pPr>
          </w:p>
        </w:tc>
        <w:tc>
          <w:tcPr>
            <w:tcW w:w="1153" w:type="dxa"/>
            <w:vMerge/>
            <w:vAlign w:val="center"/>
          </w:tcPr>
          <w:p w14:paraId="2C7990D8" w14:textId="77777777" w:rsidR="00613E31" w:rsidRPr="003C3A1E" w:rsidRDefault="00613E31" w:rsidP="00613E31">
            <w:pPr>
              <w:jc w:val="center"/>
              <w:rPr>
                <w:rStyle w:val="IntenseReference"/>
              </w:rPr>
            </w:pPr>
          </w:p>
        </w:tc>
        <w:tc>
          <w:tcPr>
            <w:tcW w:w="2391" w:type="dxa"/>
            <w:vAlign w:val="bottom"/>
          </w:tcPr>
          <w:p w14:paraId="4EB67055" w14:textId="77777777" w:rsidR="00613E31" w:rsidRPr="003C3A1E" w:rsidRDefault="00613E31" w:rsidP="00B815F5">
            <w:pPr>
              <w:rPr>
                <w:rStyle w:val="IntenseReference"/>
              </w:rPr>
            </w:pPr>
            <w:r w:rsidRPr="003C3A1E">
              <w:rPr>
                <w:rStyle w:val="IntenseReference"/>
              </w:rPr>
              <w:t>Cape Tribulation South</w:t>
            </w:r>
          </w:p>
        </w:tc>
        <w:tc>
          <w:tcPr>
            <w:tcW w:w="850" w:type="dxa"/>
          </w:tcPr>
          <w:p w14:paraId="480039C1" w14:textId="77777777" w:rsidR="00613E31" w:rsidRPr="003C3A1E" w:rsidRDefault="00613E31" w:rsidP="00B815F5">
            <w:pPr>
              <w:rPr>
                <w:rStyle w:val="IntenseReference"/>
              </w:rPr>
            </w:pPr>
            <w:r w:rsidRPr="003C3A1E">
              <w:rPr>
                <w:rStyle w:val="IntenseReference"/>
              </w:rPr>
              <w:t>MMP</w:t>
            </w:r>
          </w:p>
        </w:tc>
        <w:tc>
          <w:tcPr>
            <w:tcW w:w="426" w:type="dxa"/>
          </w:tcPr>
          <w:p w14:paraId="4BB488E3"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67F45C41"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24842A1E" w14:textId="77777777" w:rsidR="00613E31" w:rsidRPr="00651AE0" w:rsidRDefault="00613E31" w:rsidP="00B815F5">
            <w:pPr>
              <w:rPr>
                <w:rFonts w:ascii="Arial Narrow" w:hAnsi="Arial Narrow" w:cs="Arial"/>
                <w:sz w:val="22"/>
                <w:szCs w:val="22"/>
              </w:rPr>
            </w:pPr>
          </w:p>
        </w:tc>
        <w:tc>
          <w:tcPr>
            <w:tcW w:w="425" w:type="dxa"/>
          </w:tcPr>
          <w:p w14:paraId="7D508814" w14:textId="77777777" w:rsidR="00613E31" w:rsidRPr="00651AE0" w:rsidRDefault="00613E31" w:rsidP="00B815F5">
            <w:pPr>
              <w:rPr>
                <w:rFonts w:ascii="Arial Narrow" w:hAnsi="Arial Narrow" w:cs="Arial"/>
                <w:sz w:val="22"/>
                <w:szCs w:val="22"/>
              </w:rPr>
            </w:pPr>
          </w:p>
        </w:tc>
        <w:tc>
          <w:tcPr>
            <w:tcW w:w="426" w:type="dxa"/>
          </w:tcPr>
          <w:p w14:paraId="15815689" w14:textId="77777777" w:rsidR="00613E31" w:rsidRPr="00651AE0" w:rsidRDefault="00613E31" w:rsidP="00B815F5">
            <w:pPr>
              <w:rPr>
                <w:rFonts w:ascii="Arial Narrow" w:hAnsi="Arial Narrow" w:cs="Arial"/>
                <w:sz w:val="22"/>
                <w:szCs w:val="22"/>
              </w:rPr>
            </w:pPr>
          </w:p>
        </w:tc>
        <w:tc>
          <w:tcPr>
            <w:tcW w:w="425" w:type="dxa"/>
          </w:tcPr>
          <w:p w14:paraId="1DE19592" w14:textId="77777777" w:rsidR="00613E31" w:rsidRPr="00651AE0" w:rsidRDefault="00613E31" w:rsidP="00B815F5">
            <w:pPr>
              <w:rPr>
                <w:rFonts w:ascii="Arial Narrow" w:hAnsi="Arial Narrow" w:cs="Arial"/>
                <w:sz w:val="22"/>
                <w:szCs w:val="22"/>
              </w:rPr>
            </w:pPr>
          </w:p>
        </w:tc>
        <w:tc>
          <w:tcPr>
            <w:tcW w:w="425" w:type="dxa"/>
          </w:tcPr>
          <w:p w14:paraId="7233C6AC" w14:textId="77777777" w:rsidR="00613E31" w:rsidRPr="00651AE0" w:rsidRDefault="00613E31" w:rsidP="00B815F5">
            <w:pPr>
              <w:rPr>
                <w:rFonts w:ascii="Arial Narrow" w:hAnsi="Arial Narrow" w:cs="Arial"/>
                <w:szCs w:val="22"/>
              </w:rPr>
            </w:pPr>
          </w:p>
        </w:tc>
        <w:tc>
          <w:tcPr>
            <w:tcW w:w="425" w:type="dxa"/>
          </w:tcPr>
          <w:p w14:paraId="47599D02" w14:textId="77777777" w:rsidR="00613E31" w:rsidRPr="00651AE0" w:rsidRDefault="00613E31" w:rsidP="00B815F5">
            <w:pPr>
              <w:rPr>
                <w:rFonts w:ascii="Arial Narrow" w:hAnsi="Arial Narrow" w:cs="Arial"/>
                <w:szCs w:val="22"/>
              </w:rPr>
            </w:pPr>
          </w:p>
        </w:tc>
        <w:tc>
          <w:tcPr>
            <w:tcW w:w="426" w:type="dxa"/>
          </w:tcPr>
          <w:p w14:paraId="53E93E8D" w14:textId="77777777" w:rsidR="00613E31" w:rsidRPr="00651AE0" w:rsidRDefault="00613E31" w:rsidP="00B815F5">
            <w:pPr>
              <w:rPr>
                <w:rFonts w:ascii="Arial Narrow" w:hAnsi="Arial Narrow" w:cs="Arial"/>
                <w:szCs w:val="22"/>
              </w:rPr>
            </w:pPr>
          </w:p>
        </w:tc>
        <w:tc>
          <w:tcPr>
            <w:tcW w:w="425" w:type="dxa"/>
          </w:tcPr>
          <w:p w14:paraId="3611857C" w14:textId="77777777" w:rsidR="00613E31" w:rsidRPr="00651AE0" w:rsidRDefault="00613E31" w:rsidP="00B815F5">
            <w:pPr>
              <w:rPr>
                <w:rFonts w:ascii="Arial Narrow" w:hAnsi="Arial Narrow" w:cs="Arial"/>
                <w:szCs w:val="22"/>
              </w:rPr>
            </w:pPr>
          </w:p>
        </w:tc>
        <w:tc>
          <w:tcPr>
            <w:tcW w:w="425" w:type="dxa"/>
          </w:tcPr>
          <w:p w14:paraId="593AACDA" w14:textId="77777777" w:rsidR="00613E31" w:rsidRPr="00651AE0" w:rsidRDefault="00613E31" w:rsidP="00B815F5">
            <w:pPr>
              <w:rPr>
                <w:rFonts w:ascii="Arial Narrow" w:hAnsi="Arial Narrow" w:cs="Arial"/>
                <w:szCs w:val="22"/>
              </w:rPr>
            </w:pPr>
          </w:p>
        </w:tc>
      </w:tr>
      <w:tr w:rsidR="00613E31" w14:paraId="3AD9D00C" w14:textId="77777777" w:rsidTr="00613E31">
        <w:tc>
          <w:tcPr>
            <w:tcW w:w="817" w:type="dxa"/>
            <w:vMerge/>
            <w:vAlign w:val="center"/>
          </w:tcPr>
          <w:p w14:paraId="741FBCDF" w14:textId="77777777" w:rsidR="00613E31" w:rsidRPr="003C3A1E" w:rsidRDefault="00613E31" w:rsidP="00613E31">
            <w:pPr>
              <w:jc w:val="center"/>
              <w:rPr>
                <w:rStyle w:val="IntenseReference"/>
              </w:rPr>
            </w:pPr>
          </w:p>
        </w:tc>
        <w:tc>
          <w:tcPr>
            <w:tcW w:w="1153" w:type="dxa"/>
            <w:vMerge/>
            <w:vAlign w:val="center"/>
          </w:tcPr>
          <w:p w14:paraId="009DBF89" w14:textId="77777777" w:rsidR="00613E31" w:rsidRPr="003C3A1E" w:rsidRDefault="00613E31" w:rsidP="00613E31">
            <w:pPr>
              <w:jc w:val="center"/>
              <w:rPr>
                <w:rStyle w:val="IntenseReference"/>
              </w:rPr>
            </w:pPr>
          </w:p>
        </w:tc>
        <w:tc>
          <w:tcPr>
            <w:tcW w:w="2391" w:type="dxa"/>
            <w:vAlign w:val="bottom"/>
          </w:tcPr>
          <w:p w14:paraId="3EC99C73" w14:textId="77777777" w:rsidR="00613E31" w:rsidRPr="003C3A1E" w:rsidRDefault="00613E31" w:rsidP="00B815F5">
            <w:pPr>
              <w:rPr>
                <w:rStyle w:val="IntenseReference"/>
              </w:rPr>
            </w:pPr>
            <w:r w:rsidRPr="003C3A1E">
              <w:rPr>
                <w:rStyle w:val="IntenseReference"/>
              </w:rPr>
              <w:t>Snapper North (WQ)</w:t>
            </w:r>
          </w:p>
        </w:tc>
        <w:tc>
          <w:tcPr>
            <w:tcW w:w="850" w:type="dxa"/>
          </w:tcPr>
          <w:p w14:paraId="5783ABAA" w14:textId="77777777" w:rsidR="00613E31" w:rsidRPr="003C3A1E" w:rsidRDefault="00613E31" w:rsidP="00B815F5">
            <w:pPr>
              <w:rPr>
                <w:rStyle w:val="IntenseReference"/>
              </w:rPr>
            </w:pPr>
            <w:r w:rsidRPr="003C3A1E">
              <w:rPr>
                <w:rStyle w:val="IntenseReference"/>
              </w:rPr>
              <w:t>MMP</w:t>
            </w:r>
          </w:p>
        </w:tc>
        <w:tc>
          <w:tcPr>
            <w:tcW w:w="426" w:type="dxa"/>
          </w:tcPr>
          <w:p w14:paraId="715D6D6D"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283BD22E"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19FAF1A0"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4B144278"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6" w:type="dxa"/>
          </w:tcPr>
          <w:p w14:paraId="6346CA09"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2DC1B04F"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7A9595E5"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57A4722B"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6" w:type="dxa"/>
          </w:tcPr>
          <w:p w14:paraId="5ABCBEC0"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15EEB181"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011C6EF8"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r>
      <w:tr w:rsidR="00613E31" w14:paraId="7861585A" w14:textId="77777777" w:rsidTr="00613E31">
        <w:tc>
          <w:tcPr>
            <w:tcW w:w="817" w:type="dxa"/>
            <w:vMerge/>
            <w:vAlign w:val="center"/>
          </w:tcPr>
          <w:p w14:paraId="510F3FCA" w14:textId="77777777" w:rsidR="00613E31" w:rsidRPr="003C3A1E" w:rsidRDefault="00613E31" w:rsidP="00613E31">
            <w:pPr>
              <w:jc w:val="center"/>
              <w:rPr>
                <w:rStyle w:val="IntenseReference"/>
              </w:rPr>
            </w:pPr>
          </w:p>
        </w:tc>
        <w:tc>
          <w:tcPr>
            <w:tcW w:w="1153" w:type="dxa"/>
            <w:vMerge/>
            <w:vAlign w:val="center"/>
          </w:tcPr>
          <w:p w14:paraId="510F0F1C" w14:textId="77777777" w:rsidR="00613E31" w:rsidRPr="003C3A1E" w:rsidRDefault="00613E31" w:rsidP="00613E31">
            <w:pPr>
              <w:jc w:val="center"/>
              <w:rPr>
                <w:rStyle w:val="IntenseReference"/>
              </w:rPr>
            </w:pPr>
          </w:p>
        </w:tc>
        <w:tc>
          <w:tcPr>
            <w:tcW w:w="2391" w:type="dxa"/>
            <w:vAlign w:val="bottom"/>
          </w:tcPr>
          <w:p w14:paraId="49C38022" w14:textId="77777777" w:rsidR="00613E31" w:rsidRPr="003C3A1E" w:rsidRDefault="00613E31" w:rsidP="00B815F5">
            <w:pPr>
              <w:rPr>
                <w:rStyle w:val="IntenseReference"/>
              </w:rPr>
            </w:pPr>
            <w:r w:rsidRPr="003C3A1E">
              <w:rPr>
                <w:rStyle w:val="IntenseReference"/>
              </w:rPr>
              <w:t>Snapper South</w:t>
            </w:r>
          </w:p>
        </w:tc>
        <w:tc>
          <w:tcPr>
            <w:tcW w:w="850" w:type="dxa"/>
          </w:tcPr>
          <w:p w14:paraId="6C1785D2" w14:textId="77777777" w:rsidR="00613E31" w:rsidRPr="003C3A1E" w:rsidRDefault="00613E31" w:rsidP="00B815F5">
            <w:pPr>
              <w:rPr>
                <w:rStyle w:val="IntenseReference"/>
              </w:rPr>
            </w:pPr>
            <w:r w:rsidRPr="003C3A1E">
              <w:rPr>
                <w:rStyle w:val="IntenseReference"/>
              </w:rPr>
              <w:t>MMP</w:t>
            </w:r>
          </w:p>
        </w:tc>
        <w:tc>
          <w:tcPr>
            <w:tcW w:w="426" w:type="dxa"/>
          </w:tcPr>
          <w:p w14:paraId="5D75B196"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72AC1B4"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E55D3AF"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DA6AA62"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6" w:type="dxa"/>
          </w:tcPr>
          <w:p w14:paraId="4DE321DB"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1D96A780"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37A4A447"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423F1C46"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6" w:type="dxa"/>
          </w:tcPr>
          <w:p w14:paraId="0A2C732A"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664ABB8B"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5C09A08E"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r>
      <w:tr w:rsidR="00613E31" w14:paraId="0AE3F682" w14:textId="77777777" w:rsidTr="00613E31">
        <w:tc>
          <w:tcPr>
            <w:tcW w:w="817" w:type="dxa"/>
            <w:vMerge/>
            <w:vAlign w:val="center"/>
          </w:tcPr>
          <w:p w14:paraId="49875CB2" w14:textId="77777777" w:rsidR="00613E31" w:rsidRPr="003C3A1E" w:rsidRDefault="00613E31" w:rsidP="00613E31">
            <w:pPr>
              <w:jc w:val="center"/>
              <w:rPr>
                <w:rStyle w:val="IntenseReference"/>
              </w:rPr>
            </w:pPr>
          </w:p>
        </w:tc>
        <w:tc>
          <w:tcPr>
            <w:tcW w:w="1153" w:type="dxa"/>
            <w:vMerge/>
            <w:vAlign w:val="center"/>
          </w:tcPr>
          <w:p w14:paraId="68FBF6FF" w14:textId="77777777" w:rsidR="00613E31" w:rsidRPr="003C3A1E" w:rsidRDefault="00613E31" w:rsidP="00613E31">
            <w:pPr>
              <w:jc w:val="center"/>
              <w:rPr>
                <w:rStyle w:val="IntenseReference"/>
              </w:rPr>
            </w:pPr>
          </w:p>
        </w:tc>
        <w:tc>
          <w:tcPr>
            <w:tcW w:w="2391" w:type="dxa"/>
            <w:vAlign w:val="bottom"/>
          </w:tcPr>
          <w:p w14:paraId="253F88C7" w14:textId="77777777" w:rsidR="00613E31" w:rsidRPr="003C3A1E" w:rsidRDefault="00613E31" w:rsidP="00B815F5">
            <w:pPr>
              <w:rPr>
                <w:rStyle w:val="IntenseReference"/>
              </w:rPr>
            </w:pPr>
            <w:r w:rsidRPr="003C3A1E">
              <w:rPr>
                <w:rStyle w:val="IntenseReference"/>
              </w:rPr>
              <w:t>Low Isles</w:t>
            </w:r>
          </w:p>
        </w:tc>
        <w:tc>
          <w:tcPr>
            <w:tcW w:w="850" w:type="dxa"/>
          </w:tcPr>
          <w:p w14:paraId="116F029A" w14:textId="77777777" w:rsidR="00613E31" w:rsidRPr="003C3A1E" w:rsidRDefault="00613E31" w:rsidP="00B815F5">
            <w:pPr>
              <w:rPr>
                <w:rStyle w:val="IntenseReference"/>
              </w:rPr>
            </w:pPr>
            <w:r w:rsidRPr="003C3A1E">
              <w:rPr>
                <w:rStyle w:val="IntenseReference"/>
              </w:rPr>
              <w:t>LTMP</w:t>
            </w:r>
          </w:p>
        </w:tc>
        <w:tc>
          <w:tcPr>
            <w:tcW w:w="426" w:type="dxa"/>
          </w:tcPr>
          <w:p w14:paraId="6AC38C49"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6AE9AB27" w14:textId="77777777" w:rsidR="00613E31" w:rsidRPr="00651AE0" w:rsidRDefault="00613E31" w:rsidP="00B815F5">
            <w:pPr>
              <w:rPr>
                <w:rFonts w:ascii="Arial Narrow" w:hAnsi="Arial Narrow" w:cs="Arial"/>
                <w:sz w:val="22"/>
                <w:szCs w:val="22"/>
              </w:rPr>
            </w:pPr>
          </w:p>
        </w:tc>
        <w:tc>
          <w:tcPr>
            <w:tcW w:w="425" w:type="dxa"/>
          </w:tcPr>
          <w:p w14:paraId="2157E0D2"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43589043" w14:textId="77777777" w:rsidR="00613E31" w:rsidRPr="00651AE0" w:rsidRDefault="00613E31" w:rsidP="00B815F5">
            <w:pPr>
              <w:rPr>
                <w:rFonts w:ascii="Arial Narrow" w:hAnsi="Arial Narrow" w:cs="Arial"/>
                <w:sz w:val="22"/>
                <w:szCs w:val="22"/>
              </w:rPr>
            </w:pPr>
          </w:p>
        </w:tc>
        <w:tc>
          <w:tcPr>
            <w:tcW w:w="426" w:type="dxa"/>
          </w:tcPr>
          <w:p w14:paraId="37A3281E"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946CF35" w14:textId="77777777" w:rsidR="00613E31" w:rsidRPr="00651AE0" w:rsidRDefault="00613E31" w:rsidP="00B815F5">
            <w:pPr>
              <w:rPr>
                <w:rFonts w:ascii="Arial Narrow" w:hAnsi="Arial Narrow" w:cs="Arial"/>
                <w:sz w:val="22"/>
                <w:szCs w:val="22"/>
              </w:rPr>
            </w:pPr>
          </w:p>
        </w:tc>
        <w:tc>
          <w:tcPr>
            <w:tcW w:w="425" w:type="dxa"/>
          </w:tcPr>
          <w:p w14:paraId="7C87E297"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040CBFDB" w14:textId="77777777" w:rsidR="00613E31" w:rsidRPr="00651AE0" w:rsidRDefault="00613E31" w:rsidP="00B815F5">
            <w:pPr>
              <w:rPr>
                <w:rFonts w:ascii="Arial Narrow" w:hAnsi="Arial Narrow" w:cs="Arial"/>
                <w:szCs w:val="22"/>
              </w:rPr>
            </w:pPr>
          </w:p>
        </w:tc>
        <w:tc>
          <w:tcPr>
            <w:tcW w:w="426" w:type="dxa"/>
          </w:tcPr>
          <w:p w14:paraId="7828F7EB"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56BBD786" w14:textId="77777777" w:rsidR="00613E31" w:rsidRPr="00651AE0" w:rsidRDefault="00613E31" w:rsidP="00B815F5">
            <w:pPr>
              <w:rPr>
                <w:rFonts w:ascii="Arial Narrow" w:hAnsi="Arial Narrow" w:cs="Arial"/>
                <w:szCs w:val="22"/>
              </w:rPr>
            </w:pPr>
          </w:p>
        </w:tc>
        <w:tc>
          <w:tcPr>
            <w:tcW w:w="425" w:type="dxa"/>
          </w:tcPr>
          <w:p w14:paraId="7F4811E8"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r>
      <w:tr w:rsidR="00613E31" w14:paraId="69D07AF0" w14:textId="77777777" w:rsidTr="00613E31">
        <w:tc>
          <w:tcPr>
            <w:tcW w:w="817" w:type="dxa"/>
            <w:vMerge/>
            <w:vAlign w:val="center"/>
          </w:tcPr>
          <w:p w14:paraId="66748B34" w14:textId="77777777" w:rsidR="00613E31" w:rsidRPr="003C3A1E" w:rsidRDefault="00613E31" w:rsidP="00613E31">
            <w:pPr>
              <w:jc w:val="center"/>
              <w:rPr>
                <w:rStyle w:val="IntenseReference"/>
              </w:rPr>
            </w:pPr>
          </w:p>
        </w:tc>
        <w:tc>
          <w:tcPr>
            <w:tcW w:w="1153" w:type="dxa"/>
            <w:vMerge w:val="restart"/>
            <w:vAlign w:val="center"/>
          </w:tcPr>
          <w:p w14:paraId="200D29A7" w14:textId="77777777" w:rsidR="00613E31" w:rsidRPr="003C3A1E" w:rsidRDefault="00613E31" w:rsidP="00613E31">
            <w:pPr>
              <w:jc w:val="center"/>
              <w:rPr>
                <w:rStyle w:val="IntenseReference"/>
              </w:rPr>
            </w:pPr>
            <w:r w:rsidRPr="003C3A1E">
              <w:rPr>
                <w:rStyle w:val="IntenseReference"/>
              </w:rPr>
              <w:t>Johnstone Russell-Mulgrave</w:t>
            </w:r>
          </w:p>
        </w:tc>
        <w:tc>
          <w:tcPr>
            <w:tcW w:w="2391" w:type="dxa"/>
            <w:vAlign w:val="bottom"/>
          </w:tcPr>
          <w:p w14:paraId="3403A464" w14:textId="77777777" w:rsidR="00613E31" w:rsidRPr="003C3A1E" w:rsidRDefault="00613E31" w:rsidP="00B815F5">
            <w:pPr>
              <w:rPr>
                <w:rStyle w:val="IntenseReference"/>
              </w:rPr>
            </w:pPr>
            <w:r w:rsidRPr="003C3A1E">
              <w:rPr>
                <w:rStyle w:val="IntenseReference"/>
              </w:rPr>
              <w:t>Green</w:t>
            </w:r>
          </w:p>
        </w:tc>
        <w:tc>
          <w:tcPr>
            <w:tcW w:w="850" w:type="dxa"/>
          </w:tcPr>
          <w:p w14:paraId="0AC65710" w14:textId="77777777" w:rsidR="00613E31" w:rsidRPr="003C3A1E" w:rsidRDefault="00613E31" w:rsidP="00B815F5">
            <w:pPr>
              <w:rPr>
                <w:rStyle w:val="IntenseReference"/>
              </w:rPr>
            </w:pPr>
            <w:r w:rsidRPr="003C3A1E">
              <w:rPr>
                <w:rStyle w:val="IntenseReference"/>
              </w:rPr>
              <w:t>LTMP</w:t>
            </w:r>
          </w:p>
        </w:tc>
        <w:tc>
          <w:tcPr>
            <w:tcW w:w="426" w:type="dxa"/>
          </w:tcPr>
          <w:p w14:paraId="7606C645"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7CF12D83" w14:textId="77777777" w:rsidR="00613E31" w:rsidRPr="00651AE0" w:rsidRDefault="00613E31" w:rsidP="00B815F5">
            <w:pPr>
              <w:rPr>
                <w:rFonts w:ascii="Arial Narrow" w:hAnsi="Arial Narrow" w:cs="Arial"/>
                <w:sz w:val="22"/>
                <w:szCs w:val="22"/>
              </w:rPr>
            </w:pPr>
          </w:p>
        </w:tc>
        <w:tc>
          <w:tcPr>
            <w:tcW w:w="425" w:type="dxa"/>
          </w:tcPr>
          <w:p w14:paraId="4B6C02E2"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9B78188" w14:textId="77777777" w:rsidR="00613E31" w:rsidRPr="00651AE0" w:rsidRDefault="00613E31" w:rsidP="00B815F5">
            <w:pPr>
              <w:rPr>
                <w:rFonts w:ascii="Arial Narrow" w:hAnsi="Arial Narrow" w:cs="Arial"/>
                <w:sz w:val="22"/>
                <w:szCs w:val="22"/>
              </w:rPr>
            </w:pPr>
          </w:p>
        </w:tc>
        <w:tc>
          <w:tcPr>
            <w:tcW w:w="426" w:type="dxa"/>
          </w:tcPr>
          <w:p w14:paraId="5FF0E152"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3700F95B" w14:textId="77777777" w:rsidR="00613E31" w:rsidRPr="00651AE0" w:rsidRDefault="00613E31" w:rsidP="00B815F5">
            <w:pPr>
              <w:rPr>
                <w:rFonts w:ascii="Arial Narrow" w:hAnsi="Arial Narrow" w:cs="Arial"/>
                <w:sz w:val="22"/>
                <w:szCs w:val="22"/>
              </w:rPr>
            </w:pPr>
          </w:p>
        </w:tc>
        <w:tc>
          <w:tcPr>
            <w:tcW w:w="425" w:type="dxa"/>
          </w:tcPr>
          <w:p w14:paraId="3B6AE77C"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0F3F4835" w14:textId="77777777" w:rsidR="00613E31" w:rsidRPr="00651AE0" w:rsidRDefault="00613E31" w:rsidP="00B815F5">
            <w:pPr>
              <w:rPr>
                <w:rFonts w:ascii="Arial Narrow" w:hAnsi="Arial Narrow" w:cs="Arial"/>
                <w:szCs w:val="22"/>
              </w:rPr>
            </w:pPr>
          </w:p>
        </w:tc>
        <w:tc>
          <w:tcPr>
            <w:tcW w:w="426" w:type="dxa"/>
          </w:tcPr>
          <w:p w14:paraId="09C1C9A9"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6A6218E8" w14:textId="77777777" w:rsidR="00613E31" w:rsidRPr="00651AE0" w:rsidRDefault="00613E31" w:rsidP="00B815F5">
            <w:pPr>
              <w:rPr>
                <w:rFonts w:ascii="Arial Narrow" w:hAnsi="Arial Narrow" w:cs="Arial"/>
                <w:szCs w:val="22"/>
              </w:rPr>
            </w:pPr>
          </w:p>
        </w:tc>
        <w:tc>
          <w:tcPr>
            <w:tcW w:w="425" w:type="dxa"/>
          </w:tcPr>
          <w:p w14:paraId="5062652E"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r>
      <w:tr w:rsidR="00613E31" w14:paraId="6CA70FB8" w14:textId="77777777" w:rsidTr="00613E31">
        <w:tc>
          <w:tcPr>
            <w:tcW w:w="817" w:type="dxa"/>
            <w:vMerge/>
            <w:vAlign w:val="center"/>
          </w:tcPr>
          <w:p w14:paraId="7E09323C" w14:textId="77777777" w:rsidR="00613E31" w:rsidRPr="003C3A1E" w:rsidRDefault="00613E31" w:rsidP="00613E31">
            <w:pPr>
              <w:jc w:val="center"/>
              <w:rPr>
                <w:rStyle w:val="IntenseReference"/>
              </w:rPr>
            </w:pPr>
          </w:p>
        </w:tc>
        <w:tc>
          <w:tcPr>
            <w:tcW w:w="1153" w:type="dxa"/>
            <w:vMerge/>
            <w:vAlign w:val="center"/>
          </w:tcPr>
          <w:p w14:paraId="41D91AF6" w14:textId="77777777" w:rsidR="00613E31" w:rsidRPr="003C3A1E" w:rsidRDefault="00613E31" w:rsidP="00613E31">
            <w:pPr>
              <w:jc w:val="center"/>
              <w:rPr>
                <w:rStyle w:val="IntenseReference"/>
              </w:rPr>
            </w:pPr>
          </w:p>
        </w:tc>
        <w:tc>
          <w:tcPr>
            <w:tcW w:w="2391" w:type="dxa"/>
            <w:vAlign w:val="bottom"/>
          </w:tcPr>
          <w:p w14:paraId="40EC3040" w14:textId="77777777" w:rsidR="00613E31" w:rsidRPr="003C3A1E" w:rsidRDefault="00613E31" w:rsidP="00B815F5">
            <w:pPr>
              <w:rPr>
                <w:rStyle w:val="IntenseReference"/>
              </w:rPr>
            </w:pPr>
            <w:r w:rsidRPr="003C3A1E">
              <w:rPr>
                <w:rStyle w:val="IntenseReference"/>
              </w:rPr>
              <w:t>Fitzroy West</w:t>
            </w:r>
          </w:p>
        </w:tc>
        <w:tc>
          <w:tcPr>
            <w:tcW w:w="850" w:type="dxa"/>
          </w:tcPr>
          <w:p w14:paraId="4003DBC5" w14:textId="77777777" w:rsidR="00613E31" w:rsidRPr="003C3A1E" w:rsidRDefault="00613E31" w:rsidP="00B815F5">
            <w:pPr>
              <w:rPr>
                <w:rStyle w:val="IntenseReference"/>
              </w:rPr>
            </w:pPr>
            <w:r w:rsidRPr="003C3A1E">
              <w:rPr>
                <w:rStyle w:val="IntenseReference"/>
              </w:rPr>
              <w:t>LTMP</w:t>
            </w:r>
          </w:p>
        </w:tc>
        <w:tc>
          <w:tcPr>
            <w:tcW w:w="426" w:type="dxa"/>
          </w:tcPr>
          <w:p w14:paraId="6F12EA35"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43AFE4B2" w14:textId="77777777" w:rsidR="00613E31" w:rsidRPr="00651AE0" w:rsidRDefault="00613E31" w:rsidP="00B815F5">
            <w:pPr>
              <w:rPr>
                <w:rFonts w:ascii="Arial Narrow" w:hAnsi="Arial Narrow" w:cs="Arial"/>
                <w:sz w:val="22"/>
                <w:szCs w:val="22"/>
              </w:rPr>
            </w:pPr>
          </w:p>
        </w:tc>
        <w:tc>
          <w:tcPr>
            <w:tcW w:w="425" w:type="dxa"/>
          </w:tcPr>
          <w:p w14:paraId="4DE55ACD"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72D95804" w14:textId="77777777" w:rsidR="00613E31" w:rsidRPr="00651AE0" w:rsidRDefault="00613E31" w:rsidP="00B815F5">
            <w:pPr>
              <w:rPr>
                <w:rFonts w:ascii="Arial Narrow" w:hAnsi="Arial Narrow" w:cs="Arial"/>
                <w:sz w:val="22"/>
                <w:szCs w:val="22"/>
              </w:rPr>
            </w:pPr>
          </w:p>
        </w:tc>
        <w:tc>
          <w:tcPr>
            <w:tcW w:w="426" w:type="dxa"/>
          </w:tcPr>
          <w:p w14:paraId="171280B9"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3BE10902" w14:textId="77777777" w:rsidR="00613E31" w:rsidRPr="00651AE0" w:rsidRDefault="00613E31" w:rsidP="00B815F5">
            <w:pPr>
              <w:rPr>
                <w:rFonts w:ascii="Arial Narrow" w:hAnsi="Arial Narrow" w:cs="Arial"/>
                <w:sz w:val="22"/>
                <w:szCs w:val="22"/>
              </w:rPr>
            </w:pPr>
          </w:p>
        </w:tc>
        <w:tc>
          <w:tcPr>
            <w:tcW w:w="425" w:type="dxa"/>
          </w:tcPr>
          <w:p w14:paraId="4323565C"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3DB4EFF3" w14:textId="77777777" w:rsidR="00613E31" w:rsidRPr="00651AE0" w:rsidRDefault="00613E31" w:rsidP="00B815F5">
            <w:pPr>
              <w:rPr>
                <w:rFonts w:ascii="Arial Narrow" w:hAnsi="Arial Narrow" w:cs="Arial"/>
                <w:szCs w:val="22"/>
              </w:rPr>
            </w:pPr>
          </w:p>
        </w:tc>
        <w:tc>
          <w:tcPr>
            <w:tcW w:w="426" w:type="dxa"/>
          </w:tcPr>
          <w:p w14:paraId="6165FFA9"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210DF40D" w14:textId="77777777" w:rsidR="00613E31" w:rsidRPr="00651AE0" w:rsidRDefault="00613E31" w:rsidP="00B815F5">
            <w:pPr>
              <w:rPr>
                <w:rFonts w:ascii="Arial Narrow" w:hAnsi="Arial Narrow" w:cs="Arial"/>
                <w:szCs w:val="22"/>
              </w:rPr>
            </w:pPr>
          </w:p>
        </w:tc>
        <w:tc>
          <w:tcPr>
            <w:tcW w:w="425" w:type="dxa"/>
          </w:tcPr>
          <w:p w14:paraId="2F5861A7"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r>
      <w:tr w:rsidR="00613E31" w14:paraId="6CB5A5DA" w14:textId="77777777" w:rsidTr="00613E31">
        <w:tc>
          <w:tcPr>
            <w:tcW w:w="817" w:type="dxa"/>
            <w:vMerge/>
            <w:vAlign w:val="center"/>
          </w:tcPr>
          <w:p w14:paraId="6012EDB1" w14:textId="77777777" w:rsidR="00613E31" w:rsidRPr="003C3A1E" w:rsidRDefault="00613E31" w:rsidP="00613E31">
            <w:pPr>
              <w:jc w:val="center"/>
              <w:rPr>
                <w:rStyle w:val="IntenseReference"/>
              </w:rPr>
            </w:pPr>
          </w:p>
        </w:tc>
        <w:tc>
          <w:tcPr>
            <w:tcW w:w="1153" w:type="dxa"/>
            <w:vMerge/>
            <w:vAlign w:val="center"/>
          </w:tcPr>
          <w:p w14:paraId="51359636" w14:textId="77777777" w:rsidR="00613E31" w:rsidRPr="003C3A1E" w:rsidRDefault="00613E31" w:rsidP="00613E31">
            <w:pPr>
              <w:jc w:val="center"/>
              <w:rPr>
                <w:rStyle w:val="IntenseReference"/>
              </w:rPr>
            </w:pPr>
          </w:p>
        </w:tc>
        <w:tc>
          <w:tcPr>
            <w:tcW w:w="2391" w:type="dxa"/>
            <w:vAlign w:val="bottom"/>
          </w:tcPr>
          <w:p w14:paraId="0FD07993" w14:textId="77777777" w:rsidR="00613E31" w:rsidRPr="003C3A1E" w:rsidRDefault="00613E31" w:rsidP="00B815F5">
            <w:pPr>
              <w:rPr>
                <w:rStyle w:val="IntenseReference"/>
              </w:rPr>
            </w:pPr>
            <w:r w:rsidRPr="003C3A1E">
              <w:rPr>
                <w:rStyle w:val="IntenseReference"/>
              </w:rPr>
              <w:t>Fitzroy West (WQ)</w:t>
            </w:r>
          </w:p>
        </w:tc>
        <w:tc>
          <w:tcPr>
            <w:tcW w:w="850" w:type="dxa"/>
          </w:tcPr>
          <w:p w14:paraId="4BD4BBB7" w14:textId="77777777" w:rsidR="00613E31" w:rsidRPr="003C3A1E" w:rsidRDefault="00613E31" w:rsidP="00B815F5">
            <w:pPr>
              <w:rPr>
                <w:rStyle w:val="IntenseReference"/>
              </w:rPr>
            </w:pPr>
            <w:r w:rsidRPr="003C3A1E">
              <w:rPr>
                <w:rStyle w:val="IntenseReference"/>
              </w:rPr>
              <w:t>MMP</w:t>
            </w:r>
          </w:p>
        </w:tc>
        <w:tc>
          <w:tcPr>
            <w:tcW w:w="426" w:type="dxa"/>
          </w:tcPr>
          <w:p w14:paraId="3B3247FA"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13001C43"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648F309"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37A058B1"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6" w:type="dxa"/>
          </w:tcPr>
          <w:p w14:paraId="1D774F87"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5329DA0"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01D5C3B8"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00C20CFD"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6" w:type="dxa"/>
          </w:tcPr>
          <w:p w14:paraId="2F7900A8"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501B0717"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37EBD0CA"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r>
      <w:tr w:rsidR="00613E31" w14:paraId="08BF4128" w14:textId="77777777" w:rsidTr="00613E31">
        <w:tc>
          <w:tcPr>
            <w:tcW w:w="817" w:type="dxa"/>
            <w:vMerge/>
            <w:vAlign w:val="center"/>
          </w:tcPr>
          <w:p w14:paraId="0FA89F8C" w14:textId="77777777" w:rsidR="00613E31" w:rsidRPr="003C3A1E" w:rsidRDefault="00613E31" w:rsidP="00613E31">
            <w:pPr>
              <w:jc w:val="center"/>
              <w:rPr>
                <w:rStyle w:val="IntenseReference"/>
              </w:rPr>
            </w:pPr>
          </w:p>
        </w:tc>
        <w:tc>
          <w:tcPr>
            <w:tcW w:w="1153" w:type="dxa"/>
            <w:vMerge/>
            <w:vAlign w:val="center"/>
          </w:tcPr>
          <w:p w14:paraId="52FD815E" w14:textId="77777777" w:rsidR="00613E31" w:rsidRPr="003C3A1E" w:rsidRDefault="00613E31" w:rsidP="00613E31">
            <w:pPr>
              <w:jc w:val="center"/>
              <w:rPr>
                <w:rStyle w:val="IntenseReference"/>
              </w:rPr>
            </w:pPr>
          </w:p>
        </w:tc>
        <w:tc>
          <w:tcPr>
            <w:tcW w:w="2391" w:type="dxa"/>
            <w:vAlign w:val="bottom"/>
          </w:tcPr>
          <w:p w14:paraId="6258E63D" w14:textId="77777777" w:rsidR="00613E31" w:rsidRPr="003C3A1E" w:rsidRDefault="00613E31" w:rsidP="00B815F5">
            <w:pPr>
              <w:rPr>
                <w:rStyle w:val="IntenseReference"/>
              </w:rPr>
            </w:pPr>
            <w:r w:rsidRPr="003C3A1E">
              <w:rPr>
                <w:rStyle w:val="IntenseReference"/>
              </w:rPr>
              <w:t>Fitzroy East</w:t>
            </w:r>
          </w:p>
        </w:tc>
        <w:tc>
          <w:tcPr>
            <w:tcW w:w="850" w:type="dxa"/>
          </w:tcPr>
          <w:p w14:paraId="07858C01" w14:textId="77777777" w:rsidR="00613E31" w:rsidRPr="003C3A1E" w:rsidRDefault="00613E31" w:rsidP="00B815F5">
            <w:pPr>
              <w:rPr>
                <w:rStyle w:val="IntenseReference"/>
              </w:rPr>
            </w:pPr>
            <w:r w:rsidRPr="003C3A1E">
              <w:rPr>
                <w:rStyle w:val="IntenseReference"/>
              </w:rPr>
              <w:t>MMP</w:t>
            </w:r>
          </w:p>
        </w:tc>
        <w:tc>
          <w:tcPr>
            <w:tcW w:w="426" w:type="dxa"/>
          </w:tcPr>
          <w:p w14:paraId="2958ADAC"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4A0B78E0"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3528F79A" w14:textId="77777777" w:rsidR="00613E31" w:rsidRPr="00651AE0" w:rsidRDefault="00D230AA" w:rsidP="00B815F5">
            <w:pPr>
              <w:rPr>
                <w:rFonts w:ascii="Arial Narrow" w:hAnsi="Arial Narrow" w:cs="Arial"/>
                <w:sz w:val="22"/>
                <w:szCs w:val="22"/>
              </w:rPr>
            </w:pPr>
            <w:r w:rsidRPr="00613E31">
              <w:rPr>
                <w:rFonts w:ascii="Arial Narrow" w:hAnsi="Arial Narrow" w:cs="Arial"/>
                <w:color w:val="808080" w:themeColor="background1" w:themeShade="80"/>
                <w:sz w:val="22"/>
                <w:szCs w:val="22"/>
              </w:rPr>
              <w:t>●</w:t>
            </w:r>
          </w:p>
        </w:tc>
        <w:tc>
          <w:tcPr>
            <w:tcW w:w="425" w:type="dxa"/>
          </w:tcPr>
          <w:p w14:paraId="7FAF9AB2"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6" w:type="dxa"/>
          </w:tcPr>
          <w:p w14:paraId="0ECE9102" w14:textId="77777777" w:rsidR="00613E31" w:rsidRPr="00651AE0" w:rsidRDefault="00613E31" w:rsidP="00B815F5">
            <w:pPr>
              <w:rPr>
                <w:rFonts w:ascii="Arial Narrow" w:hAnsi="Arial Narrow" w:cs="Arial"/>
                <w:sz w:val="22"/>
                <w:szCs w:val="22"/>
              </w:rPr>
            </w:pPr>
          </w:p>
        </w:tc>
        <w:tc>
          <w:tcPr>
            <w:tcW w:w="425" w:type="dxa"/>
          </w:tcPr>
          <w:p w14:paraId="259DB466" w14:textId="77777777" w:rsidR="00613E31" w:rsidRPr="00651AE0" w:rsidRDefault="00613E31" w:rsidP="00B815F5">
            <w:pPr>
              <w:rPr>
                <w:rFonts w:ascii="Arial Narrow" w:hAnsi="Arial Narrow" w:cs="Arial"/>
                <w:sz w:val="22"/>
                <w:szCs w:val="22"/>
              </w:rPr>
            </w:pPr>
            <w:r>
              <w:rPr>
                <w:rFonts w:ascii="Arial Narrow" w:hAnsi="Arial Narrow" w:cs="Arial"/>
                <w:sz w:val="22"/>
                <w:szCs w:val="22"/>
              </w:rPr>
              <w:t>●</w:t>
            </w:r>
          </w:p>
        </w:tc>
        <w:tc>
          <w:tcPr>
            <w:tcW w:w="425" w:type="dxa"/>
          </w:tcPr>
          <w:p w14:paraId="2E1E6926" w14:textId="77777777" w:rsidR="00613E31" w:rsidRPr="00651AE0" w:rsidRDefault="00613E31" w:rsidP="00B815F5">
            <w:pPr>
              <w:rPr>
                <w:rFonts w:ascii="Arial Narrow" w:hAnsi="Arial Narrow" w:cs="Arial"/>
                <w:szCs w:val="22"/>
              </w:rPr>
            </w:pPr>
            <w:r w:rsidRPr="00613E31">
              <w:rPr>
                <w:rFonts w:ascii="Arial Narrow" w:hAnsi="Arial Narrow" w:cs="Arial"/>
                <w:color w:val="808080" w:themeColor="background1" w:themeShade="80"/>
                <w:sz w:val="22"/>
                <w:szCs w:val="22"/>
              </w:rPr>
              <w:t>●</w:t>
            </w:r>
          </w:p>
        </w:tc>
        <w:tc>
          <w:tcPr>
            <w:tcW w:w="425" w:type="dxa"/>
          </w:tcPr>
          <w:p w14:paraId="5FB4A434"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6" w:type="dxa"/>
          </w:tcPr>
          <w:p w14:paraId="300C5115" w14:textId="77777777" w:rsidR="00613E31" w:rsidRPr="00651AE0" w:rsidRDefault="00613E31" w:rsidP="00B815F5">
            <w:pPr>
              <w:rPr>
                <w:rFonts w:ascii="Arial Narrow" w:hAnsi="Arial Narrow" w:cs="Arial"/>
                <w:szCs w:val="22"/>
              </w:rPr>
            </w:pPr>
          </w:p>
        </w:tc>
        <w:tc>
          <w:tcPr>
            <w:tcW w:w="425" w:type="dxa"/>
          </w:tcPr>
          <w:p w14:paraId="638F6593" w14:textId="77777777" w:rsidR="00613E31" w:rsidRPr="00651AE0" w:rsidRDefault="00613E31" w:rsidP="00B815F5">
            <w:pPr>
              <w:rPr>
                <w:rFonts w:ascii="Arial Narrow" w:hAnsi="Arial Narrow" w:cs="Arial"/>
                <w:szCs w:val="22"/>
              </w:rPr>
            </w:pPr>
            <w:r>
              <w:rPr>
                <w:rFonts w:ascii="Arial Narrow" w:hAnsi="Arial Narrow" w:cs="Arial"/>
                <w:sz w:val="22"/>
                <w:szCs w:val="22"/>
              </w:rPr>
              <w:t>●</w:t>
            </w:r>
          </w:p>
        </w:tc>
        <w:tc>
          <w:tcPr>
            <w:tcW w:w="425" w:type="dxa"/>
          </w:tcPr>
          <w:p w14:paraId="0F38952B" w14:textId="77777777" w:rsidR="00613E31" w:rsidRPr="00651AE0" w:rsidRDefault="00613E31" w:rsidP="00B815F5">
            <w:pPr>
              <w:rPr>
                <w:rFonts w:ascii="Arial Narrow" w:hAnsi="Arial Narrow" w:cs="Arial"/>
                <w:szCs w:val="22"/>
              </w:rPr>
            </w:pPr>
          </w:p>
        </w:tc>
      </w:tr>
      <w:tr w:rsidR="005E5E4B" w14:paraId="5A699AE0" w14:textId="77777777" w:rsidTr="00613E31">
        <w:tc>
          <w:tcPr>
            <w:tcW w:w="817" w:type="dxa"/>
            <w:vMerge/>
            <w:vAlign w:val="center"/>
          </w:tcPr>
          <w:p w14:paraId="2C33474A" w14:textId="77777777" w:rsidR="005E5E4B" w:rsidRPr="003C3A1E" w:rsidRDefault="005E5E4B" w:rsidP="005E5E4B">
            <w:pPr>
              <w:jc w:val="center"/>
              <w:rPr>
                <w:rStyle w:val="IntenseReference"/>
              </w:rPr>
            </w:pPr>
          </w:p>
        </w:tc>
        <w:tc>
          <w:tcPr>
            <w:tcW w:w="1153" w:type="dxa"/>
            <w:vMerge/>
            <w:vAlign w:val="center"/>
          </w:tcPr>
          <w:p w14:paraId="4642BEB8" w14:textId="77777777" w:rsidR="005E5E4B" w:rsidRPr="003C3A1E" w:rsidRDefault="005E5E4B" w:rsidP="005E5E4B">
            <w:pPr>
              <w:jc w:val="center"/>
              <w:rPr>
                <w:rStyle w:val="IntenseReference"/>
              </w:rPr>
            </w:pPr>
          </w:p>
        </w:tc>
        <w:tc>
          <w:tcPr>
            <w:tcW w:w="2391" w:type="dxa"/>
            <w:vAlign w:val="bottom"/>
          </w:tcPr>
          <w:p w14:paraId="099B74B6" w14:textId="77777777" w:rsidR="005E5E4B" w:rsidRPr="003C3A1E" w:rsidRDefault="005E5E4B" w:rsidP="00B815F5">
            <w:pPr>
              <w:rPr>
                <w:rStyle w:val="IntenseReference"/>
              </w:rPr>
            </w:pPr>
            <w:r w:rsidRPr="003C3A1E">
              <w:rPr>
                <w:rStyle w:val="IntenseReference"/>
              </w:rPr>
              <w:t>High East</w:t>
            </w:r>
          </w:p>
        </w:tc>
        <w:tc>
          <w:tcPr>
            <w:tcW w:w="850" w:type="dxa"/>
          </w:tcPr>
          <w:p w14:paraId="2BD911C1" w14:textId="77777777" w:rsidR="005E5E4B" w:rsidRPr="003C3A1E" w:rsidRDefault="005E5E4B" w:rsidP="00B815F5">
            <w:pPr>
              <w:rPr>
                <w:rStyle w:val="IntenseReference"/>
              </w:rPr>
            </w:pPr>
            <w:r w:rsidRPr="003C3A1E">
              <w:rPr>
                <w:rStyle w:val="IntenseReference"/>
              </w:rPr>
              <w:t>MMP</w:t>
            </w:r>
          </w:p>
        </w:tc>
        <w:tc>
          <w:tcPr>
            <w:tcW w:w="426" w:type="dxa"/>
          </w:tcPr>
          <w:p w14:paraId="418AF653"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0B18A67F"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4BB80F88"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6F38B37D" w14:textId="77777777" w:rsidR="005E5E4B" w:rsidRPr="00651AE0" w:rsidRDefault="005E5E4B" w:rsidP="00B815F5">
            <w:pPr>
              <w:rPr>
                <w:rFonts w:ascii="Arial Narrow" w:hAnsi="Arial Narrow" w:cs="Arial"/>
                <w:sz w:val="22"/>
                <w:szCs w:val="22"/>
              </w:rPr>
            </w:pPr>
          </w:p>
        </w:tc>
        <w:tc>
          <w:tcPr>
            <w:tcW w:w="426" w:type="dxa"/>
          </w:tcPr>
          <w:p w14:paraId="6D4AAF81"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653BD3AF" w14:textId="77777777" w:rsidR="005E5E4B" w:rsidRPr="00651AE0" w:rsidRDefault="005E5E4B" w:rsidP="00B815F5">
            <w:pPr>
              <w:rPr>
                <w:rFonts w:ascii="Arial Narrow" w:hAnsi="Arial Narrow" w:cs="Arial"/>
                <w:sz w:val="22"/>
                <w:szCs w:val="22"/>
              </w:rPr>
            </w:pPr>
          </w:p>
        </w:tc>
        <w:tc>
          <w:tcPr>
            <w:tcW w:w="425" w:type="dxa"/>
          </w:tcPr>
          <w:p w14:paraId="4334C919"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5B13ACD5" w14:textId="77777777" w:rsidR="005E5E4B" w:rsidRPr="00651AE0" w:rsidRDefault="005E5E4B" w:rsidP="00B815F5">
            <w:pPr>
              <w:rPr>
                <w:rFonts w:ascii="Arial Narrow" w:hAnsi="Arial Narrow" w:cs="Arial"/>
                <w:szCs w:val="22"/>
              </w:rPr>
            </w:pPr>
          </w:p>
        </w:tc>
        <w:tc>
          <w:tcPr>
            <w:tcW w:w="426" w:type="dxa"/>
          </w:tcPr>
          <w:p w14:paraId="1CDA3EAC"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7BA31769" w14:textId="77777777" w:rsidR="005E5E4B" w:rsidRPr="00651AE0" w:rsidRDefault="005E5E4B" w:rsidP="00B815F5">
            <w:pPr>
              <w:rPr>
                <w:rFonts w:ascii="Arial Narrow" w:hAnsi="Arial Narrow" w:cs="Arial"/>
                <w:szCs w:val="22"/>
              </w:rPr>
            </w:pPr>
          </w:p>
        </w:tc>
        <w:tc>
          <w:tcPr>
            <w:tcW w:w="425" w:type="dxa"/>
          </w:tcPr>
          <w:p w14:paraId="3AC60990"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r>
      <w:tr w:rsidR="005E5E4B" w14:paraId="1EEAD6CC" w14:textId="77777777" w:rsidTr="00613E31">
        <w:tc>
          <w:tcPr>
            <w:tcW w:w="817" w:type="dxa"/>
            <w:vMerge/>
            <w:vAlign w:val="center"/>
          </w:tcPr>
          <w:p w14:paraId="20675ABE" w14:textId="77777777" w:rsidR="005E5E4B" w:rsidRPr="003C3A1E" w:rsidRDefault="005E5E4B" w:rsidP="005E5E4B">
            <w:pPr>
              <w:jc w:val="center"/>
              <w:rPr>
                <w:rStyle w:val="IntenseReference"/>
              </w:rPr>
            </w:pPr>
          </w:p>
        </w:tc>
        <w:tc>
          <w:tcPr>
            <w:tcW w:w="1153" w:type="dxa"/>
            <w:vMerge/>
            <w:vAlign w:val="center"/>
          </w:tcPr>
          <w:p w14:paraId="3810FCEC" w14:textId="77777777" w:rsidR="005E5E4B" w:rsidRPr="003C3A1E" w:rsidRDefault="005E5E4B" w:rsidP="005E5E4B">
            <w:pPr>
              <w:jc w:val="center"/>
              <w:rPr>
                <w:rStyle w:val="IntenseReference"/>
              </w:rPr>
            </w:pPr>
          </w:p>
        </w:tc>
        <w:tc>
          <w:tcPr>
            <w:tcW w:w="2391" w:type="dxa"/>
            <w:vAlign w:val="bottom"/>
          </w:tcPr>
          <w:p w14:paraId="7EC3B1A9" w14:textId="77777777" w:rsidR="005E5E4B" w:rsidRPr="003C3A1E" w:rsidRDefault="005E5E4B" w:rsidP="00B815F5">
            <w:pPr>
              <w:rPr>
                <w:rStyle w:val="IntenseReference"/>
              </w:rPr>
            </w:pPr>
            <w:r w:rsidRPr="003C3A1E">
              <w:rPr>
                <w:rStyle w:val="IntenseReference"/>
              </w:rPr>
              <w:t>High West (WQ)</w:t>
            </w:r>
          </w:p>
        </w:tc>
        <w:tc>
          <w:tcPr>
            <w:tcW w:w="850" w:type="dxa"/>
          </w:tcPr>
          <w:p w14:paraId="3483AEFC" w14:textId="77777777" w:rsidR="005E5E4B" w:rsidRPr="003C3A1E" w:rsidRDefault="005E5E4B" w:rsidP="00B815F5">
            <w:pPr>
              <w:rPr>
                <w:rStyle w:val="IntenseReference"/>
              </w:rPr>
            </w:pPr>
            <w:r w:rsidRPr="003C3A1E">
              <w:rPr>
                <w:rStyle w:val="IntenseReference"/>
              </w:rPr>
              <w:t>MMP</w:t>
            </w:r>
          </w:p>
        </w:tc>
        <w:tc>
          <w:tcPr>
            <w:tcW w:w="426" w:type="dxa"/>
          </w:tcPr>
          <w:p w14:paraId="3ADCC680"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42B7E4E2"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23D4776A"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28F5D1A9"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6" w:type="dxa"/>
          </w:tcPr>
          <w:p w14:paraId="7979040D"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329D67C0"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5BA2027F"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7146A27E"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6" w:type="dxa"/>
          </w:tcPr>
          <w:p w14:paraId="3DD4AC3E"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22E092BA"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1C69B8FF" w14:textId="77777777" w:rsidR="005E5E4B" w:rsidRPr="00651AE0" w:rsidRDefault="005E5E4B" w:rsidP="00B815F5">
            <w:pPr>
              <w:rPr>
                <w:rFonts w:ascii="Arial Narrow" w:hAnsi="Arial Narrow" w:cs="Arial"/>
                <w:szCs w:val="22"/>
              </w:rPr>
            </w:pPr>
          </w:p>
        </w:tc>
      </w:tr>
      <w:tr w:rsidR="005E5E4B" w14:paraId="7C52FFD8" w14:textId="77777777" w:rsidTr="00613E31">
        <w:tc>
          <w:tcPr>
            <w:tcW w:w="817" w:type="dxa"/>
            <w:vMerge/>
            <w:vAlign w:val="center"/>
          </w:tcPr>
          <w:p w14:paraId="323F0084" w14:textId="77777777" w:rsidR="005E5E4B" w:rsidRPr="003C3A1E" w:rsidRDefault="005E5E4B" w:rsidP="005E5E4B">
            <w:pPr>
              <w:jc w:val="center"/>
              <w:rPr>
                <w:rStyle w:val="IntenseReference"/>
              </w:rPr>
            </w:pPr>
          </w:p>
        </w:tc>
        <w:tc>
          <w:tcPr>
            <w:tcW w:w="1153" w:type="dxa"/>
            <w:vMerge/>
            <w:vAlign w:val="center"/>
          </w:tcPr>
          <w:p w14:paraId="36038878" w14:textId="77777777" w:rsidR="005E5E4B" w:rsidRPr="003C3A1E" w:rsidRDefault="005E5E4B" w:rsidP="005E5E4B">
            <w:pPr>
              <w:jc w:val="center"/>
              <w:rPr>
                <w:rStyle w:val="IntenseReference"/>
              </w:rPr>
            </w:pPr>
          </w:p>
        </w:tc>
        <w:tc>
          <w:tcPr>
            <w:tcW w:w="2391" w:type="dxa"/>
            <w:vAlign w:val="bottom"/>
          </w:tcPr>
          <w:p w14:paraId="40972621" w14:textId="77777777" w:rsidR="005E5E4B" w:rsidRPr="003C3A1E" w:rsidRDefault="005E5E4B" w:rsidP="00B815F5">
            <w:pPr>
              <w:rPr>
                <w:rStyle w:val="IntenseReference"/>
              </w:rPr>
            </w:pPr>
            <w:r w:rsidRPr="003C3A1E">
              <w:rPr>
                <w:rStyle w:val="IntenseReference"/>
              </w:rPr>
              <w:t>Frankland East</w:t>
            </w:r>
          </w:p>
        </w:tc>
        <w:tc>
          <w:tcPr>
            <w:tcW w:w="850" w:type="dxa"/>
          </w:tcPr>
          <w:p w14:paraId="019EA538" w14:textId="77777777" w:rsidR="005E5E4B" w:rsidRPr="003C3A1E" w:rsidRDefault="005E5E4B" w:rsidP="00B815F5">
            <w:pPr>
              <w:rPr>
                <w:rStyle w:val="IntenseReference"/>
              </w:rPr>
            </w:pPr>
            <w:r w:rsidRPr="003C3A1E">
              <w:rPr>
                <w:rStyle w:val="IntenseReference"/>
              </w:rPr>
              <w:t>MMP</w:t>
            </w:r>
          </w:p>
        </w:tc>
        <w:tc>
          <w:tcPr>
            <w:tcW w:w="426" w:type="dxa"/>
          </w:tcPr>
          <w:p w14:paraId="3E351808"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15E7B7B6"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757F8706" w14:textId="77777777" w:rsidR="005E5E4B" w:rsidRPr="00651AE0" w:rsidRDefault="00D230AA" w:rsidP="00B815F5">
            <w:pPr>
              <w:rPr>
                <w:rFonts w:ascii="Arial Narrow" w:hAnsi="Arial Narrow" w:cs="Arial"/>
                <w:sz w:val="22"/>
                <w:szCs w:val="22"/>
              </w:rPr>
            </w:pPr>
            <w:r w:rsidRPr="00613E31">
              <w:rPr>
                <w:rFonts w:ascii="Arial Narrow" w:hAnsi="Arial Narrow" w:cs="Arial"/>
                <w:color w:val="808080" w:themeColor="background1" w:themeShade="80"/>
                <w:sz w:val="22"/>
                <w:szCs w:val="22"/>
              </w:rPr>
              <w:t>●</w:t>
            </w:r>
          </w:p>
        </w:tc>
        <w:tc>
          <w:tcPr>
            <w:tcW w:w="425" w:type="dxa"/>
          </w:tcPr>
          <w:p w14:paraId="386BDD14" w14:textId="77777777" w:rsidR="005E5E4B" w:rsidRPr="00651AE0" w:rsidRDefault="005E5E4B" w:rsidP="00B815F5">
            <w:pPr>
              <w:rPr>
                <w:rFonts w:ascii="Arial Narrow" w:hAnsi="Arial Narrow" w:cs="Arial"/>
                <w:sz w:val="22"/>
                <w:szCs w:val="22"/>
              </w:rPr>
            </w:pPr>
          </w:p>
        </w:tc>
        <w:tc>
          <w:tcPr>
            <w:tcW w:w="426" w:type="dxa"/>
          </w:tcPr>
          <w:p w14:paraId="1D0D1153"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195E5474" w14:textId="77777777" w:rsidR="005E5E4B" w:rsidRPr="00651AE0" w:rsidRDefault="005E5E4B" w:rsidP="00B815F5">
            <w:pPr>
              <w:rPr>
                <w:rFonts w:ascii="Arial Narrow" w:hAnsi="Arial Narrow" w:cs="Arial"/>
                <w:sz w:val="22"/>
                <w:szCs w:val="22"/>
              </w:rPr>
            </w:pPr>
          </w:p>
        </w:tc>
        <w:tc>
          <w:tcPr>
            <w:tcW w:w="425" w:type="dxa"/>
          </w:tcPr>
          <w:p w14:paraId="52DA9B90"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278ED0B6" w14:textId="77777777" w:rsidR="005E5E4B" w:rsidRPr="00651AE0" w:rsidRDefault="005E5E4B" w:rsidP="00B815F5">
            <w:pPr>
              <w:rPr>
                <w:rFonts w:ascii="Arial Narrow" w:hAnsi="Arial Narrow" w:cs="Arial"/>
                <w:szCs w:val="22"/>
              </w:rPr>
            </w:pPr>
          </w:p>
        </w:tc>
        <w:tc>
          <w:tcPr>
            <w:tcW w:w="426" w:type="dxa"/>
          </w:tcPr>
          <w:p w14:paraId="2CE99116"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176FD0F6" w14:textId="77777777" w:rsidR="005E5E4B" w:rsidRPr="00651AE0" w:rsidRDefault="005E5E4B" w:rsidP="00B815F5">
            <w:pPr>
              <w:rPr>
                <w:rFonts w:ascii="Arial Narrow" w:hAnsi="Arial Narrow" w:cs="Arial"/>
                <w:szCs w:val="22"/>
              </w:rPr>
            </w:pPr>
          </w:p>
        </w:tc>
        <w:tc>
          <w:tcPr>
            <w:tcW w:w="425" w:type="dxa"/>
          </w:tcPr>
          <w:p w14:paraId="37B02A49"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r>
      <w:tr w:rsidR="005E5E4B" w14:paraId="62B597C4" w14:textId="77777777" w:rsidTr="00613E31">
        <w:tc>
          <w:tcPr>
            <w:tcW w:w="817" w:type="dxa"/>
            <w:vMerge/>
            <w:vAlign w:val="center"/>
          </w:tcPr>
          <w:p w14:paraId="172DECB2" w14:textId="77777777" w:rsidR="005E5E4B" w:rsidRPr="003C3A1E" w:rsidRDefault="005E5E4B" w:rsidP="005E5E4B">
            <w:pPr>
              <w:jc w:val="center"/>
              <w:rPr>
                <w:rStyle w:val="IntenseReference"/>
              </w:rPr>
            </w:pPr>
          </w:p>
        </w:tc>
        <w:tc>
          <w:tcPr>
            <w:tcW w:w="1153" w:type="dxa"/>
            <w:vMerge/>
            <w:vAlign w:val="center"/>
          </w:tcPr>
          <w:p w14:paraId="57DE1971" w14:textId="77777777" w:rsidR="005E5E4B" w:rsidRPr="003C3A1E" w:rsidRDefault="005E5E4B" w:rsidP="005E5E4B">
            <w:pPr>
              <w:jc w:val="center"/>
              <w:rPr>
                <w:rStyle w:val="IntenseReference"/>
              </w:rPr>
            </w:pPr>
          </w:p>
        </w:tc>
        <w:tc>
          <w:tcPr>
            <w:tcW w:w="2391" w:type="dxa"/>
            <w:vAlign w:val="bottom"/>
          </w:tcPr>
          <w:p w14:paraId="7E82E767" w14:textId="77777777" w:rsidR="005E5E4B" w:rsidRPr="003C3A1E" w:rsidRDefault="005E5E4B" w:rsidP="00B815F5">
            <w:pPr>
              <w:rPr>
                <w:rStyle w:val="IntenseReference"/>
              </w:rPr>
            </w:pPr>
            <w:r w:rsidRPr="003C3A1E">
              <w:rPr>
                <w:rStyle w:val="IntenseReference"/>
              </w:rPr>
              <w:t>Frankland West (WQ)</w:t>
            </w:r>
          </w:p>
        </w:tc>
        <w:tc>
          <w:tcPr>
            <w:tcW w:w="850" w:type="dxa"/>
          </w:tcPr>
          <w:p w14:paraId="7EF45512" w14:textId="77777777" w:rsidR="005E5E4B" w:rsidRPr="003C3A1E" w:rsidRDefault="005E5E4B" w:rsidP="00B815F5">
            <w:pPr>
              <w:rPr>
                <w:rStyle w:val="IntenseReference"/>
              </w:rPr>
            </w:pPr>
            <w:r w:rsidRPr="003C3A1E">
              <w:rPr>
                <w:rStyle w:val="IntenseReference"/>
              </w:rPr>
              <w:t>MMP</w:t>
            </w:r>
          </w:p>
        </w:tc>
        <w:tc>
          <w:tcPr>
            <w:tcW w:w="426" w:type="dxa"/>
          </w:tcPr>
          <w:p w14:paraId="7E70A113"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41E05AC0"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57065389"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28BF9C2B"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6" w:type="dxa"/>
          </w:tcPr>
          <w:p w14:paraId="59D6D897"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223FF0D3" w14:textId="77777777" w:rsidR="005E5E4B" w:rsidRPr="00651AE0" w:rsidRDefault="005E5E4B" w:rsidP="00B815F5">
            <w:pPr>
              <w:rPr>
                <w:rFonts w:ascii="Arial Narrow" w:hAnsi="Arial Narrow" w:cs="Arial"/>
                <w:sz w:val="22"/>
                <w:szCs w:val="22"/>
              </w:rPr>
            </w:pPr>
            <w:r>
              <w:rPr>
                <w:rFonts w:ascii="Arial Narrow" w:hAnsi="Arial Narrow" w:cs="Arial"/>
                <w:sz w:val="22"/>
                <w:szCs w:val="22"/>
              </w:rPr>
              <w:t>●</w:t>
            </w:r>
          </w:p>
        </w:tc>
        <w:tc>
          <w:tcPr>
            <w:tcW w:w="425" w:type="dxa"/>
          </w:tcPr>
          <w:p w14:paraId="0A068B93"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38252D5E"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6" w:type="dxa"/>
          </w:tcPr>
          <w:p w14:paraId="054A3403"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0ABA07CC" w14:textId="77777777" w:rsidR="005E5E4B" w:rsidRPr="00651AE0" w:rsidRDefault="005E5E4B" w:rsidP="00B815F5">
            <w:pPr>
              <w:rPr>
                <w:rFonts w:ascii="Arial Narrow" w:hAnsi="Arial Narrow" w:cs="Arial"/>
                <w:szCs w:val="22"/>
              </w:rPr>
            </w:pPr>
            <w:r>
              <w:rPr>
                <w:rFonts w:ascii="Arial Narrow" w:hAnsi="Arial Narrow" w:cs="Arial"/>
                <w:sz w:val="22"/>
                <w:szCs w:val="22"/>
              </w:rPr>
              <w:t>●</w:t>
            </w:r>
          </w:p>
        </w:tc>
        <w:tc>
          <w:tcPr>
            <w:tcW w:w="425" w:type="dxa"/>
          </w:tcPr>
          <w:p w14:paraId="1DC9D323" w14:textId="77777777" w:rsidR="005E5E4B" w:rsidRPr="00651AE0" w:rsidRDefault="005E5E4B" w:rsidP="00B815F5">
            <w:pPr>
              <w:rPr>
                <w:rFonts w:ascii="Arial Narrow" w:hAnsi="Arial Narrow" w:cs="Arial"/>
                <w:szCs w:val="22"/>
              </w:rPr>
            </w:pPr>
          </w:p>
        </w:tc>
      </w:tr>
      <w:tr w:rsidR="00D230AA" w14:paraId="367C8B91" w14:textId="77777777" w:rsidTr="00613E31">
        <w:tc>
          <w:tcPr>
            <w:tcW w:w="817" w:type="dxa"/>
            <w:vMerge/>
            <w:vAlign w:val="center"/>
          </w:tcPr>
          <w:p w14:paraId="6B8C20ED" w14:textId="77777777" w:rsidR="00D230AA" w:rsidRPr="003C3A1E" w:rsidRDefault="00D230AA" w:rsidP="005E5E4B">
            <w:pPr>
              <w:jc w:val="center"/>
              <w:rPr>
                <w:rStyle w:val="IntenseReference"/>
              </w:rPr>
            </w:pPr>
          </w:p>
        </w:tc>
        <w:tc>
          <w:tcPr>
            <w:tcW w:w="1153" w:type="dxa"/>
            <w:vMerge w:val="restart"/>
            <w:vAlign w:val="center"/>
          </w:tcPr>
          <w:p w14:paraId="79D8256C" w14:textId="77777777" w:rsidR="00D230AA" w:rsidRPr="003C3A1E" w:rsidRDefault="006E5C1E" w:rsidP="005E5E4B">
            <w:pPr>
              <w:jc w:val="center"/>
              <w:rPr>
                <w:rStyle w:val="IntenseReference"/>
              </w:rPr>
            </w:pPr>
            <w:r w:rsidRPr="003C3A1E">
              <w:rPr>
                <w:rStyle w:val="IntenseReference"/>
              </w:rPr>
              <w:t>Tully</w:t>
            </w:r>
          </w:p>
        </w:tc>
        <w:tc>
          <w:tcPr>
            <w:tcW w:w="2391" w:type="dxa"/>
            <w:vAlign w:val="bottom"/>
          </w:tcPr>
          <w:p w14:paraId="74208DDA" w14:textId="77777777" w:rsidR="00D230AA" w:rsidRPr="003C3A1E" w:rsidRDefault="00D230AA" w:rsidP="00B815F5">
            <w:pPr>
              <w:rPr>
                <w:rStyle w:val="IntenseReference"/>
              </w:rPr>
            </w:pPr>
            <w:r w:rsidRPr="003C3A1E">
              <w:rPr>
                <w:rStyle w:val="IntenseReference"/>
              </w:rPr>
              <w:t>Barnards</w:t>
            </w:r>
          </w:p>
        </w:tc>
        <w:tc>
          <w:tcPr>
            <w:tcW w:w="850" w:type="dxa"/>
          </w:tcPr>
          <w:p w14:paraId="1FEEDA82" w14:textId="77777777" w:rsidR="00D230AA" w:rsidRPr="003C3A1E" w:rsidRDefault="00D230AA" w:rsidP="00B815F5">
            <w:pPr>
              <w:rPr>
                <w:rStyle w:val="IntenseReference"/>
              </w:rPr>
            </w:pPr>
            <w:r w:rsidRPr="003C3A1E">
              <w:rPr>
                <w:rStyle w:val="IntenseReference"/>
              </w:rPr>
              <w:t>MMP</w:t>
            </w:r>
          </w:p>
        </w:tc>
        <w:tc>
          <w:tcPr>
            <w:tcW w:w="426" w:type="dxa"/>
          </w:tcPr>
          <w:p w14:paraId="29417FE0"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50D37543"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5B4670B7" w14:textId="77777777" w:rsidR="00D230AA" w:rsidRPr="00651AE0" w:rsidRDefault="00D230AA" w:rsidP="00B815F5">
            <w:pPr>
              <w:rPr>
                <w:rFonts w:ascii="Arial Narrow" w:hAnsi="Arial Narrow" w:cs="Arial"/>
                <w:sz w:val="22"/>
                <w:szCs w:val="22"/>
              </w:rPr>
            </w:pPr>
            <w:r w:rsidRPr="00613E31">
              <w:rPr>
                <w:rFonts w:ascii="Arial Narrow" w:hAnsi="Arial Narrow" w:cs="Arial"/>
                <w:color w:val="808080" w:themeColor="background1" w:themeShade="80"/>
                <w:sz w:val="22"/>
                <w:szCs w:val="22"/>
              </w:rPr>
              <w:t>●</w:t>
            </w:r>
          </w:p>
        </w:tc>
        <w:tc>
          <w:tcPr>
            <w:tcW w:w="425" w:type="dxa"/>
          </w:tcPr>
          <w:p w14:paraId="385F1378" w14:textId="77777777" w:rsidR="00D230AA" w:rsidRPr="00651AE0" w:rsidRDefault="00D230AA" w:rsidP="00B815F5">
            <w:pPr>
              <w:rPr>
                <w:rFonts w:ascii="Arial Narrow" w:hAnsi="Arial Narrow" w:cs="Arial"/>
                <w:sz w:val="22"/>
                <w:szCs w:val="22"/>
              </w:rPr>
            </w:pPr>
          </w:p>
        </w:tc>
        <w:tc>
          <w:tcPr>
            <w:tcW w:w="426" w:type="dxa"/>
          </w:tcPr>
          <w:p w14:paraId="327AA727"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266B64BA" w14:textId="77777777" w:rsidR="00D230AA" w:rsidRPr="00651AE0" w:rsidRDefault="00D230AA" w:rsidP="00B815F5">
            <w:pPr>
              <w:rPr>
                <w:rFonts w:ascii="Arial Narrow" w:hAnsi="Arial Narrow" w:cs="Arial"/>
                <w:sz w:val="22"/>
                <w:szCs w:val="22"/>
              </w:rPr>
            </w:pPr>
          </w:p>
        </w:tc>
        <w:tc>
          <w:tcPr>
            <w:tcW w:w="425" w:type="dxa"/>
          </w:tcPr>
          <w:p w14:paraId="0103FA15"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5" w:type="dxa"/>
          </w:tcPr>
          <w:p w14:paraId="109DA830" w14:textId="77777777" w:rsidR="00D230AA" w:rsidRPr="00651AE0" w:rsidRDefault="00D230AA" w:rsidP="00B815F5">
            <w:pPr>
              <w:rPr>
                <w:rFonts w:ascii="Arial Narrow" w:hAnsi="Arial Narrow" w:cs="Arial"/>
                <w:szCs w:val="22"/>
              </w:rPr>
            </w:pPr>
          </w:p>
        </w:tc>
        <w:tc>
          <w:tcPr>
            <w:tcW w:w="426" w:type="dxa"/>
          </w:tcPr>
          <w:p w14:paraId="0B49E187"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5" w:type="dxa"/>
          </w:tcPr>
          <w:p w14:paraId="2C5DBDD7" w14:textId="77777777" w:rsidR="00D230AA" w:rsidRPr="00651AE0" w:rsidRDefault="00D230AA" w:rsidP="00B815F5">
            <w:pPr>
              <w:rPr>
                <w:rFonts w:ascii="Arial Narrow" w:hAnsi="Arial Narrow" w:cs="Arial"/>
                <w:szCs w:val="22"/>
              </w:rPr>
            </w:pPr>
          </w:p>
        </w:tc>
        <w:tc>
          <w:tcPr>
            <w:tcW w:w="425" w:type="dxa"/>
          </w:tcPr>
          <w:p w14:paraId="2348AF5F"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r>
      <w:tr w:rsidR="00D230AA" w14:paraId="4F5D75D2" w14:textId="77777777" w:rsidTr="00613E31">
        <w:tc>
          <w:tcPr>
            <w:tcW w:w="817" w:type="dxa"/>
            <w:vMerge/>
            <w:vAlign w:val="center"/>
          </w:tcPr>
          <w:p w14:paraId="630316C6" w14:textId="77777777" w:rsidR="00D230AA" w:rsidRPr="003C3A1E" w:rsidRDefault="00D230AA" w:rsidP="00D230AA">
            <w:pPr>
              <w:jc w:val="center"/>
              <w:rPr>
                <w:rStyle w:val="IntenseReference"/>
              </w:rPr>
            </w:pPr>
          </w:p>
        </w:tc>
        <w:tc>
          <w:tcPr>
            <w:tcW w:w="1153" w:type="dxa"/>
            <w:vMerge/>
            <w:vAlign w:val="center"/>
          </w:tcPr>
          <w:p w14:paraId="088D8B0A" w14:textId="77777777" w:rsidR="00D230AA" w:rsidRPr="003C3A1E" w:rsidRDefault="00D230AA" w:rsidP="00D230AA">
            <w:pPr>
              <w:jc w:val="center"/>
              <w:rPr>
                <w:rStyle w:val="IntenseReference"/>
              </w:rPr>
            </w:pPr>
          </w:p>
        </w:tc>
        <w:tc>
          <w:tcPr>
            <w:tcW w:w="2391" w:type="dxa"/>
            <w:vAlign w:val="bottom"/>
          </w:tcPr>
          <w:p w14:paraId="391BC1B2" w14:textId="77777777" w:rsidR="00D230AA" w:rsidRPr="003C3A1E" w:rsidRDefault="00D230AA" w:rsidP="00B815F5">
            <w:pPr>
              <w:rPr>
                <w:rStyle w:val="IntenseReference"/>
              </w:rPr>
            </w:pPr>
            <w:r w:rsidRPr="003C3A1E">
              <w:rPr>
                <w:rStyle w:val="IntenseReference"/>
              </w:rPr>
              <w:t>King</w:t>
            </w:r>
          </w:p>
        </w:tc>
        <w:tc>
          <w:tcPr>
            <w:tcW w:w="850" w:type="dxa"/>
          </w:tcPr>
          <w:p w14:paraId="78E292F1" w14:textId="77777777" w:rsidR="00D230AA" w:rsidRPr="003C3A1E" w:rsidRDefault="00D230AA" w:rsidP="00B815F5">
            <w:pPr>
              <w:rPr>
                <w:rStyle w:val="IntenseReference"/>
              </w:rPr>
            </w:pPr>
            <w:r w:rsidRPr="003C3A1E">
              <w:rPr>
                <w:rStyle w:val="IntenseReference"/>
              </w:rPr>
              <w:t>MMP</w:t>
            </w:r>
          </w:p>
        </w:tc>
        <w:tc>
          <w:tcPr>
            <w:tcW w:w="426" w:type="dxa"/>
          </w:tcPr>
          <w:p w14:paraId="272C1A1E"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61F2C065"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38CBD82E" w14:textId="77777777" w:rsidR="00D230AA" w:rsidRPr="00651AE0" w:rsidRDefault="00D230AA" w:rsidP="00B815F5">
            <w:pPr>
              <w:rPr>
                <w:rFonts w:ascii="Arial Narrow" w:hAnsi="Arial Narrow" w:cs="Arial"/>
                <w:sz w:val="22"/>
                <w:szCs w:val="22"/>
              </w:rPr>
            </w:pPr>
          </w:p>
        </w:tc>
        <w:tc>
          <w:tcPr>
            <w:tcW w:w="425" w:type="dxa"/>
          </w:tcPr>
          <w:p w14:paraId="7F312F5A"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6" w:type="dxa"/>
          </w:tcPr>
          <w:p w14:paraId="1CF29D50" w14:textId="77777777" w:rsidR="00D230AA" w:rsidRPr="00651AE0" w:rsidRDefault="00D230AA" w:rsidP="00B815F5">
            <w:pPr>
              <w:rPr>
                <w:rFonts w:ascii="Arial Narrow" w:hAnsi="Arial Narrow" w:cs="Arial"/>
                <w:sz w:val="22"/>
                <w:szCs w:val="22"/>
              </w:rPr>
            </w:pPr>
          </w:p>
        </w:tc>
        <w:tc>
          <w:tcPr>
            <w:tcW w:w="425" w:type="dxa"/>
          </w:tcPr>
          <w:p w14:paraId="2289C53B"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1A6020A2" w14:textId="77777777" w:rsidR="00D230AA" w:rsidRPr="00651AE0" w:rsidRDefault="00D230AA" w:rsidP="00B815F5">
            <w:pPr>
              <w:rPr>
                <w:rFonts w:ascii="Arial Narrow" w:hAnsi="Arial Narrow" w:cs="Arial"/>
                <w:szCs w:val="22"/>
              </w:rPr>
            </w:pPr>
          </w:p>
        </w:tc>
        <w:tc>
          <w:tcPr>
            <w:tcW w:w="425" w:type="dxa"/>
          </w:tcPr>
          <w:p w14:paraId="74D0A32A"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6" w:type="dxa"/>
          </w:tcPr>
          <w:p w14:paraId="03108AEE" w14:textId="77777777" w:rsidR="00D230AA" w:rsidRPr="00651AE0" w:rsidRDefault="00D230AA" w:rsidP="00B815F5">
            <w:pPr>
              <w:rPr>
                <w:rFonts w:ascii="Arial Narrow" w:hAnsi="Arial Narrow" w:cs="Arial"/>
                <w:szCs w:val="22"/>
              </w:rPr>
            </w:pPr>
          </w:p>
        </w:tc>
        <w:tc>
          <w:tcPr>
            <w:tcW w:w="425" w:type="dxa"/>
          </w:tcPr>
          <w:p w14:paraId="2CAE8BED"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5" w:type="dxa"/>
          </w:tcPr>
          <w:p w14:paraId="3F3AD72B" w14:textId="77777777" w:rsidR="00D230AA" w:rsidRPr="00651AE0" w:rsidRDefault="00D230AA" w:rsidP="00B815F5">
            <w:pPr>
              <w:rPr>
                <w:rFonts w:ascii="Arial Narrow" w:hAnsi="Arial Narrow" w:cs="Arial"/>
                <w:szCs w:val="22"/>
              </w:rPr>
            </w:pPr>
          </w:p>
        </w:tc>
      </w:tr>
      <w:tr w:rsidR="00D230AA" w14:paraId="53B456F1" w14:textId="77777777" w:rsidTr="00613E31">
        <w:tc>
          <w:tcPr>
            <w:tcW w:w="817" w:type="dxa"/>
            <w:vMerge/>
            <w:vAlign w:val="center"/>
          </w:tcPr>
          <w:p w14:paraId="4F7DD407" w14:textId="77777777" w:rsidR="00D230AA" w:rsidRPr="003C3A1E" w:rsidRDefault="00D230AA" w:rsidP="00D230AA">
            <w:pPr>
              <w:jc w:val="center"/>
              <w:rPr>
                <w:rStyle w:val="IntenseReference"/>
              </w:rPr>
            </w:pPr>
          </w:p>
        </w:tc>
        <w:tc>
          <w:tcPr>
            <w:tcW w:w="1153" w:type="dxa"/>
            <w:vMerge/>
            <w:vAlign w:val="center"/>
          </w:tcPr>
          <w:p w14:paraId="293BE91C" w14:textId="77777777" w:rsidR="00D230AA" w:rsidRPr="003C3A1E" w:rsidRDefault="00D230AA" w:rsidP="00D230AA">
            <w:pPr>
              <w:jc w:val="center"/>
              <w:rPr>
                <w:rStyle w:val="IntenseReference"/>
              </w:rPr>
            </w:pPr>
          </w:p>
        </w:tc>
        <w:tc>
          <w:tcPr>
            <w:tcW w:w="2391" w:type="dxa"/>
            <w:vAlign w:val="bottom"/>
          </w:tcPr>
          <w:p w14:paraId="7A6AA578" w14:textId="77777777" w:rsidR="00D230AA" w:rsidRPr="003C3A1E" w:rsidRDefault="00D230AA" w:rsidP="00B815F5">
            <w:pPr>
              <w:rPr>
                <w:rStyle w:val="IntenseReference"/>
              </w:rPr>
            </w:pPr>
            <w:r w:rsidRPr="003C3A1E">
              <w:rPr>
                <w:rStyle w:val="IntenseReference"/>
              </w:rPr>
              <w:t>Dunk North (WQ)</w:t>
            </w:r>
          </w:p>
        </w:tc>
        <w:tc>
          <w:tcPr>
            <w:tcW w:w="850" w:type="dxa"/>
          </w:tcPr>
          <w:p w14:paraId="685AE5AD" w14:textId="77777777" w:rsidR="00D230AA" w:rsidRPr="003C3A1E" w:rsidRDefault="00D230AA" w:rsidP="00B815F5">
            <w:pPr>
              <w:rPr>
                <w:rStyle w:val="IntenseReference"/>
              </w:rPr>
            </w:pPr>
            <w:r w:rsidRPr="003C3A1E">
              <w:rPr>
                <w:rStyle w:val="IntenseReference"/>
              </w:rPr>
              <w:t>MMP</w:t>
            </w:r>
          </w:p>
        </w:tc>
        <w:tc>
          <w:tcPr>
            <w:tcW w:w="426" w:type="dxa"/>
          </w:tcPr>
          <w:p w14:paraId="022A0C12"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221DC96F"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6BC57852"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11A5E032"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6" w:type="dxa"/>
          </w:tcPr>
          <w:p w14:paraId="2396A220"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64D675CC"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1271FA97"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5" w:type="dxa"/>
          </w:tcPr>
          <w:p w14:paraId="39A7206A"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6" w:type="dxa"/>
          </w:tcPr>
          <w:p w14:paraId="5B9346C4"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5" w:type="dxa"/>
          </w:tcPr>
          <w:p w14:paraId="3C0EB940"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5" w:type="dxa"/>
          </w:tcPr>
          <w:p w14:paraId="1BE5A33F" w14:textId="77777777" w:rsidR="00D230AA" w:rsidRPr="00651AE0" w:rsidRDefault="00D230AA" w:rsidP="00B815F5">
            <w:pPr>
              <w:rPr>
                <w:rFonts w:ascii="Arial Narrow" w:hAnsi="Arial Narrow" w:cs="Arial"/>
                <w:szCs w:val="22"/>
              </w:rPr>
            </w:pPr>
          </w:p>
        </w:tc>
      </w:tr>
      <w:tr w:rsidR="00D230AA" w14:paraId="68C0E2F3" w14:textId="77777777" w:rsidTr="00613E31">
        <w:tc>
          <w:tcPr>
            <w:tcW w:w="817" w:type="dxa"/>
            <w:vMerge/>
            <w:vAlign w:val="center"/>
          </w:tcPr>
          <w:p w14:paraId="48783816" w14:textId="77777777" w:rsidR="00D230AA" w:rsidRPr="003C3A1E" w:rsidRDefault="00D230AA" w:rsidP="00D230AA">
            <w:pPr>
              <w:jc w:val="center"/>
              <w:rPr>
                <w:rStyle w:val="IntenseReference"/>
              </w:rPr>
            </w:pPr>
          </w:p>
        </w:tc>
        <w:tc>
          <w:tcPr>
            <w:tcW w:w="1153" w:type="dxa"/>
            <w:vMerge/>
            <w:vAlign w:val="center"/>
          </w:tcPr>
          <w:p w14:paraId="470C8A58" w14:textId="77777777" w:rsidR="00D230AA" w:rsidRPr="003C3A1E" w:rsidRDefault="00D230AA" w:rsidP="00D230AA">
            <w:pPr>
              <w:jc w:val="center"/>
              <w:rPr>
                <w:rStyle w:val="IntenseReference"/>
              </w:rPr>
            </w:pPr>
          </w:p>
        </w:tc>
        <w:tc>
          <w:tcPr>
            <w:tcW w:w="2391" w:type="dxa"/>
            <w:vAlign w:val="bottom"/>
          </w:tcPr>
          <w:p w14:paraId="47243074" w14:textId="77777777" w:rsidR="00D230AA" w:rsidRPr="003C3A1E" w:rsidRDefault="00D230AA" w:rsidP="00B815F5">
            <w:pPr>
              <w:rPr>
                <w:rStyle w:val="IntenseReference"/>
              </w:rPr>
            </w:pPr>
            <w:r w:rsidRPr="003C3A1E">
              <w:rPr>
                <w:rStyle w:val="IntenseReference"/>
              </w:rPr>
              <w:t>Dunk South</w:t>
            </w:r>
          </w:p>
        </w:tc>
        <w:tc>
          <w:tcPr>
            <w:tcW w:w="850" w:type="dxa"/>
          </w:tcPr>
          <w:p w14:paraId="5263ADDA" w14:textId="77777777" w:rsidR="00D230AA" w:rsidRPr="003C3A1E" w:rsidRDefault="00D230AA" w:rsidP="00B815F5">
            <w:pPr>
              <w:rPr>
                <w:rStyle w:val="IntenseReference"/>
              </w:rPr>
            </w:pPr>
            <w:r w:rsidRPr="003C3A1E">
              <w:rPr>
                <w:rStyle w:val="IntenseReference"/>
              </w:rPr>
              <w:t>MMP</w:t>
            </w:r>
          </w:p>
        </w:tc>
        <w:tc>
          <w:tcPr>
            <w:tcW w:w="426" w:type="dxa"/>
          </w:tcPr>
          <w:p w14:paraId="55116A9F"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18343B38"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26D08493" w14:textId="77777777" w:rsidR="00D230AA" w:rsidRPr="00651AE0" w:rsidRDefault="00D230AA" w:rsidP="00B815F5">
            <w:pPr>
              <w:rPr>
                <w:rFonts w:ascii="Arial Narrow" w:hAnsi="Arial Narrow" w:cs="Arial"/>
                <w:sz w:val="22"/>
                <w:szCs w:val="22"/>
              </w:rPr>
            </w:pPr>
          </w:p>
        </w:tc>
        <w:tc>
          <w:tcPr>
            <w:tcW w:w="425" w:type="dxa"/>
          </w:tcPr>
          <w:p w14:paraId="287ABBD8"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6" w:type="dxa"/>
          </w:tcPr>
          <w:p w14:paraId="0785090A" w14:textId="77777777" w:rsidR="00D230AA" w:rsidRPr="00651AE0" w:rsidRDefault="00D230AA" w:rsidP="00B815F5">
            <w:pPr>
              <w:rPr>
                <w:rFonts w:ascii="Arial Narrow" w:hAnsi="Arial Narrow" w:cs="Arial"/>
                <w:sz w:val="22"/>
                <w:szCs w:val="22"/>
              </w:rPr>
            </w:pPr>
          </w:p>
        </w:tc>
        <w:tc>
          <w:tcPr>
            <w:tcW w:w="425" w:type="dxa"/>
          </w:tcPr>
          <w:p w14:paraId="15B8879F" w14:textId="77777777" w:rsidR="00D230AA" w:rsidRPr="00651AE0" w:rsidRDefault="00D230AA" w:rsidP="00B815F5">
            <w:pPr>
              <w:rPr>
                <w:rFonts w:ascii="Arial Narrow" w:hAnsi="Arial Narrow" w:cs="Arial"/>
                <w:sz w:val="22"/>
                <w:szCs w:val="22"/>
              </w:rPr>
            </w:pPr>
            <w:r>
              <w:rPr>
                <w:rFonts w:ascii="Arial Narrow" w:hAnsi="Arial Narrow" w:cs="Arial"/>
                <w:sz w:val="22"/>
                <w:szCs w:val="22"/>
              </w:rPr>
              <w:t>●</w:t>
            </w:r>
          </w:p>
        </w:tc>
        <w:tc>
          <w:tcPr>
            <w:tcW w:w="425" w:type="dxa"/>
          </w:tcPr>
          <w:p w14:paraId="6337A112" w14:textId="77777777" w:rsidR="00D230AA" w:rsidRPr="00651AE0" w:rsidRDefault="00D230AA" w:rsidP="00B815F5">
            <w:pPr>
              <w:rPr>
                <w:rFonts w:ascii="Arial Narrow" w:hAnsi="Arial Narrow" w:cs="Arial"/>
                <w:szCs w:val="22"/>
              </w:rPr>
            </w:pPr>
            <w:r w:rsidRPr="00613E31">
              <w:rPr>
                <w:rFonts w:ascii="Arial Narrow" w:hAnsi="Arial Narrow" w:cs="Arial"/>
                <w:color w:val="808080" w:themeColor="background1" w:themeShade="80"/>
                <w:sz w:val="22"/>
                <w:szCs w:val="22"/>
              </w:rPr>
              <w:t>●</w:t>
            </w:r>
          </w:p>
        </w:tc>
        <w:tc>
          <w:tcPr>
            <w:tcW w:w="425" w:type="dxa"/>
          </w:tcPr>
          <w:p w14:paraId="682B2639"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6" w:type="dxa"/>
          </w:tcPr>
          <w:p w14:paraId="5A664E1E" w14:textId="77777777" w:rsidR="00D230AA" w:rsidRPr="00651AE0" w:rsidRDefault="00D230AA" w:rsidP="00B815F5">
            <w:pPr>
              <w:rPr>
                <w:rFonts w:ascii="Arial Narrow" w:hAnsi="Arial Narrow" w:cs="Arial"/>
                <w:szCs w:val="22"/>
              </w:rPr>
            </w:pPr>
          </w:p>
        </w:tc>
        <w:tc>
          <w:tcPr>
            <w:tcW w:w="425" w:type="dxa"/>
          </w:tcPr>
          <w:p w14:paraId="21CFC6F1"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c>
          <w:tcPr>
            <w:tcW w:w="425" w:type="dxa"/>
          </w:tcPr>
          <w:p w14:paraId="3B0FD08F" w14:textId="77777777" w:rsidR="00D230AA" w:rsidRPr="00651AE0" w:rsidRDefault="00D230AA" w:rsidP="00B815F5">
            <w:pPr>
              <w:rPr>
                <w:rFonts w:ascii="Arial Narrow" w:hAnsi="Arial Narrow" w:cs="Arial"/>
                <w:szCs w:val="22"/>
              </w:rPr>
            </w:pPr>
          </w:p>
        </w:tc>
      </w:tr>
      <w:tr w:rsidR="00D230AA" w14:paraId="658C3A10" w14:textId="77777777" w:rsidTr="00613E31">
        <w:tc>
          <w:tcPr>
            <w:tcW w:w="817" w:type="dxa"/>
            <w:vMerge/>
            <w:vAlign w:val="center"/>
          </w:tcPr>
          <w:p w14:paraId="4ACF7EC9" w14:textId="77777777" w:rsidR="00D230AA" w:rsidRPr="003C3A1E" w:rsidRDefault="00D230AA" w:rsidP="00D230AA">
            <w:pPr>
              <w:jc w:val="center"/>
              <w:rPr>
                <w:rStyle w:val="IntenseReference"/>
              </w:rPr>
            </w:pPr>
          </w:p>
        </w:tc>
        <w:tc>
          <w:tcPr>
            <w:tcW w:w="1153" w:type="dxa"/>
            <w:vMerge/>
            <w:vAlign w:val="center"/>
          </w:tcPr>
          <w:p w14:paraId="153FBE30" w14:textId="77777777" w:rsidR="00D230AA" w:rsidRPr="003C3A1E" w:rsidRDefault="00D230AA" w:rsidP="00D230AA">
            <w:pPr>
              <w:jc w:val="center"/>
              <w:rPr>
                <w:rStyle w:val="IntenseReference"/>
              </w:rPr>
            </w:pPr>
          </w:p>
        </w:tc>
        <w:tc>
          <w:tcPr>
            <w:tcW w:w="2391" w:type="dxa"/>
            <w:vAlign w:val="bottom"/>
          </w:tcPr>
          <w:p w14:paraId="496FF0C2" w14:textId="77777777" w:rsidR="00D230AA" w:rsidRPr="003C3A1E" w:rsidRDefault="00D230AA" w:rsidP="00B815F5">
            <w:pPr>
              <w:rPr>
                <w:rStyle w:val="IntenseReference"/>
              </w:rPr>
            </w:pPr>
            <w:r w:rsidRPr="003C3A1E">
              <w:rPr>
                <w:rStyle w:val="IntenseReference"/>
              </w:rPr>
              <w:t>Bedarra</w:t>
            </w:r>
          </w:p>
        </w:tc>
        <w:tc>
          <w:tcPr>
            <w:tcW w:w="850" w:type="dxa"/>
          </w:tcPr>
          <w:p w14:paraId="66741A97" w14:textId="77777777" w:rsidR="00D230AA" w:rsidRPr="003C3A1E" w:rsidRDefault="00D230AA" w:rsidP="00B815F5">
            <w:pPr>
              <w:rPr>
                <w:rStyle w:val="IntenseReference"/>
              </w:rPr>
            </w:pPr>
            <w:r w:rsidRPr="003C3A1E">
              <w:rPr>
                <w:rStyle w:val="IntenseReference"/>
              </w:rPr>
              <w:t>MMP</w:t>
            </w:r>
          </w:p>
        </w:tc>
        <w:tc>
          <w:tcPr>
            <w:tcW w:w="426" w:type="dxa"/>
          </w:tcPr>
          <w:p w14:paraId="0F2D0413" w14:textId="77777777" w:rsidR="00D230AA" w:rsidRPr="00651AE0" w:rsidRDefault="00D230AA" w:rsidP="00B815F5">
            <w:pPr>
              <w:rPr>
                <w:rFonts w:ascii="Arial Narrow" w:hAnsi="Arial Narrow" w:cs="Arial"/>
                <w:sz w:val="22"/>
                <w:szCs w:val="22"/>
              </w:rPr>
            </w:pPr>
          </w:p>
        </w:tc>
        <w:tc>
          <w:tcPr>
            <w:tcW w:w="425" w:type="dxa"/>
          </w:tcPr>
          <w:p w14:paraId="4D0211FC" w14:textId="77777777" w:rsidR="00D230AA" w:rsidRPr="00651AE0" w:rsidRDefault="00D230AA" w:rsidP="00B815F5">
            <w:pPr>
              <w:rPr>
                <w:rFonts w:ascii="Arial Narrow" w:hAnsi="Arial Narrow" w:cs="Arial"/>
                <w:sz w:val="22"/>
                <w:szCs w:val="22"/>
              </w:rPr>
            </w:pPr>
          </w:p>
        </w:tc>
        <w:tc>
          <w:tcPr>
            <w:tcW w:w="425" w:type="dxa"/>
          </w:tcPr>
          <w:p w14:paraId="6378DC84" w14:textId="77777777" w:rsidR="00D230AA" w:rsidRPr="00651AE0" w:rsidRDefault="00D230AA" w:rsidP="00B815F5">
            <w:pPr>
              <w:rPr>
                <w:rFonts w:ascii="Arial Narrow" w:hAnsi="Arial Narrow" w:cs="Arial"/>
                <w:sz w:val="22"/>
                <w:szCs w:val="22"/>
              </w:rPr>
            </w:pPr>
          </w:p>
        </w:tc>
        <w:tc>
          <w:tcPr>
            <w:tcW w:w="425" w:type="dxa"/>
          </w:tcPr>
          <w:p w14:paraId="2EB0AA57" w14:textId="77777777" w:rsidR="00D230AA" w:rsidRPr="00651AE0" w:rsidRDefault="00D230AA" w:rsidP="00B815F5">
            <w:pPr>
              <w:rPr>
                <w:rFonts w:ascii="Arial Narrow" w:hAnsi="Arial Narrow" w:cs="Arial"/>
                <w:sz w:val="22"/>
                <w:szCs w:val="22"/>
              </w:rPr>
            </w:pPr>
          </w:p>
        </w:tc>
        <w:tc>
          <w:tcPr>
            <w:tcW w:w="426" w:type="dxa"/>
          </w:tcPr>
          <w:p w14:paraId="4A83A525" w14:textId="77777777" w:rsidR="00D230AA" w:rsidRPr="00651AE0" w:rsidRDefault="00D230AA" w:rsidP="00B815F5">
            <w:pPr>
              <w:rPr>
                <w:rFonts w:ascii="Arial Narrow" w:hAnsi="Arial Narrow" w:cs="Arial"/>
                <w:sz w:val="22"/>
                <w:szCs w:val="22"/>
              </w:rPr>
            </w:pPr>
          </w:p>
        </w:tc>
        <w:tc>
          <w:tcPr>
            <w:tcW w:w="425" w:type="dxa"/>
          </w:tcPr>
          <w:p w14:paraId="3763589B" w14:textId="77777777" w:rsidR="00D230AA" w:rsidRPr="00651AE0" w:rsidRDefault="00D230AA" w:rsidP="00B815F5">
            <w:pPr>
              <w:rPr>
                <w:rFonts w:ascii="Arial Narrow" w:hAnsi="Arial Narrow" w:cs="Arial"/>
                <w:sz w:val="22"/>
                <w:szCs w:val="22"/>
              </w:rPr>
            </w:pPr>
          </w:p>
        </w:tc>
        <w:tc>
          <w:tcPr>
            <w:tcW w:w="425" w:type="dxa"/>
          </w:tcPr>
          <w:p w14:paraId="794AF5D1" w14:textId="77777777" w:rsidR="00D230AA" w:rsidRPr="00651AE0" w:rsidRDefault="00D230AA" w:rsidP="00B815F5">
            <w:pPr>
              <w:rPr>
                <w:rFonts w:ascii="Arial Narrow" w:hAnsi="Arial Narrow" w:cs="Arial"/>
                <w:szCs w:val="22"/>
              </w:rPr>
            </w:pPr>
          </w:p>
        </w:tc>
        <w:tc>
          <w:tcPr>
            <w:tcW w:w="425" w:type="dxa"/>
          </w:tcPr>
          <w:p w14:paraId="4BC54604" w14:textId="77777777" w:rsidR="00D230AA" w:rsidRPr="00651AE0" w:rsidRDefault="00D230AA" w:rsidP="00B815F5">
            <w:pPr>
              <w:rPr>
                <w:rFonts w:ascii="Arial Narrow" w:hAnsi="Arial Narrow" w:cs="Arial"/>
                <w:szCs w:val="22"/>
              </w:rPr>
            </w:pPr>
          </w:p>
        </w:tc>
        <w:tc>
          <w:tcPr>
            <w:tcW w:w="426" w:type="dxa"/>
          </w:tcPr>
          <w:p w14:paraId="6A1BE14A" w14:textId="77777777" w:rsidR="00D230AA" w:rsidRPr="00651AE0" w:rsidRDefault="00D230AA" w:rsidP="00B815F5">
            <w:pPr>
              <w:rPr>
                <w:rFonts w:ascii="Arial Narrow" w:hAnsi="Arial Narrow" w:cs="Arial"/>
                <w:szCs w:val="22"/>
              </w:rPr>
            </w:pPr>
          </w:p>
        </w:tc>
        <w:tc>
          <w:tcPr>
            <w:tcW w:w="425" w:type="dxa"/>
          </w:tcPr>
          <w:p w14:paraId="4A9ECBEB" w14:textId="77777777" w:rsidR="00D230AA" w:rsidRPr="00651AE0" w:rsidRDefault="00D230AA" w:rsidP="00B815F5">
            <w:pPr>
              <w:rPr>
                <w:rFonts w:ascii="Arial Narrow" w:hAnsi="Arial Narrow" w:cs="Arial"/>
                <w:szCs w:val="22"/>
              </w:rPr>
            </w:pPr>
          </w:p>
        </w:tc>
        <w:tc>
          <w:tcPr>
            <w:tcW w:w="425" w:type="dxa"/>
          </w:tcPr>
          <w:p w14:paraId="4901CFC3" w14:textId="77777777" w:rsidR="00D230AA" w:rsidRPr="00651AE0" w:rsidRDefault="00D230AA" w:rsidP="00B815F5">
            <w:pPr>
              <w:rPr>
                <w:rFonts w:ascii="Arial Narrow" w:hAnsi="Arial Narrow" w:cs="Arial"/>
                <w:szCs w:val="22"/>
              </w:rPr>
            </w:pPr>
            <w:r>
              <w:rPr>
                <w:rFonts w:ascii="Arial Narrow" w:hAnsi="Arial Narrow" w:cs="Arial"/>
                <w:sz w:val="22"/>
                <w:szCs w:val="22"/>
              </w:rPr>
              <w:t>●</w:t>
            </w:r>
          </w:p>
        </w:tc>
      </w:tr>
      <w:tr w:rsidR="005233EB" w14:paraId="022BA359" w14:textId="77777777" w:rsidTr="00613E31">
        <w:tc>
          <w:tcPr>
            <w:tcW w:w="1970" w:type="dxa"/>
            <w:gridSpan w:val="2"/>
            <w:vMerge w:val="restart"/>
            <w:vAlign w:val="center"/>
          </w:tcPr>
          <w:p w14:paraId="4F9C69ED" w14:textId="77777777" w:rsidR="005233EB" w:rsidRPr="003C3A1E" w:rsidRDefault="005233EB" w:rsidP="00613E31">
            <w:pPr>
              <w:jc w:val="center"/>
              <w:rPr>
                <w:rStyle w:val="IntenseReference"/>
              </w:rPr>
            </w:pPr>
            <w:r w:rsidRPr="003C3A1E">
              <w:rPr>
                <w:rStyle w:val="IntenseReference"/>
              </w:rPr>
              <w:t>Burdekin</w:t>
            </w:r>
          </w:p>
        </w:tc>
        <w:tc>
          <w:tcPr>
            <w:tcW w:w="2391" w:type="dxa"/>
            <w:vAlign w:val="bottom"/>
          </w:tcPr>
          <w:p w14:paraId="3E989B70" w14:textId="77777777" w:rsidR="005233EB" w:rsidRPr="003C3A1E" w:rsidRDefault="005233EB" w:rsidP="00B815F5">
            <w:pPr>
              <w:rPr>
                <w:rStyle w:val="IntenseReference"/>
              </w:rPr>
            </w:pPr>
            <w:r w:rsidRPr="003C3A1E">
              <w:rPr>
                <w:rStyle w:val="IntenseReference"/>
              </w:rPr>
              <w:t>Palms West (WQ)</w:t>
            </w:r>
          </w:p>
        </w:tc>
        <w:tc>
          <w:tcPr>
            <w:tcW w:w="850" w:type="dxa"/>
          </w:tcPr>
          <w:p w14:paraId="7F8FF891" w14:textId="77777777" w:rsidR="005233EB" w:rsidRPr="003C3A1E" w:rsidRDefault="005233EB" w:rsidP="00B815F5">
            <w:pPr>
              <w:rPr>
                <w:rStyle w:val="IntenseReference"/>
              </w:rPr>
            </w:pPr>
            <w:r w:rsidRPr="003C3A1E">
              <w:rPr>
                <w:rStyle w:val="IntenseReference"/>
              </w:rPr>
              <w:t>MMP</w:t>
            </w:r>
          </w:p>
        </w:tc>
        <w:tc>
          <w:tcPr>
            <w:tcW w:w="426" w:type="dxa"/>
          </w:tcPr>
          <w:p w14:paraId="513FCD8F"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17BDBC9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4F8DE4C"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A74E399"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314C443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5E0DCF2"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2E892541"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5E66F352"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2E918049"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1EF32ECA"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7256ACAF"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3ED37961" w14:textId="77777777" w:rsidTr="00613E31">
        <w:tc>
          <w:tcPr>
            <w:tcW w:w="1970" w:type="dxa"/>
            <w:gridSpan w:val="2"/>
            <w:vMerge/>
            <w:vAlign w:val="center"/>
          </w:tcPr>
          <w:p w14:paraId="5F2644DA" w14:textId="77777777" w:rsidR="005233EB" w:rsidRPr="003C3A1E" w:rsidRDefault="005233EB" w:rsidP="00D230AA">
            <w:pPr>
              <w:jc w:val="center"/>
              <w:rPr>
                <w:rStyle w:val="IntenseReference"/>
              </w:rPr>
            </w:pPr>
          </w:p>
        </w:tc>
        <w:tc>
          <w:tcPr>
            <w:tcW w:w="2391" w:type="dxa"/>
            <w:vAlign w:val="bottom"/>
          </w:tcPr>
          <w:p w14:paraId="5A2C4FE3" w14:textId="77777777" w:rsidR="005233EB" w:rsidRPr="003C3A1E" w:rsidRDefault="005233EB" w:rsidP="00B815F5">
            <w:pPr>
              <w:rPr>
                <w:rStyle w:val="IntenseReference"/>
              </w:rPr>
            </w:pPr>
            <w:r w:rsidRPr="003C3A1E">
              <w:rPr>
                <w:rStyle w:val="IntenseReference"/>
              </w:rPr>
              <w:t>Palms East</w:t>
            </w:r>
          </w:p>
        </w:tc>
        <w:tc>
          <w:tcPr>
            <w:tcW w:w="850" w:type="dxa"/>
          </w:tcPr>
          <w:p w14:paraId="7101AF7F" w14:textId="77777777" w:rsidR="005233EB" w:rsidRPr="003C3A1E" w:rsidRDefault="005233EB" w:rsidP="00B815F5">
            <w:pPr>
              <w:rPr>
                <w:rStyle w:val="IntenseReference"/>
              </w:rPr>
            </w:pPr>
            <w:r w:rsidRPr="003C3A1E">
              <w:rPr>
                <w:rStyle w:val="IntenseReference"/>
              </w:rPr>
              <w:t>MMP</w:t>
            </w:r>
          </w:p>
        </w:tc>
        <w:tc>
          <w:tcPr>
            <w:tcW w:w="426" w:type="dxa"/>
          </w:tcPr>
          <w:p w14:paraId="68B69AE3"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060EB2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12923B5" w14:textId="77777777" w:rsidR="005233EB" w:rsidRPr="00651AE0" w:rsidRDefault="005233EB" w:rsidP="00B815F5">
            <w:pPr>
              <w:rPr>
                <w:rFonts w:ascii="Arial Narrow" w:hAnsi="Arial Narrow" w:cs="Arial"/>
                <w:sz w:val="22"/>
                <w:szCs w:val="22"/>
              </w:rPr>
            </w:pPr>
          </w:p>
        </w:tc>
        <w:tc>
          <w:tcPr>
            <w:tcW w:w="425" w:type="dxa"/>
          </w:tcPr>
          <w:p w14:paraId="024BC4F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2FD065B7" w14:textId="77777777" w:rsidR="005233EB" w:rsidRPr="00651AE0" w:rsidRDefault="005233EB" w:rsidP="00B815F5">
            <w:pPr>
              <w:rPr>
                <w:rFonts w:ascii="Arial Narrow" w:hAnsi="Arial Narrow" w:cs="Arial"/>
                <w:sz w:val="22"/>
                <w:szCs w:val="22"/>
              </w:rPr>
            </w:pPr>
          </w:p>
        </w:tc>
        <w:tc>
          <w:tcPr>
            <w:tcW w:w="425" w:type="dxa"/>
          </w:tcPr>
          <w:p w14:paraId="68DAEE7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1FBBCBA" w14:textId="77777777" w:rsidR="005233EB" w:rsidRPr="00651AE0" w:rsidRDefault="005233EB" w:rsidP="00B815F5">
            <w:pPr>
              <w:rPr>
                <w:rFonts w:ascii="Arial Narrow" w:hAnsi="Arial Narrow" w:cs="Arial"/>
                <w:szCs w:val="22"/>
              </w:rPr>
            </w:pPr>
            <w:r w:rsidRPr="00613E31">
              <w:rPr>
                <w:rFonts w:ascii="Arial Narrow" w:hAnsi="Arial Narrow" w:cs="Arial"/>
                <w:color w:val="808080" w:themeColor="background1" w:themeShade="80"/>
                <w:sz w:val="22"/>
                <w:szCs w:val="22"/>
              </w:rPr>
              <w:t>●</w:t>
            </w:r>
          </w:p>
        </w:tc>
        <w:tc>
          <w:tcPr>
            <w:tcW w:w="425" w:type="dxa"/>
          </w:tcPr>
          <w:p w14:paraId="2183EF75"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5D8624B5" w14:textId="77777777" w:rsidR="005233EB" w:rsidRPr="00651AE0" w:rsidRDefault="005233EB" w:rsidP="00B815F5">
            <w:pPr>
              <w:rPr>
                <w:rFonts w:ascii="Arial Narrow" w:hAnsi="Arial Narrow" w:cs="Arial"/>
                <w:szCs w:val="22"/>
              </w:rPr>
            </w:pPr>
          </w:p>
        </w:tc>
        <w:tc>
          <w:tcPr>
            <w:tcW w:w="425" w:type="dxa"/>
          </w:tcPr>
          <w:p w14:paraId="7E3B1F59"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D2E933E" w14:textId="77777777" w:rsidR="005233EB" w:rsidRPr="00651AE0" w:rsidRDefault="005233EB" w:rsidP="00B815F5">
            <w:pPr>
              <w:rPr>
                <w:rFonts w:ascii="Arial Narrow" w:hAnsi="Arial Narrow" w:cs="Arial"/>
                <w:szCs w:val="22"/>
              </w:rPr>
            </w:pPr>
          </w:p>
        </w:tc>
      </w:tr>
      <w:tr w:rsidR="005233EB" w14:paraId="1FD71CED" w14:textId="77777777" w:rsidTr="00613E31">
        <w:tc>
          <w:tcPr>
            <w:tcW w:w="1970" w:type="dxa"/>
            <w:gridSpan w:val="2"/>
            <w:vMerge/>
            <w:vAlign w:val="center"/>
          </w:tcPr>
          <w:p w14:paraId="51E45F7F" w14:textId="77777777" w:rsidR="005233EB" w:rsidRPr="003C3A1E" w:rsidRDefault="005233EB" w:rsidP="00D230AA">
            <w:pPr>
              <w:jc w:val="center"/>
              <w:rPr>
                <w:rStyle w:val="IntenseReference"/>
              </w:rPr>
            </w:pPr>
          </w:p>
        </w:tc>
        <w:tc>
          <w:tcPr>
            <w:tcW w:w="2391" w:type="dxa"/>
            <w:vAlign w:val="bottom"/>
          </w:tcPr>
          <w:p w14:paraId="41305C22" w14:textId="77777777" w:rsidR="005233EB" w:rsidRPr="003C3A1E" w:rsidRDefault="005233EB" w:rsidP="00B815F5">
            <w:pPr>
              <w:rPr>
                <w:rStyle w:val="IntenseReference"/>
              </w:rPr>
            </w:pPr>
            <w:r w:rsidRPr="003C3A1E">
              <w:rPr>
                <w:rStyle w:val="IntenseReference"/>
              </w:rPr>
              <w:t>Lady Elliot</w:t>
            </w:r>
          </w:p>
        </w:tc>
        <w:tc>
          <w:tcPr>
            <w:tcW w:w="850" w:type="dxa"/>
          </w:tcPr>
          <w:p w14:paraId="774B6BC0" w14:textId="77777777" w:rsidR="005233EB" w:rsidRPr="003C3A1E" w:rsidRDefault="005233EB" w:rsidP="00B815F5">
            <w:pPr>
              <w:rPr>
                <w:rStyle w:val="IntenseReference"/>
              </w:rPr>
            </w:pPr>
            <w:r w:rsidRPr="003C3A1E">
              <w:rPr>
                <w:rStyle w:val="IntenseReference"/>
              </w:rPr>
              <w:t>MMP</w:t>
            </w:r>
          </w:p>
        </w:tc>
        <w:tc>
          <w:tcPr>
            <w:tcW w:w="426" w:type="dxa"/>
          </w:tcPr>
          <w:p w14:paraId="2371981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7E38CA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F96EF21" w14:textId="77777777" w:rsidR="005233EB" w:rsidRPr="00651AE0" w:rsidRDefault="005233EB" w:rsidP="00B815F5">
            <w:pPr>
              <w:rPr>
                <w:rFonts w:ascii="Arial Narrow" w:hAnsi="Arial Narrow" w:cs="Arial"/>
                <w:sz w:val="22"/>
                <w:szCs w:val="22"/>
              </w:rPr>
            </w:pPr>
          </w:p>
        </w:tc>
        <w:tc>
          <w:tcPr>
            <w:tcW w:w="425" w:type="dxa"/>
          </w:tcPr>
          <w:p w14:paraId="6C609B6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5135C2A3" w14:textId="77777777" w:rsidR="005233EB" w:rsidRPr="00651AE0" w:rsidRDefault="005233EB" w:rsidP="00B815F5">
            <w:pPr>
              <w:rPr>
                <w:rFonts w:ascii="Arial Narrow" w:hAnsi="Arial Narrow" w:cs="Arial"/>
                <w:sz w:val="22"/>
                <w:szCs w:val="22"/>
              </w:rPr>
            </w:pPr>
          </w:p>
        </w:tc>
        <w:tc>
          <w:tcPr>
            <w:tcW w:w="425" w:type="dxa"/>
          </w:tcPr>
          <w:p w14:paraId="1678BE5C"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12B8C6A" w14:textId="77777777" w:rsidR="005233EB" w:rsidRPr="00651AE0" w:rsidRDefault="005233EB" w:rsidP="00B815F5">
            <w:pPr>
              <w:rPr>
                <w:rFonts w:ascii="Arial Narrow" w:hAnsi="Arial Narrow" w:cs="Arial"/>
                <w:szCs w:val="22"/>
              </w:rPr>
            </w:pPr>
          </w:p>
        </w:tc>
        <w:tc>
          <w:tcPr>
            <w:tcW w:w="425" w:type="dxa"/>
          </w:tcPr>
          <w:p w14:paraId="6EB692CD"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6D2AA992" w14:textId="77777777" w:rsidR="005233EB" w:rsidRPr="00651AE0" w:rsidRDefault="005233EB" w:rsidP="00B815F5">
            <w:pPr>
              <w:rPr>
                <w:rFonts w:ascii="Arial Narrow" w:hAnsi="Arial Narrow" w:cs="Arial"/>
                <w:szCs w:val="22"/>
              </w:rPr>
            </w:pPr>
          </w:p>
        </w:tc>
        <w:tc>
          <w:tcPr>
            <w:tcW w:w="425" w:type="dxa"/>
          </w:tcPr>
          <w:p w14:paraId="18B843D9"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700F8E68" w14:textId="77777777" w:rsidR="005233EB" w:rsidRPr="00651AE0" w:rsidRDefault="005233EB" w:rsidP="00B815F5">
            <w:pPr>
              <w:rPr>
                <w:rFonts w:ascii="Arial Narrow" w:hAnsi="Arial Narrow" w:cs="Arial"/>
                <w:szCs w:val="22"/>
              </w:rPr>
            </w:pPr>
          </w:p>
        </w:tc>
      </w:tr>
      <w:tr w:rsidR="005233EB" w14:paraId="72DB8DD5" w14:textId="77777777" w:rsidTr="00613E31">
        <w:tc>
          <w:tcPr>
            <w:tcW w:w="1970" w:type="dxa"/>
            <w:gridSpan w:val="2"/>
            <w:vMerge/>
            <w:vAlign w:val="center"/>
          </w:tcPr>
          <w:p w14:paraId="1A7D6E5E" w14:textId="77777777" w:rsidR="005233EB" w:rsidRPr="003C3A1E" w:rsidRDefault="005233EB" w:rsidP="00D230AA">
            <w:pPr>
              <w:jc w:val="center"/>
              <w:rPr>
                <w:rStyle w:val="IntenseReference"/>
              </w:rPr>
            </w:pPr>
          </w:p>
        </w:tc>
        <w:tc>
          <w:tcPr>
            <w:tcW w:w="2391" w:type="dxa"/>
            <w:vAlign w:val="bottom"/>
          </w:tcPr>
          <w:p w14:paraId="58FFBD73" w14:textId="77777777" w:rsidR="005233EB" w:rsidRPr="003C3A1E" w:rsidRDefault="005233EB" w:rsidP="00B815F5">
            <w:pPr>
              <w:rPr>
                <w:rStyle w:val="IntenseReference"/>
              </w:rPr>
            </w:pPr>
            <w:r w:rsidRPr="003C3A1E">
              <w:rPr>
                <w:rStyle w:val="IntenseReference"/>
              </w:rPr>
              <w:t>Pandora North</w:t>
            </w:r>
          </w:p>
        </w:tc>
        <w:tc>
          <w:tcPr>
            <w:tcW w:w="850" w:type="dxa"/>
          </w:tcPr>
          <w:p w14:paraId="6613D28C" w14:textId="77777777" w:rsidR="005233EB" w:rsidRPr="003C3A1E" w:rsidRDefault="005233EB" w:rsidP="00B815F5">
            <w:pPr>
              <w:rPr>
                <w:rStyle w:val="IntenseReference"/>
              </w:rPr>
            </w:pPr>
            <w:r w:rsidRPr="003C3A1E">
              <w:rPr>
                <w:rStyle w:val="IntenseReference"/>
              </w:rPr>
              <w:t>LTMP</w:t>
            </w:r>
          </w:p>
        </w:tc>
        <w:tc>
          <w:tcPr>
            <w:tcW w:w="426" w:type="dxa"/>
          </w:tcPr>
          <w:p w14:paraId="218122AC"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21BE3D8" w14:textId="77777777" w:rsidR="005233EB" w:rsidRPr="00651AE0" w:rsidRDefault="005233EB" w:rsidP="00B815F5">
            <w:pPr>
              <w:rPr>
                <w:rFonts w:ascii="Arial Narrow" w:hAnsi="Arial Narrow" w:cs="Arial"/>
                <w:sz w:val="22"/>
                <w:szCs w:val="22"/>
              </w:rPr>
            </w:pPr>
          </w:p>
        </w:tc>
        <w:tc>
          <w:tcPr>
            <w:tcW w:w="425" w:type="dxa"/>
          </w:tcPr>
          <w:p w14:paraId="3300BAA0"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E0447FE" w14:textId="77777777" w:rsidR="005233EB" w:rsidRPr="00651AE0" w:rsidRDefault="005233EB" w:rsidP="00B815F5">
            <w:pPr>
              <w:rPr>
                <w:rFonts w:ascii="Arial Narrow" w:hAnsi="Arial Narrow" w:cs="Arial"/>
                <w:sz w:val="22"/>
                <w:szCs w:val="22"/>
              </w:rPr>
            </w:pPr>
          </w:p>
        </w:tc>
        <w:tc>
          <w:tcPr>
            <w:tcW w:w="426" w:type="dxa"/>
          </w:tcPr>
          <w:p w14:paraId="454ABA22"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ED3828A" w14:textId="77777777" w:rsidR="005233EB" w:rsidRPr="00651AE0" w:rsidRDefault="005233EB" w:rsidP="00B815F5">
            <w:pPr>
              <w:rPr>
                <w:rFonts w:ascii="Arial Narrow" w:hAnsi="Arial Narrow" w:cs="Arial"/>
                <w:sz w:val="22"/>
                <w:szCs w:val="22"/>
              </w:rPr>
            </w:pPr>
          </w:p>
        </w:tc>
        <w:tc>
          <w:tcPr>
            <w:tcW w:w="425" w:type="dxa"/>
          </w:tcPr>
          <w:p w14:paraId="7343E051"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0E016AC1" w14:textId="77777777" w:rsidR="005233EB" w:rsidRPr="00651AE0" w:rsidRDefault="005233EB" w:rsidP="00B815F5">
            <w:pPr>
              <w:rPr>
                <w:rFonts w:ascii="Arial Narrow" w:hAnsi="Arial Narrow" w:cs="Arial"/>
                <w:szCs w:val="22"/>
              </w:rPr>
            </w:pPr>
          </w:p>
        </w:tc>
        <w:tc>
          <w:tcPr>
            <w:tcW w:w="426" w:type="dxa"/>
          </w:tcPr>
          <w:p w14:paraId="6769342B"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4A034F74" w14:textId="77777777" w:rsidR="005233EB" w:rsidRPr="00651AE0" w:rsidRDefault="005233EB" w:rsidP="00B815F5">
            <w:pPr>
              <w:rPr>
                <w:rFonts w:ascii="Arial Narrow" w:hAnsi="Arial Narrow" w:cs="Arial"/>
                <w:szCs w:val="22"/>
              </w:rPr>
            </w:pPr>
          </w:p>
        </w:tc>
        <w:tc>
          <w:tcPr>
            <w:tcW w:w="425" w:type="dxa"/>
          </w:tcPr>
          <w:p w14:paraId="7C0BFC50"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27072485" w14:textId="77777777" w:rsidTr="00613E31">
        <w:tc>
          <w:tcPr>
            <w:tcW w:w="1970" w:type="dxa"/>
            <w:gridSpan w:val="2"/>
            <w:vMerge/>
            <w:vAlign w:val="center"/>
          </w:tcPr>
          <w:p w14:paraId="6BDD1F7C" w14:textId="77777777" w:rsidR="005233EB" w:rsidRPr="003C3A1E" w:rsidRDefault="005233EB" w:rsidP="00D230AA">
            <w:pPr>
              <w:jc w:val="center"/>
              <w:rPr>
                <w:rStyle w:val="IntenseReference"/>
              </w:rPr>
            </w:pPr>
          </w:p>
        </w:tc>
        <w:tc>
          <w:tcPr>
            <w:tcW w:w="2391" w:type="dxa"/>
            <w:vAlign w:val="bottom"/>
          </w:tcPr>
          <w:p w14:paraId="1D0DC2AC" w14:textId="77777777" w:rsidR="005233EB" w:rsidRPr="003C3A1E" w:rsidRDefault="005233EB" w:rsidP="00B815F5">
            <w:pPr>
              <w:rPr>
                <w:rStyle w:val="IntenseReference"/>
              </w:rPr>
            </w:pPr>
            <w:r w:rsidRPr="003C3A1E">
              <w:rPr>
                <w:rStyle w:val="IntenseReference"/>
              </w:rPr>
              <w:t>Pandora (WQ)</w:t>
            </w:r>
          </w:p>
        </w:tc>
        <w:tc>
          <w:tcPr>
            <w:tcW w:w="850" w:type="dxa"/>
          </w:tcPr>
          <w:p w14:paraId="33F2063E" w14:textId="77777777" w:rsidR="005233EB" w:rsidRPr="003C3A1E" w:rsidRDefault="005233EB" w:rsidP="00B815F5">
            <w:pPr>
              <w:rPr>
                <w:rStyle w:val="IntenseReference"/>
              </w:rPr>
            </w:pPr>
            <w:r w:rsidRPr="003C3A1E">
              <w:rPr>
                <w:rStyle w:val="IntenseReference"/>
              </w:rPr>
              <w:t>MMP</w:t>
            </w:r>
          </w:p>
        </w:tc>
        <w:tc>
          <w:tcPr>
            <w:tcW w:w="426" w:type="dxa"/>
          </w:tcPr>
          <w:p w14:paraId="66E6567B"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2D90A45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20FDA0E2"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D11BA92"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6C2F3CE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B40E0F4"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302EBE6"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1220A8C1"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09F6B18F"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58066C53"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0976A0E5" w14:textId="77777777" w:rsidR="005233EB" w:rsidRPr="00651AE0" w:rsidRDefault="005233EB" w:rsidP="00B815F5">
            <w:pPr>
              <w:rPr>
                <w:rFonts w:ascii="Arial Narrow" w:hAnsi="Arial Narrow" w:cs="Arial"/>
                <w:szCs w:val="22"/>
              </w:rPr>
            </w:pPr>
          </w:p>
        </w:tc>
      </w:tr>
      <w:tr w:rsidR="005233EB" w14:paraId="0778B114" w14:textId="77777777" w:rsidTr="00613E31">
        <w:tc>
          <w:tcPr>
            <w:tcW w:w="1970" w:type="dxa"/>
            <w:gridSpan w:val="2"/>
            <w:vMerge/>
            <w:vAlign w:val="center"/>
          </w:tcPr>
          <w:p w14:paraId="5810C60D" w14:textId="77777777" w:rsidR="005233EB" w:rsidRPr="003C3A1E" w:rsidRDefault="005233EB" w:rsidP="00D230AA">
            <w:pPr>
              <w:jc w:val="center"/>
              <w:rPr>
                <w:rStyle w:val="IntenseReference"/>
              </w:rPr>
            </w:pPr>
          </w:p>
        </w:tc>
        <w:tc>
          <w:tcPr>
            <w:tcW w:w="2391" w:type="dxa"/>
            <w:vAlign w:val="bottom"/>
          </w:tcPr>
          <w:p w14:paraId="168AC25B" w14:textId="77777777" w:rsidR="005233EB" w:rsidRPr="003C3A1E" w:rsidRDefault="005233EB" w:rsidP="00B815F5">
            <w:pPr>
              <w:rPr>
                <w:rStyle w:val="IntenseReference"/>
              </w:rPr>
            </w:pPr>
            <w:r w:rsidRPr="003C3A1E">
              <w:rPr>
                <w:rStyle w:val="IntenseReference"/>
              </w:rPr>
              <w:t>Havannah North</w:t>
            </w:r>
          </w:p>
        </w:tc>
        <w:tc>
          <w:tcPr>
            <w:tcW w:w="850" w:type="dxa"/>
          </w:tcPr>
          <w:p w14:paraId="644EEA88" w14:textId="77777777" w:rsidR="005233EB" w:rsidRPr="003C3A1E" w:rsidRDefault="005233EB" w:rsidP="00B815F5">
            <w:pPr>
              <w:rPr>
                <w:rStyle w:val="IntenseReference"/>
              </w:rPr>
            </w:pPr>
            <w:r w:rsidRPr="003C3A1E">
              <w:rPr>
                <w:rStyle w:val="IntenseReference"/>
              </w:rPr>
              <w:t>LTMP</w:t>
            </w:r>
          </w:p>
        </w:tc>
        <w:tc>
          <w:tcPr>
            <w:tcW w:w="426" w:type="dxa"/>
          </w:tcPr>
          <w:p w14:paraId="42885C9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453F581" w14:textId="77777777" w:rsidR="005233EB" w:rsidRPr="00651AE0" w:rsidRDefault="005233EB" w:rsidP="00B815F5">
            <w:pPr>
              <w:rPr>
                <w:rFonts w:ascii="Arial Narrow" w:hAnsi="Arial Narrow" w:cs="Arial"/>
                <w:sz w:val="22"/>
                <w:szCs w:val="22"/>
              </w:rPr>
            </w:pPr>
          </w:p>
        </w:tc>
        <w:tc>
          <w:tcPr>
            <w:tcW w:w="425" w:type="dxa"/>
          </w:tcPr>
          <w:p w14:paraId="23FE0CA3"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4379A96" w14:textId="77777777" w:rsidR="005233EB" w:rsidRPr="00651AE0" w:rsidRDefault="005233EB" w:rsidP="00B815F5">
            <w:pPr>
              <w:rPr>
                <w:rFonts w:ascii="Arial Narrow" w:hAnsi="Arial Narrow" w:cs="Arial"/>
                <w:sz w:val="22"/>
                <w:szCs w:val="22"/>
              </w:rPr>
            </w:pPr>
          </w:p>
        </w:tc>
        <w:tc>
          <w:tcPr>
            <w:tcW w:w="426" w:type="dxa"/>
          </w:tcPr>
          <w:p w14:paraId="4432505F"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9422B38" w14:textId="77777777" w:rsidR="005233EB" w:rsidRPr="00651AE0" w:rsidRDefault="005233EB" w:rsidP="00B815F5">
            <w:pPr>
              <w:rPr>
                <w:rFonts w:ascii="Arial Narrow" w:hAnsi="Arial Narrow" w:cs="Arial"/>
                <w:sz w:val="22"/>
                <w:szCs w:val="22"/>
              </w:rPr>
            </w:pPr>
          </w:p>
        </w:tc>
        <w:tc>
          <w:tcPr>
            <w:tcW w:w="425" w:type="dxa"/>
          </w:tcPr>
          <w:p w14:paraId="5A80F3F6"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201BFE6F" w14:textId="77777777" w:rsidR="005233EB" w:rsidRPr="00651AE0" w:rsidRDefault="005233EB" w:rsidP="00B815F5">
            <w:pPr>
              <w:rPr>
                <w:rFonts w:ascii="Arial Narrow" w:hAnsi="Arial Narrow" w:cs="Arial"/>
                <w:szCs w:val="22"/>
              </w:rPr>
            </w:pPr>
          </w:p>
        </w:tc>
        <w:tc>
          <w:tcPr>
            <w:tcW w:w="426" w:type="dxa"/>
          </w:tcPr>
          <w:p w14:paraId="6CFCA889"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3DA8329" w14:textId="77777777" w:rsidR="005233EB" w:rsidRPr="00651AE0" w:rsidRDefault="005233EB" w:rsidP="00B815F5">
            <w:pPr>
              <w:rPr>
                <w:rFonts w:ascii="Arial Narrow" w:hAnsi="Arial Narrow" w:cs="Arial"/>
                <w:szCs w:val="22"/>
              </w:rPr>
            </w:pPr>
          </w:p>
        </w:tc>
        <w:tc>
          <w:tcPr>
            <w:tcW w:w="425" w:type="dxa"/>
          </w:tcPr>
          <w:p w14:paraId="60E68B3E"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1814C51F" w14:textId="77777777" w:rsidTr="00613E31">
        <w:tc>
          <w:tcPr>
            <w:tcW w:w="1970" w:type="dxa"/>
            <w:gridSpan w:val="2"/>
            <w:vMerge/>
            <w:vAlign w:val="center"/>
          </w:tcPr>
          <w:p w14:paraId="3C2E00CA" w14:textId="77777777" w:rsidR="005233EB" w:rsidRPr="003C3A1E" w:rsidRDefault="005233EB" w:rsidP="00D230AA">
            <w:pPr>
              <w:jc w:val="center"/>
              <w:rPr>
                <w:rStyle w:val="IntenseReference"/>
              </w:rPr>
            </w:pPr>
          </w:p>
        </w:tc>
        <w:tc>
          <w:tcPr>
            <w:tcW w:w="2391" w:type="dxa"/>
            <w:vAlign w:val="bottom"/>
          </w:tcPr>
          <w:p w14:paraId="4BE12BE2" w14:textId="77777777" w:rsidR="005233EB" w:rsidRPr="003C3A1E" w:rsidRDefault="005233EB" w:rsidP="00B815F5">
            <w:pPr>
              <w:rPr>
                <w:rStyle w:val="IntenseReference"/>
              </w:rPr>
            </w:pPr>
            <w:r w:rsidRPr="003C3A1E">
              <w:rPr>
                <w:rStyle w:val="IntenseReference"/>
              </w:rPr>
              <w:t>Havannah</w:t>
            </w:r>
          </w:p>
        </w:tc>
        <w:tc>
          <w:tcPr>
            <w:tcW w:w="850" w:type="dxa"/>
          </w:tcPr>
          <w:p w14:paraId="185D6987" w14:textId="77777777" w:rsidR="005233EB" w:rsidRPr="003C3A1E" w:rsidRDefault="005233EB" w:rsidP="00B815F5">
            <w:pPr>
              <w:rPr>
                <w:rStyle w:val="IntenseReference"/>
              </w:rPr>
            </w:pPr>
            <w:r w:rsidRPr="003C3A1E">
              <w:rPr>
                <w:rStyle w:val="IntenseReference"/>
              </w:rPr>
              <w:t>MMP</w:t>
            </w:r>
          </w:p>
        </w:tc>
        <w:tc>
          <w:tcPr>
            <w:tcW w:w="426" w:type="dxa"/>
          </w:tcPr>
          <w:p w14:paraId="52A60D26"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75351FB"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27CE897"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CF3E3F6" w14:textId="77777777" w:rsidR="005233EB" w:rsidRPr="00651AE0" w:rsidRDefault="005233EB" w:rsidP="00B815F5">
            <w:pPr>
              <w:rPr>
                <w:rFonts w:ascii="Arial Narrow" w:hAnsi="Arial Narrow" w:cs="Arial"/>
                <w:sz w:val="22"/>
                <w:szCs w:val="22"/>
              </w:rPr>
            </w:pPr>
          </w:p>
        </w:tc>
        <w:tc>
          <w:tcPr>
            <w:tcW w:w="426" w:type="dxa"/>
          </w:tcPr>
          <w:p w14:paraId="637D3EE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6E37C3C" w14:textId="77777777" w:rsidR="005233EB" w:rsidRPr="00651AE0" w:rsidRDefault="005233EB" w:rsidP="00B815F5">
            <w:pPr>
              <w:rPr>
                <w:rFonts w:ascii="Arial Narrow" w:hAnsi="Arial Narrow" w:cs="Arial"/>
                <w:sz w:val="22"/>
                <w:szCs w:val="22"/>
              </w:rPr>
            </w:pPr>
          </w:p>
        </w:tc>
        <w:tc>
          <w:tcPr>
            <w:tcW w:w="425" w:type="dxa"/>
          </w:tcPr>
          <w:p w14:paraId="7021F2D8"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16E3BA2" w14:textId="77777777" w:rsidR="005233EB" w:rsidRPr="00651AE0" w:rsidRDefault="005233EB" w:rsidP="00B815F5">
            <w:pPr>
              <w:rPr>
                <w:rFonts w:ascii="Arial Narrow" w:hAnsi="Arial Narrow" w:cs="Arial"/>
                <w:szCs w:val="22"/>
              </w:rPr>
            </w:pPr>
          </w:p>
        </w:tc>
        <w:tc>
          <w:tcPr>
            <w:tcW w:w="426" w:type="dxa"/>
          </w:tcPr>
          <w:p w14:paraId="5CF296BB"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18D7ED0" w14:textId="77777777" w:rsidR="005233EB" w:rsidRPr="00651AE0" w:rsidRDefault="005233EB" w:rsidP="00B815F5">
            <w:pPr>
              <w:rPr>
                <w:rFonts w:ascii="Arial Narrow" w:hAnsi="Arial Narrow" w:cs="Arial"/>
                <w:szCs w:val="22"/>
              </w:rPr>
            </w:pPr>
          </w:p>
        </w:tc>
        <w:tc>
          <w:tcPr>
            <w:tcW w:w="425" w:type="dxa"/>
          </w:tcPr>
          <w:p w14:paraId="0C46ED93"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17FF94C0" w14:textId="77777777" w:rsidTr="00613E31">
        <w:tc>
          <w:tcPr>
            <w:tcW w:w="1970" w:type="dxa"/>
            <w:gridSpan w:val="2"/>
            <w:vMerge/>
            <w:vAlign w:val="center"/>
          </w:tcPr>
          <w:p w14:paraId="6FDAE9E2" w14:textId="77777777" w:rsidR="005233EB" w:rsidRPr="003C3A1E" w:rsidRDefault="005233EB" w:rsidP="00D230AA">
            <w:pPr>
              <w:jc w:val="center"/>
              <w:rPr>
                <w:rStyle w:val="IntenseReference"/>
              </w:rPr>
            </w:pPr>
          </w:p>
        </w:tc>
        <w:tc>
          <w:tcPr>
            <w:tcW w:w="2391" w:type="dxa"/>
            <w:vAlign w:val="bottom"/>
          </w:tcPr>
          <w:p w14:paraId="3C4B8913" w14:textId="77777777" w:rsidR="005233EB" w:rsidRPr="003C3A1E" w:rsidRDefault="005233EB" w:rsidP="00B815F5">
            <w:pPr>
              <w:rPr>
                <w:rStyle w:val="IntenseReference"/>
              </w:rPr>
            </w:pPr>
            <w:r w:rsidRPr="003C3A1E">
              <w:rPr>
                <w:rStyle w:val="IntenseReference"/>
              </w:rPr>
              <w:t>Middle Reef</w:t>
            </w:r>
          </w:p>
        </w:tc>
        <w:tc>
          <w:tcPr>
            <w:tcW w:w="850" w:type="dxa"/>
          </w:tcPr>
          <w:p w14:paraId="38D66F0D" w14:textId="77777777" w:rsidR="005233EB" w:rsidRPr="003C3A1E" w:rsidRDefault="005233EB" w:rsidP="00B815F5">
            <w:pPr>
              <w:rPr>
                <w:rStyle w:val="IntenseReference"/>
              </w:rPr>
            </w:pPr>
            <w:r w:rsidRPr="003C3A1E">
              <w:rPr>
                <w:rStyle w:val="IntenseReference"/>
              </w:rPr>
              <w:t>LTMP</w:t>
            </w:r>
          </w:p>
        </w:tc>
        <w:tc>
          <w:tcPr>
            <w:tcW w:w="426" w:type="dxa"/>
          </w:tcPr>
          <w:p w14:paraId="156F14B3"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179DBBC" w14:textId="77777777" w:rsidR="005233EB" w:rsidRPr="00651AE0" w:rsidRDefault="005233EB" w:rsidP="00B815F5">
            <w:pPr>
              <w:rPr>
                <w:rFonts w:ascii="Arial Narrow" w:hAnsi="Arial Narrow" w:cs="Arial"/>
                <w:sz w:val="22"/>
                <w:szCs w:val="22"/>
              </w:rPr>
            </w:pPr>
          </w:p>
        </w:tc>
        <w:tc>
          <w:tcPr>
            <w:tcW w:w="425" w:type="dxa"/>
          </w:tcPr>
          <w:p w14:paraId="1AEFAACB"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777EC02" w14:textId="77777777" w:rsidR="005233EB" w:rsidRPr="00651AE0" w:rsidRDefault="005233EB" w:rsidP="00B815F5">
            <w:pPr>
              <w:rPr>
                <w:rFonts w:ascii="Arial Narrow" w:hAnsi="Arial Narrow" w:cs="Arial"/>
                <w:sz w:val="22"/>
                <w:szCs w:val="22"/>
              </w:rPr>
            </w:pPr>
          </w:p>
        </w:tc>
        <w:tc>
          <w:tcPr>
            <w:tcW w:w="426" w:type="dxa"/>
          </w:tcPr>
          <w:p w14:paraId="4EA606C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25E0808" w14:textId="77777777" w:rsidR="005233EB" w:rsidRPr="00651AE0" w:rsidRDefault="005233EB" w:rsidP="00B815F5">
            <w:pPr>
              <w:rPr>
                <w:rFonts w:ascii="Arial Narrow" w:hAnsi="Arial Narrow" w:cs="Arial"/>
                <w:sz w:val="22"/>
                <w:szCs w:val="22"/>
              </w:rPr>
            </w:pPr>
          </w:p>
        </w:tc>
        <w:tc>
          <w:tcPr>
            <w:tcW w:w="425" w:type="dxa"/>
          </w:tcPr>
          <w:p w14:paraId="7C6706A6"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17771627" w14:textId="77777777" w:rsidR="005233EB" w:rsidRPr="00651AE0" w:rsidRDefault="005233EB" w:rsidP="00B815F5">
            <w:pPr>
              <w:rPr>
                <w:rFonts w:ascii="Arial Narrow" w:hAnsi="Arial Narrow" w:cs="Arial"/>
                <w:szCs w:val="22"/>
              </w:rPr>
            </w:pPr>
          </w:p>
        </w:tc>
        <w:tc>
          <w:tcPr>
            <w:tcW w:w="426" w:type="dxa"/>
          </w:tcPr>
          <w:p w14:paraId="4E9995C8"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7513FBA9" w14:textId="77777777" w:rsidR="005233EB" w:rsidRPr="00651AE0" w:rsidRDefault="005233EB" w:rsidP="00B815F5">
            <w:pPr>
              <w:rPr>
                <w:rFonts w:ascii="Arial Narrow" w:hAnsi="Arial Narrow" w:cs="Arial"/>
                <w:szCs w:val="22"/>
              </w:rPr>
            </w:pPr>
          </w:p>
        </w:tc>
        <w:tc>
          <w:tcPr>
            <w:tcW w:w="425" w:type="dxa"/>
          </w:tcPr>
          <w:p w14:paraId="1AAA72B7" w14:textId="77777777" w:rsidR="005233EB" w:rsidRPr="00651AE0" w:rsidRDefault="005233EB" w:rsidP="00B815F5">
            <w:pPr>
              <w:rPr>
                <w:rFonts w:ascii="Arial Narrow" w:hAnsi="Arial Narrow" w:cs="Arial"/>
                <w:szCs w:val="22"/>
              </w:rPr>
            </w:pPr>
          </w:p>
        </w:tc>
      </w:tr>
      <w:tr w:rsidR="005233EB" w14:paraId="36B714BC" w14:textId="77777777" w:rsidTr="00613E31">
        <w:tc>
          <w:tcPr>
            <w:tcW w:w="1970" w:type="dxa"/>
            <w:gridSpan w:val="2"/>
            <w:vMerge/>
            <w:vAlign w:val="center"/>
          </w:tcPr>
          <w:p w14:paraId="42FA3B0E" w14:textId="77777777" w:rsidR="005233EB" w:rsidRPr="003C3A1E" w:rsidRDefault="005233EB" w:rsidP="00D230AA">
            <w:pPr>
              <w:jc w:val="center"/>
              <w:rPr>
                <w:rStyle w:val="IntenseReference"/>
              </w:rPr>
            </w:pPr>
          </w:p>
        </w:tc>
        <w:tc>
          <w:tcPr>
            <w:tcW w:w="2391" w:type="dxa"/>
            <w:vAlign w:val="bottom"/>
          </w:tcPr>
          <w:p w14:paraId="14B84F7F" w14:textId="77777777" w:rsidR="005233EB" w:rsidRPr="003C3A1E" w:rsidRDefault="005233EB" w:rsidP="00B815F5">
            <w:pPr>
              <w:rPr>
                <w:rStyle w:val="IntenseReference"/>
              </w:rPr>
            </w:pPr>
            <w:r w:rsidRPr="003C3A1E">
              <w:rPr>
                <w:rStyle w:val="IntenseReference"/>
              </w:rPr>
              <w:t>Middle Reef</w:t>
            </w:r>
          </w:p>
        </w:tc>
        <w:tc>
          <w:tcPr>
            <w:tcW w:w="850" w:type="dxa"/>
          </w:tcPr>
          <w:p w14:paraId="7DCE7295" w14:textId="77777777" w:rsidR="005233EB" w:rsidRPr="003C3A1E" w:rsidRDefault="005233EB" w:rsidP="00B815F5">
            <w:pPr>
              <w:rPr>
                <w:rStyle w:val="IntenseReference"/>
              </w:rPr>
            </w:pPr>
            <w:r w:rsidRPr="003C3A1E">
              <w:rPr>
                <w:rStyle w:val="IntenseReference"/>
              </w:rPr>
              <w:t>MMP</w:t>
            </w:r>
          </w:p>
        </w:tc>
        <w:tc>
          <w:tcPr>
            <w:tcW w:w="426" w:type="dxa"/>
          </w:tcPr>
          <w:p w14:paraId="740EA7D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14A3B6C"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7D6875C"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C13A845" w14:textId="77777777" w:rsidR="005233EB" w:rsidRPr="00651AE0" w:rsidRDefault="005233EB" w:rsidP="00B815F5">
            <w:pPr>
              <w:rPr>
                <w:rFonts w:ascii="Arial Narrow" w:hAnsi="Arial Narrow" w:cs="Arial"/>
                <w:sz w:val="22"/>
                <w:szCs w:val="22"/>
              </w:rPr>
            </w:pPr>
          </w:p>
        </w:tc>
        <w:tc>
          <w:tcPr>
            <w:tcW w:w="426" w:type="dxa"/>
          </w:tcPr>
          <w:p w14:paraId="692B1C5B"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5EBBF3A" w14:textId="77777777" w:rsidR="005233EB" w:rsidRPr="00651AE0" w:rsidRDefault="005233EB" w:rsidP="00B815F5">
            <w:pPr>
              <w:rPr>
                <w:rFonts w:ascii="Arial Narrow" w:hAnsi="Arial Narrow" w:cs="Arial"/>
                <w:sz w:val="22"/>
                <w:szCs w:val="22"/>
              </w:rPr>
            </w:pPr>
          </w:p>
        </w:tc>
        <w:tc>
          <w:tcPr>
            <w:tcW w:w="425" w:type="dxa"/>
          </w:tcPr>
          <w:p w14:paraId="3013EAB0"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071F3AE2" w14:textId="77777777" w:rsidR="005233EB" w:rsidRPr="00651AE0" w:rsidRDefault="005233EB" w:rsidP="00B815F5">
            <w:pPr>
              <w:rPr>
                <w:rFonts w:ascii="Arial Narrow" w:hAnsi="Arial Narrow" w:cs="Arial"/>
                <w:szCs w:val="22"/>
              </w:rPr>
            </w:pPr>
          </w:p>
        </w:tc>
        <w:tc>
          <w:tcPr>
            <w:tcW w:w="426" w:type="dxa"/>
          </w:tcPr>
          <w:p w14:paraId="54229484"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4DA8706E" w14:textId="77777777" w:rsidR="005233EB" w:rsidRPr="00651AE0" w:rsidRDefault="005233EB" w:rsidP="00B815F5">
            <w:pPr>
              <w:rPr>
                <w:rFonts w:ascii="Arial Narrow" w:hAnsi="Arial Narrow" w:cs="Arial"/>
                <w:szCs w:val="22"/>
              </w:rPr>
            </w:pPr>
          </w:p>
        </w:tc>
        <w:tc>
          <w:tcPr>
            <w:tcW w:w="425" w:type="dxa"/>
          </w:tcPr>
          <w:p w14:paraId="51EE1C0E" w14:textId="77777777" w:rsidR="005233EB" w:rsidRPr="00651AE0" w:rsidRDefault="005233EB" w:rsidP="00B815F5">
            <w:pPr>
              <w:rPr>
                <w:rFonts w:ascii="Arial Narrow" w:hAnsi="Arial Narrow" w:cs="Arial"/>
                <w:szCs w:val="22"/>
              </w:rPr>
            </w:pPr>
          </w:p>
        </w:tc>
      </w:tr>
      <w:tr w:rsidR="005233EB" w14:paraId="5E24B620" w14:textId="77777777" w:rsidTr="00613E31">
        <w:tc>
          <w:tcPr>
            <w:tcW w:w="1970" w:type="dxa"/>
            <w:gridSpan w:val="2"/>
            <w:vMerge/>
            <w:vAlign w:val="center"/>
          </w:tcPr>
          <w:p w14:paraId="28A34D5C" w14:textId="77777777" w:rsidR="005233EB" w:rsidRPr="003C3A1E" w:rsidRDefault="005233EB" w:rsidP="00D230AA">
            <w:pPr>
              <w:jc w:val="center"/>
              <w:rPr>
                <w:rStyle w:val="IntenseReference"/>
              </w:rPr>
            </w:pPr>
          </w:p>
        </w:tc>
        <w:tc>
          <w:tcPr>
            <w:tcW w:w="2391" w:type="dxa"/>
            <w:vAlign w:val="bottom"/>
          </w:tcPr>
          <w:p w14:paraId="1BDB8CD4" w14:textId="77777777" w:rsidR="005233EB" w:rsidRPr="003C3A1E" w:rsidRDefault="005233EB" w:rsidP="00B815F5">
            <w:pPr>
              <w:rPr>
                <w:rStyle w:val="IntenseReference"/>
              </w:rPr>
            </w:pPr>
            <w:r w:rsidRPr="003C3A1E">
              <w:rPr>
                <w:rStyle w:val="IntenseReference"/>
              </w:rPr>
              <w:t>Magnetic (WQ)</w:t>
            </w:r>
          </w:p>
        </w:tc>
        <w:tc>
          <w:tcPr>
            <w:tcW w:w="850" w:type="dxa"/>
          </w:tcPr>
          <w:p w14:paraId="50B662A7" w14:textId="77777777" w:rsidR="005233EB" w:rsidRPr="003C3A1E" w:rsidRDefault="005233EB" w:rsidP="00B815F5">
            <w:pPr>
              <w:rPr>
                <w:rStyle w:val="IntenseReference"/>
              </w:rPr>
            </w:pPr>
            <w:r w:rsidRPr="003C3A1E">
              <w:rPr>
                <w:rStyle w:val="IntenseReference"/>
              </w:rPr>
              <w:t>MMP</w:t>
            </w:r>
          </w:p>
        </w:tc>
        <w:tc>
          <w:tcPr>
            <w:tcW w:w="426" w:type="dxa"/>
          </w:tcPr>
          <w:p w14:paraId="7FF37F00"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B5C1724"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6F0888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4B2BC0B"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37E4EEC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4A82625"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21CC56F3"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7306545"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56A9DC5C"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4D779C86"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00BC9820"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32AE967F" w14:textId="77777777" w:rsidTr="00613E31">
        <w:tc>
          <w:tcPr>
            <w:tcW w:w="1970" w:type="dxa"/>
            <w:gridSpan w:val="2"/>
            <w:vMerge w:val="restart"/>
            <w:vAlign w:val="center"/>
          </w:tcPr>
          <w:p w14:paraId="416BD3CD" w14:textId="77777777" w:rsidR="005233EB" w:rsidRPr="003C3A1E" w:rsidRDefault="005233EB" w:rsidP="00613E31">
            <w:pPr>
              <w:jc w:val="center"/>
              <w:rPr>
                <w:rStyle w:val="IntenseReference"/>
              </w:rPr>
            </w:pPr>
            <w:r w:rsidRPr="003C3A1E">
              <w:rPr>
                <w:rStyle w:val="IntenseReference"/>
              </w:rPr>
              <w:t>Mackay Whitsunday</w:t>
            </w:r>
          </w:p>
        </w:tc>
        <w:tc>
          <w:tcPr>
            <w:tcW w:w="2391" w:type="dxa"/>
            <w:vAlign w:val="bottom"/>
          </w:tcPr>
          <w:p w14:paraId="60A92D2C" w14:textId="77777777" w:rsidR="005233EB" w:rsidRPr="003C3A1E" w:rsidRDefault="005233EB" w:rsidP="00B815F5">
            <w:pPr>
              <w:rPr>
                <w:rStyle w:val="IntenseReference"/>
              </w:rPr>
            </w:pPr>
            <w:r w:rsidRPr="003C3A1E">
              <w:rPr>
                <w:rStyle w:val="IntenseReference"/>
              </w:rPr>
              <w:t>Langford</w:t>
            </w:r>
          </w:p>
        </w:tc>
        <w:tc>
          <w:tcPr>
            <w:tcW w:w="850" w:type="dxa"/>
          </w:tcPr>
          <w:p w14:paraId="5536D8AF" w14:textId="77777777" w:rsidR="005233EB" w:rsidRPr="003C3A1E" w:rsidRDefault="005233EB" w:rsidP="00B815F5">
            <w:pPr>
              <w:rPr>
                <w:rStyle w:val="IntenseReference"/>
              </w:rPr>
            </w:pPr>
            <w:r w:rsidRPr="003C3A1E">
              <w:rPr>
                <w:rStyle w:val="IntenseReference"/>
              </w:rPr>
              <w:t>LTMP</w:t>
            </w:r>
          </w:p>
        </w:tc>
        <w:tc>
          <w:tcPr>
            <w:tcW w:w="426" w:type="dxa"/>
          </w:tcPr>
          <w:p w14:paraId="34239A66"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4E71950" w14:textId="77777777" w:rsidR="005233EB" w:rsidRPr="00651AE0" w:rsidRDefault="005233EB" w:rsidP="00B815F5">
            <w:pPr>
              <w:rPr>
                <w:rFonts w:ascii="Arial Narrow" w:hAnsi="Arial Narrow" w:cs="Arial"/>
                <w:sz w:val="22"/>
                <w:szCs w:val="22"/>
              </w:rPr>
            </w:pPr>
          </w:p>
        </w:tc>
        <w:tc>
          <w:tcPr>
            <w:tcW w:w="425" w:type="dxa"/>
          </w:tcPr>
          <w:p w14:paraId="40C2FF3C"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13C66D3A" w14:textId="77777777" w:rsidR="005233EB" w:rsidRPr="00651AE0" w:rsidRDefault="005233EB" w:rsidP="00B815F5">
            <w:pPr>
              <w:rPr>
                <w:rFonts w:ascii="Arial Narrow" w:hAnsi="Arial Narrow" w:cs="Arial"/>
                <w:sz w:val="22"/>
                <w:szCs w:val="22"/>
              </w:rPr>
            </w:pPr>
          </w:p>
        </w:tc>
        <w:tc>
          <w:tcPr>
            <w:tcW w:w="426" w:type="dxa"/>
          </w:tcPr>
          <w:p w14:paraId="3E590809"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896236C" w14:textId="77777777" w:rsidR="005233EB" w:rsidRPr="00651AE0" w:rsidRDefault="005233EB" w:rsidP="00B815F5">
            <w:pPr>
              <w:rPr>
                <w:rFonts w:ascii="Arial Narrow" w:hAnsi="Arial Narrow" w:cs="Arial"/>
                <w:sz w:val="22"/>
                <w:szCs w:val="22"/>
              </w:rPr>
            </w:pPr>
          </w:p>
        </w:tc>
        <w:tc>
          <w:tcPr>
            <w:tcW w:w="425" w:type="dxa"/>
          </w:tcPr>
          <w:p w14:paraId="32D9E47D"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C1F6BCB" w14:textId="77777777" w:rsidR="005233EB" w:rsidRPr="00651AE0" w:rsidRDefault="005233EB" w:rsidP="00B815F5">
            <w:pPr>
              <w:rPr>
                <w:rFonts w:ascii="Arial Narrow" w:hAnsi="Arial Narrow" w:cs="Arial"/>
                <w:szCs w:val="22"/>
              </w:rPr>
            </w:pPr>
          </w:p>
        </w:tc>
        <w:tc>
          <w:tcPr>
            <w:tcW w:w="426" w:type="dxa"/>
          </w:tcPr>
          <w:p w14:paraId="0C774987"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574C8068" w14:textId="77777777" w:rsidR="005233EB" w:rsidRPr="00651AE0" w:rsidRDefault="005233EB" w:rsidP="00B815F5">
            <w:pPr>
              <w:rPr>
                <w:rFonts w:ascii="Arial Narrow" w:hAnsi="Arial Narrow" w:cs="Arial"/>
                <w:szCs w:val="22"/>
              </w:rPr>
            </w:pPr>
          </w:p>
        </w:tc>
        <w:tc>
          <w:tcPr>
            <w:tcW w:w="425" w:type="dxa"/>
          </w:tcPr>
          <w:p w14:paraId="2CE6F0BF"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6C19357C" w14:textId="77777777" w:rsidTr="00613E31">
        <w:tc>
          <w:tcPr>
            <w:tcW w:w="1970" w:type="dxa"/>
            <w:gridSpan w:val="2"/>
            <w:vMerge/>
            <w:vAlign w:val="center"/>
          </w:tcPr>
          <w:p w14:paraId="6ED04812" w14:textId="77777777" w:rsidR="005233EB" w:rsidRPr="003C3A1E" w:rsidRDefault="005233EB" w:rsidP="005233EB">
            <w:pPr>
              <w:jc w:val="center"/>
              <w:rPr>
                <w:rStyle w:val="IntenseReference"/>
              </w:rPr>
            </w:pPr>
          </w:p>
        </w:tc>
        <w:tc>
          <w:tcPr>
            <w:tcW w:w="2391" w:type="dxa"/>
            <w:vAlign w:val="bottom"/>
          </w:tcPr>
          <w:p w14:paraId="4769D4BF" w14:textId="77777777" w:rsidR="005233EB" w:rsidRPr="003C3A1E" w:rsidRDefault="005233EB" w:rsidP="00B815F5">
            <w:pPr>
              <w:rPr>
                <w:rStyle w:val="IntenseReference"/>
              </w:rPr>
            </w:pPr>
            <w:r w:rsidRPr="003C3A1E">
              <w:rPr>
                <w:rStyle w:val="IntenseReference"/>
              </w:rPr>
              <w:t>Hayman</w:t>
            </w:r>
          </w:p>
        </w:tc>
        <w:tc>
          <w:tcPr>
            <w:tcW w:w="850" w:type="dxa"/>
          </w:tcPr>
          <w:p w14:paraId="4213871E" w14:textId="77777777" w:rsidR="005233EB" w:rsidRPr="003C3A1E" w:rsidRDefault="005233EB" w:rsidP="00B815F5">
            <w:pPr>
              <w:rPr>
                <w:rStyle w:val="IntenseReference"/>
              </w:rPr>
            </w:pPr>
            <w:r w:rsidRPr="003C3A1E">
              <w:rPr>
                <w:rStyle w:val="IntenseReference"/>
              </w:rPr>
              <w:t>LTMP</w:t>
            </w:r>
          </w:p>
        </w:tc>
        <w:tc>
          <w:tcPr>
            <w:tcW w:w="426" w:type="dxa"/>
          </w:tcPr>
          <w:p w14:paraId="02335AAD"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72A4AFC" w14:textId="77777777" w:rsidR="005233EB" w:rsidRPr="00651AE0" w:rsidRDefault="005233EB" w:rsidP="00B815F5">
            <w:pPr>
              <w:rPr>
                <w:rFonts w:ascii="Arial Narrow" w:hAnsi="Arial Narrow" w:cs="Arial"/>
                <w:sz w:val="22"/>
                <w:szCs w:val="22"/>
              </w:rPr>
            </w:pPr>
          </w:p>
        </w:tc>
        <w:tc>
          <w:tcPr>
            <w:tcW w:w="425" w:type="dxa"/>
          </w:tcPr>
          <w:p w14:paraId="7C8B587F"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8CF04C1" w14:textId="77777777" w:rsidR="005233EB" w:rsidRPr="00651AE0" w:rsidRDefault="005233EB" w:rsidP="00B815F5">
            <w:pPr>
              <w:rPr>
                <w:rFonts w:ascii="Arial Narrow" w:hAnsi="Arial Narrow" w:cs="Arial"/>
                <w:sz w:val="22"/>
                <w:szCs w:val="22"/>
              </w:rPr>
            </w:pPr>
          </w:p>
        </w:tc>
        <w:tc>
          <w:tcPr>
            <w:tcW w:w="426" w:type="dxa"/>
          </w:tcPr>
          <w:p w14:paraId="08F617C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3FB5248" w14:textId="77777777" w:rsidR="005233EB" w:rsidRPr="00651AE0" w:rsidRDefault="005233EB" w:rsidP="00B815F5">
            <w:pPr>
              <w:rPr>
                <w:rFonts w:ascii="Arial Narrow" w:hAnsi="Arial Narrow" w:cs="Arial"/>
                <w:sz w:val="22"/>
                <w:szCs w:val="22"/>
              </w:rPr>
            </w:pPr>
          </w:p>
        </w:tc>
        <w:tc>
          <w:tcPr>
            <w:tcW w:w="425" w:type="dxa"/>
          </w:tcPr>
          <w:p w14:paraId="3B90934F"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47020E8" w14:textId="77777777" w:rsidR="005233EB" w:rsidRPr="00651AE0" w:rsidRDefault="005233EB" w:rsidP="00B815F5">
            <w:pPr>
              <w:rPr>
                <w:rFonts w:ascii="Arial Narrow" w:hAnsi="Arial Narrow" w:cs="Arial"/>
                <w:szCs w:val="22"/>
              </w:rPr>
            </w:pPr>
          </w:p>
        </w:tc>
        <w:tc>
          <w:tcPr>
            <w:tcW w:w="426" w:type="dxa"/>
          </w:tcPr>
          <w:p w14:paraId="4CAB2AA3"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5D8F9E8F" w14:textId="77777777" w:rsidR="005233EB" w:rsidRPr="00651AE0" w:rsidRDefault="005233EB" w:rsidP="00B815F5">
            <w:pPr>
              <w:rPr>
                <w:rFonts w:ascii="Arial Narrow" w:hAnsi="Arial Narrow" w:cs="Arial"/>
                <w:szCs w:val="22"/>
              </w:rPr>
            </w:pPr>
          </w:p>
        </w:tc>
        <w:tc>
          <w:tcPr>
            <w:tcW w:w="425" w:type="dxa"/>
          </w:tcPr>
          <w:p w14:paraId="69C2AAA4"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47FAAF9F" w14:textId="77777777" w:rsidTr="00613E31">
        <w:tc>
          <w:tcPr>
            <w:tcW w:w="1970" w:type="dxa"/>
            <w:gridSpan w:val="2"/>
            <w:vMerge/>
            <w:vAlign w:val="center"/>
          </w:tcPr>
          <w:p w14:paraId="1E25C312" w14:textId="77777777" w:rsidR="005233EB" w:rsidRPr="003C3A1E" w:rsidRDefault="005233EB" w:rsidP="005233EB">
            <w:pPr>
              <w:jc w:val="center"/>
              <w:rPr>
                <w:rStyle w:val="IntenseReference"/>
              </w:rPr>
            </w:pPr>
          </w:p>
        </w:tc>
        <w:tc>
          <w:tcPr>
            <w:tcW w:w="2391" w:type="dxa"/>
            <w:vAlign w:val="bottom"/>
          </w:tcPr>
          <w:p w14:paraId="29B9481B" w14:textId="77777777" w:rsidR="005233EB" w:rsidRPr="003C3A1E" w:rsidRDefault="005233EB" w:rsidP="00B815F5">
            <w:pPr>
              <w:rPr>
                <w:rStyle w:val="IntenseReference"/>
              </w:rPr>
            </w:pPr>
            <w:r w:rsidRPr="003C3A1E">
              <w:rPr>
                <w:rStyle w:val="IntenseReference"/>
              </w:rPr>
              <w:t>Border</w:t>
            </w:r>
          </w:p>
        </w:tc>
        <w:tc>
          <w:tcPr>
            <w:tcW w:w="850" w:type="dxa"/>
          </w:tcPr>
          <w:p w14:paraId="441000FC" w14:textId="77777777" w:rsidR="005233EB" w:rsidRPr="003C3A1E" w:rsidRDefault="005233EB" w:rsidP="00B815F5">
            <w:pPr>
              <w:rPr>
                <w:rStyle w:val="IntenseReference"/>
              </w:rPr>
            </w:pPr>
            <w:r w:rsidRPr="003C3A1E">
              <w:rPr>
                <w:rStyle w:val="IntenseReference"/>
              </w:rPr>
              <w:t>LTMP</w:t>
            </w:r>
          </w:p>
        </w:tc>
        <w:tc>
          <w:tcPr>
            <w:tcW w:w="426" w:type="dxa"/>
          </w:tcPr>
          <w:p w14:paraId="3502A0D5"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0E0EAB0" w14:textId="77777777" w:rsidR="005233EB" w:rsidRPr="00651AE0" w:rsidRDefault="005233EB" w:rsidP="00B815F5">
            <w:pPr>
              <w:rPr>
                <w:rFonts w:ascii="Arial Narrow" w:hAnsi="Arial Narrow" w:cs="Arial"/>
                <w:sz w:val="22"/>
                <w:szCs w:val="22"/>
              </w:rPr>
            </w:pPr>
          </w:p>
        </w:tc>
        <w:tc>
          <w:tcPr>
            <w:tcW w:w="425" w:type="dxa"/>
          </w:tcPr>
          <w:p w14:paraId="0F983D94"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E7F0FDC" w14:textId="77777777" w:rsidR="005233EB" w:rsidRPr="00651AE0" w:rsidRDefault="005233EB" w:rsidP="00B815F5">
            <w:pPr>
              <w:rPr>
                <w:rFonts w:ascii="Arial Narrow" w:hAnsi="Arial Narrow" w:cs="Arial"/>
                <w:sz w:val="22"/>
                <w:szCs w:val="22"/>
              </w:rPr>
            </w:pPr>
          </w:p>
        </w:tc>
        <w:tc>
          <w:tcPr>
            <w:tcW w:w="426" w:type="dxa"/>
          </w:tcPr>
          <w:p w14:paraId="4B90547F"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B06635A" w14:textId="77777777" w:rsidR="005233EB" w:rsidRPr="00651AE0" w:rsidRDefault="005233EB" w:rsidP="00B815F5">
            <w:pPr>
              <w:rPr>
                <w:rFonts w:ascii="Arial Narrow" w:hAnsi="Arial Narrow" w:cs="Arial"/>
                <w:sz w:val="22"/>
                <w:szCs w:val="22"/>
              </w:rPr>
            </w:pPr>
          </w:p>
        </w:tc>
        <w:tc>
          <w:tcPr>
            <w:tcW w:w="425" w:type="dxa"/>
          </w:tcPr>
          <w:p w14:paraId="3F1E5E05"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0B09B611" w14:textId="77777777" w:rsidR="005233EB" w:rsidRPr="00651AE0" w:rsidRDefault="005233EB" w:rsidP="00B815F5">
            <w:pPr>
              <w:rPr>
                <w:rFonts w:ascii="Arial Narrow" w:hAnsi="Arial Narrow" w:cs="Arial"/>
                <w:szCs w:val="22"/>
              </w:rPr>
            </w:pPr>
          </w:p>
        </w:tc>
        <w:tc>
          <w:tcPr>
            <w:tcW w:w="426" w:type="dxa"/>
          </w:tcPr>
          <w:p w14:paraId="0E9A7243"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561E1DC6" w14:textId="77777777" w:rsidR="005233EB" w:rsidRPr="00651AE0" w:rsidRDefault="005233EB" w:rsidP="00B815F5">
            <w:pPr>
              <w:rPr>
                <w:rFonts w:ascii="Arial Narrow" w:hAnsi="Arial Narrow" w:cs="Arial"/>
                <w:szCs w:val="22"/>
              </w:rPr>
            </w:pPr>
          </w:p>
        </w:tc>
        <w:tc>
          <w:tcPr>
            <w:tcW w:w="425" w:type="dxa"/>
          </w:tcPr>
          <w:p w14:paraId="5C691FED"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62B30F80" w14:textId="77777777" w:rsidTr="00613E31">
        <w:tc>
          <w:tcPr>
            <w:tcW w:w="1970" w:type="dxa"/>
            <w:gridSpan w:val="2"/>
            <w:vMerge/>
            <w:vAlign w:val="center"/>
          </w:tcPr>
          <w:p w14:paraId="77304F82" w14:textId="77777777" w:rsidR="005233EB" w:rsidRPr="003C3A1E" w:rsidRDefault="005233EB" w:rsidP="005233EB">
            <w:pPr>
              <w:jc w:val="center"/>
              <w:rPr>
                <w:rStyle w:val="IntenseReference"/>
              </w:rPr>
            </w:pPr>
          </w:p>
        </w:tc>
        <w:tc>
          <w:tcPr>
            <w:tcW w:w="2391" w:type="dxa"/>
            <w:vAlign w:val="bottom"/>
          </w:tcPr>
          <w:p w14:paraId="13672BE2" w14:textId="77777777" w:rsidR="005233EB" w:rsidRPr="003C3A1E" w:rsidRDefault="005233EB" w:rsidP="00B815F5">
            <w:pPr>
              <w:rPr>
                <w:rStyle w:val="IntenseReference"/>
              </w:rPr>
            </w:pPr>
            <w:r w:rsidRPr="003C3A1E">
              <w:rPr>
                <w:rStyle w:val="IntenseReference"/>
              </w:rPr>
              <w:t>Double Cone (WQ)</w:t>
            </w:r>
          </w:p>
        </w:tc>
        <w:tc>
          <w:tcPr>
            <w:tcW w:w="850" w:type="dxa"/>
          </w:tcPr>
          <w:p w14:paraId="780B481A" w14:textId="77777777" w:rsidR="005233EB" w:rsidRPr="003C3A1E" w:rsidRDefault="005233EB" w:rsidP="00B815F5">
            <w:pPr>
              <w:rPr>
                <w:rStyle w:val="IntenseReference"/>
              </w:rPr>
            </w:pPr>
            <w:r w:rsidRPr="003C3A1E">
              <w:rPr>
                <w:rStyle w:val="IntenseReference"/>
              </w:rPr>
              <w:t>MMP</w:t>
            </w:r>
          </w:p>
        </w:tc>
        <w:tc>
          <w:tcPr>
            <w:tcW w:w="426" w:type="dxa"/>
          </w:tcPr>
          <w:p w14:paraId="63DA06D4"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E44D6BF"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1EF2E2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FCAAD63"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1D6AAEB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20BD9725"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245C392A"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0109C81E"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6F4EE1CA"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4038F9BF"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4D1E109" w14:textId="77777777" w:rsidR="005233EB" w:rsidRPr="00651AE0" w:rsidRDefault="005233EB" w:rsidP="00B815F5">
            <w:pPr>
              <w:rPr>
                <w:rFonts w:ascii="Arial Narrow" w:hAnsi="Arial Narrow" w:cs="Arial"/>
                <w:szCs w:val="22"/>
              </w:rPr>
            </w:pPr>
          </w:p>
        </w:tc>
      </w:tr>
      <w:tr w:rsidR="005233EB" w14:paraId="5B9E940A" w14:textId="77777777" w:rsidTr="00613E31">
        <w:tc>
          <w:tcPr>
            <w:tcW w:w="1970" w:type="dxa"/>
            <w:gridSpan w:val="2"/>
            <w:vMerge/>
            <w:vAlign w:val="center"/>
          </w:tcPr>
          <w:p w14:paraId="0A669DA9" w14:textId="77777777" w:rsidR="005233EB" w:rsidRPr="003C3A1E" w:rsidRDefault="005233EB" w:rsidP="005233EB">
            <w:pPr>
              <w:jc w:val="center"/>
              <w:rPr>
                <w:rStyle w:val="IntenseReference"/>
              </w:rPr>
            </w:pPr>
          </w:p>
        </w:tc>
        <w:tc>
          <w:tcPr>
            <w:tcW w:w="2391" w:type="dxa"/>
            <w:vAlign w:val="bottom"/>
          </w:tcPr>
          <w:p w14:paraId="1DBB0F0C" w14:textId="77777777" w:rsidR="005233EB" w:rsidRPr="003C3A1E" w:rsidRDefault="005233EB" w:rsidP="00B815F5">
            <w:pPr>
              <w:rPr>
                <w:rStyle w:val="IntenseReference"/>
              </w:rPr>
            </w:pPr>
            <w:r w:rsidRPr="003C3A1E">
              <w:rPr>
                <w:rStyle w:val="IntenseReference"/>
              </w:rPr>
              <w:t>Hook</w:t>
            </w:r>
          </w:p>
        </w:tc>
        <w:tc>
          <w:tcPr>
            <w:tcW w:w="850" w:type="dxa"/>
          </w:tcPr>
          <w:p w14:paraId="2C3D111C" w14:textId="77777777" w:rsidR="005233EB" w:rsidRPr="003C3A1E" w:rsidRDefault="005233EB" w:rsidP="00B815F5">
            <w:pPr>
              <w:rPr>
                <w:rStyle w:val="IntenseReference"/>
              </w:rPr>
            </w:pPr>
            <w:r w:rsidRPr="003C3A1E">
              <w:rPr>
                <w:rStyle w:val="IntenseReference"/>
              </w:rPr>
              <w:t>MMP</w:t>
            </w:r>
          </w:p>
        </w:tc>
        <w:tc>
          <w:tcPr>
            <w:tcW w:w="426" w:type="dxa"/>
          </w:tcPr>
          <w:p w14:paraId="3DC6192B"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3C050B9"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3E5BBB3" w14:textId="77777777" w:rsidR="005233EB" w:rsidRPr="00651AE0" w:rsidRDefault="005233EB" w:rsidP="00B815F5">
            <w:pPr>
              <w:rPr>
                <w:rFonts w:ascii="Arial Narrow" w:hAnsi="Arial Narrow" w:cs="Arial"/>
                <w:sz w:val="22"/>
                <w:szCs w:val="22"/>
              </w:rPr>
            </w:pPr>
          </w:p>
        </w:tc>
        <w:tc>
          <w:tcPr>
            <w:tcW w:w="425" w:type="dxa"/>
          </w:tcPr>
          <w:p w14:paraId="0F5E8A7C"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38F38353" w14:textId="77777777" w:rsidR="005233EB" w:rsidRPr="00651AE0" w:rsidRDefault="005233EB" w:rsidP="00B815F5">
            <w:pPr>
              <w:rPr>
                <w:rFonts w:ascii="Arial Narrow" w:hAnsi="Arial Narrow" w:cs="Arial"/>
                <w:sz w:val="22"/>
                <w:szCs w:val="22"/>
              </w:rPr>
            </w:pPr>
          </w:p>
        </w:tc>
        <w:tc>
          <w:tcPr>
            <w:tcW w:w="425" w:type="dxa"/>
          </w:tcPr>
          <w:p w14:paraId="7101DD8B"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F9D07E4" w14:textId="77777777" w:rsidR="005233EB" w:rsidRPr="00651AE0" w:rsidRDefault="005233EB" w:rsidP="00B815F5">
            <w:pPr>
              <w:rPr>
                <w:rFonts w:ascii="Arial Narrow" w:hAnsi="Arial Narrow" w:cs="Arial"/>
                <w:szCs w:val="22"/>
              </w:rPr>
            </w:pPr>
          </w:p>
        </w:tc>
        <w:tc>
          <w:tcPr>
            <w:tcW w:w="425" w:type="dxa"/>
          </w:tcPr>
          <w:p w14:paraId="7644B354"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44A0A74F" w14:textId="77777777" w:rsidR="005233EB" w:rsidRPr="00651AE0" w:rsidRDefault="005233EB" w:rsidP="00B815F5">
            <w:pPr>
              <w:rPr>
                <w:rFonts w:ascii="Arial Narrow" w:hAnsi="Arial Narrow" w:cs="Arial"/>
                <w:szCs w:val="22"/>
              </w:rPr>
            </w:pPr>
          </w:p>
        </w:tc>
        <w:tc>
          <w:tcPr>
            <w:tcW w:w="425" w:type="dxa"/>
          </w:tcPr>
          <w:p w14:paraId="623F5D09"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3E10C38" w14:textId="77777777" w:rsidR="005233EB" w:rsidRPr="00651AE0" w:rsidRDefault="005233EB" w:rsidP="00B815F5">
            <w:pPr>
              <w:rPr>
                <w:rFonts w:ascii="Arial Narrow" w:hAnsi="Arial Narrow" w:cs="Arial"/>
                <w:szCs w:val="22"/>
              </w:rPr>
            </w:pPr>
          </w:p>
        </w:tc>
      </w:tr>
      <w:tr w:rsidR="005233EB" w14:paraId="49A3AC72" w14:textId="77777777" w:rsidTr="00613E31">
        <w:tc>
          <w:tcPr>
            <w:tcW w:w="1970" w:type="dxa"/>
            <w:gridSpan w:val="2"/>
            <w:vMerge/>
            <w:vAlign w:val="center"/>
          </w:tcPr>
          <w:p w14:paraId="6DA21959" w14:textId="77777777" w:rsidR="005233EB" w:rsidRPr="003C3A1E" w:rsidRDefault="005233EB" w:rsidP="005233EB">
            <w:pPr>
              <w:jc w:val="center"/>
              <w:rPr>
                <w:rStyle w:val="IntenseReference"/>
              </w:rPr>
            </w:pPr>
          </w:p>
        </w:tc>
        <w:tc>
          <w:tcPr>
            <w:tcW w:w="2391" w:type="dxa"/>
            <w:vAlign w:val="bottom"/>
          </w:tcPr>
          <w:p w14:paraId="7EB363BD" w14:textId="77777777" w:rsidR="005233EB" w:rsidRPr="003C3A1E" w:rsidRDefault="005233EB" w:rsidP="00B815F5">
            <w:pPr>
              <w:rPr>
                <w:rStyle w:val="IntenseReference"/>
              </w:rPr>
            </w:pPr>
            <w:r w:rsidRPr="003C3A1E">
              <w:rPr>
                <w:rStyle w:val="IntenseReference"/>
              </w:rPr>
              <w:t>Daydream (WQ*)</w:t>
            </w:r>
          </w:p>
        </w:tc>
        <w:tc>
          <w:tcPr>
            <w:tcW w:w="850" w:type="dxa"/>
          </w:tcPr>
          <w:p w14:paraId="430645F7" w14:textId="77777777" w:rsidR="005233EB" w:rsidRPr="003C3A1E" w:rsidRDefault="005233EB" w:rsidP="00B815F5">
            <w:pPr>
              <w:rPr>
                <w:rStyle w:val="IntenseReference"/>
              </w:rPr>
            </w:pPr>
            <w:r w:rsidRPr="003C3A1E">
              <w:rPr>
                <w:rStyle w:val="IntenseReference"/>
              </w:rPr>
              <w:t>MMP</w:t>
            </w:r>
          </w:p>
        </w:tc>
        <w:tc>
          <w:tcPr>
            <w:tcW w:w="426" w:type="dxa"/>
          </w:tcPr>
          <w:p w14:paraId="62B6FBC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20E511F4"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EEE7444"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6CEF1823"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2B7DE2D7"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177409C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9A7EF8F"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1A9E19BE"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3E4E4ADE"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5C9AED01"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E832EB5" w14:textId="77777777" w:rsidR="005233EB" w:rsidRPr="00651AE0" w:rsidRDefault="005233EB" w:rsidP="00B815F5">
            <w:pPr>
              <w:rPr>
                <w:rFonts w:ascii="Arial Narrow" w:hAnsi="Arial Narrow" w:cs="Arial"/>
                <w:szCs w:val="22"/>
              </w:rPr>
            </w:pPr>
          </w:p>
        </w:tc>
      </w:tr>
      <w:tr w:rsidR="005233EB" w14:paraId="781E9B6B" w14:textId="77777777" w:rsidTr="00613E31">
        <w:tc>
          <w:tcPr>
            <w:tcW w:w="1970" w:type="dxa"/>
            <w:gridSpan w:val="2"/>
            <w:vMerge/>
            <w:vAlign w:val="center"/>
          </w:tcPr>
          <w:p w14:paraId="271B7153" w14:textId="77777777" w:rsidR="005233EB" w:rsidRPr="003C3A1E" w:rsidRDefault="005233EB" w:rsidP="005233EB">
            <w:pPr>
              <w:jc w:val="center"/>
              <w:rPr>
                <w:rStyle w:val="IntenseReference"/>
              </w:rPr>
            </w:pPr>
          </w:p>
        </w:tc>
        <w:tc>
          <w:tcPr>
            <w:tcW w:w="2391" w:type="dxa"/>
            <w:vAlign w:val="bottom"/>
          </w:tcPr>
          <w:p w14:paraId="62D743CF" w14:textId="77777777" w:rsidR="005233EB" w:rsidRPr="003C3A1E" w:rsidRDefault="005233EB" w:rsidP="00B815F5">
            <w:pPr>
              <w:rPr>
                <w:rStyle w:val="IntenseReference"/>
              </w:rPr>
            </w:pPr>
            <w:r w:rsidRPr="003C3A1E">
              <w:rPr>
                <w:rStyle w:val="IntenseReference"/>
              </w:rPr>
              <w:t>Shute Harbour</w:t>
            </w:r>
          </w:p>
        </w:tc>
        <w:tc>
          <w:tcPr>
            <w:tcW w:w="850" w:type="dxa"/>
          </w:tcPr>
          <w:p w14:paraId="7751410D" w14:textId="77777777" w:rsidR="005233EB" w:rsidRPr="003C3A1E" w:rsidRDefault="005233EB" w:rsidP="00B815F5">
            <w:pPr>
              <w:rPr>
                <w:rStyle w:val="IntenseReference"/>
              </w:rPr>
            </w:pPr>
            <w:r w:rsidRPr="003C3A1E">
              <w:rPr>
                <w:rStyle w:val="IntenseReference"/>
              </w:rPr>
              <w:t>MMP</w:t>
            </w:r>
          </w:p>
        </w:tc>
        <w:tc>
          <w:tcPr>
            <w:tcW w:w="426" w:type="dxa"/>
          </w:tcPr>
          <w:p w14:paraId="03397C4C"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F622AB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40E077B" w14:textId="77777777" w:rsidR="005233EB" w:rsidRPr="00651AE0" w:rsidRDefault="005233EB" w:rsidP="00B815F5">
            <w:pPr>
              <w:rPr>
                <w:rFonts w:ascii="Arial Narrow" w:hAnsi="Arial Narrow" w:cs="Arial"/>
                <w:sz w:val="22"/>
                <w:szCs w:val="22"/>
              </w:rPr>
            </w:pPr>
          </w:p>
        </w:tc>
        <w:tc>
          <w:tcPr>
            <w:tcW w:w="425" w:type="dxa"/>
          </w:tcPr>
          <w:p w14:paraId="29419F00"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557D8802" w14:textId="77777777" w:rsidR="005233EB" w:rsidRPr="00651AE0" w:rsidRDefault="005233EB" w:rsidP="00B815F5">
            <w:pPr>
              <w:rPr>
                <w:rFonts w:ascii="Arial Narrow" w:hAnsi="Arial Narrow" w:cs="Arial"/>
                <w:sz w:val="22"/>
                <w:szCs w:val="22"/>
              </w:rPr>
            </w:pPr>
          </w:p>
        </w:tc>
        <w:tc>
          <w:tcPr>
            <w:tcW w:w="425" w:type="dxa"/>
          </w:tcPr>
          <w:p w14:paraId="4BD799BB"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29316F14" w14:textId="77777777" w:rsidR="005233EB" w:rsidRPr="00651AE0" w:rsidRDefault="005233EB" w:rsidP="00B815F5">
            <w:pPr>
              <w:rPr>
                <w:rFonts w:ascii="Arial Narrow" w:hAnsi="Arial Narrow" w:cs="Arial"/>
                <w:szCs w:val="22"/>
              </w:rPr>
            </w:pPr>
          </w:p>
        </w:tc>
        <w:tc>
          <w:tcPr>
            <w:tcW w:w="425" w:type="dxa"/>
          </w:tcPr>
          <w:p w14:paraId="687F2B6E"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71B1FAA4" w14:textId="77777777" w:rsidR="005233EB" w:rsidRPr="00651AE0" w:rsidRDefault="005233EB" w:rsidP="00B815F5">
            <w:pPr>
              <w:rPr>
                <w:rFonts w:ascii="Arial Narrow" w:hAnsi="Arial Narrow" w:cs="Arial"/>
                <w:szCs w:val="22"/>
              </w:rPr>
            </w:pPr>
          </w:p>
        </w:tc>
        <w:tc>
          <w:tcPr>
            <w:tcW w:w="425" w:type="dxa"/>
          </w:tcPr>
          <w:p w14:paraId="53E9640E"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BB05E4E" w14:textId="77777777" w:rsidR="005233EB" w:rsidRPr="00651AE0" w:rsidRDefault="005233EB" w:rsidP="00B815F5">
            <w:pPr>
              <w:rPr>
                <w:rFonts w:ascii="Arial Narrow" w:hAnsi="Arial Narrow" w:cs="Arial"/>
                <w:szCs w:val="22"/>
              </w:rPr>
            </w:pPr>
          </w:p>
        </w:tc>
      </w:tr>
      <w:tr w:rsidR="005233EB" w14:paraId="1E05195B" w14:textId="77777777" w:rsidTr="00613E31">
        <w:tc>
          <w:tcPr>
            <w:tcW w:w="1970" w:type="dxa"/>
            <w:gridSpan w:val="2"/>
            <w:vMerge/>
            <w:vAlign w:val="center"/>
          </w:tcPr>
          <w:p w14:paraId="493D43D8" w14:textId="77777777" w:rsidR="005233EB" w:rsidRPr="003C3A1E" w:rsidRDefault="005233EB" w:rsidP="005233EB">
            <w:pPr>
              <w:jc w:val="center"/>
              <w:rPr>
                <w:rStyle w:val="IntenseReference"/>
              </w:rPr>
            </w:pPr>
          </w:p>
        </w:tc>
        <w:tc>
          <w:tcPr>
            <w:tcW w:w="2391" w:type="dxa"/>
            <w:vAlign w:val="bottom"/>
          </w:tcPr>
          <w:p w14:paraId="4E608591" w14:textId="77777777" w:rsidR="005233EB" w:rsidRPr="003C3A1E" w:rsidRDefault="005233EB" w:rsidP="00B815F5">
            <w:pPr>
              <w:rPr>
                <w:rStyle w:val="IntenseReference"/>
              </w:rPr>
            </w:pPr>
            <w:r w:rsidRPr="003C3A1E">
              <w:rPr>
                <w:rStyle w:val="IntenseReference"/>
              </w:rPr>
              <w:t>Dent</w:t>
            </w:r>
          </w:p>
        </w:tc>
        <w:tc>
          <w:tcPr>
            <w:tcW w:w="850" w:type="dxa"/>
          </w:tcPr>
          <w:p w14:paraId="67F0EC2E" w14:textId="77777777" w:rsidR="005233EB" w:rsidRPr="003C3A1E" w:rsidRDefault="005233EB" w:rsidP="00B815F5">
            <w:pPr>
              <w:rPr>
                <w:rStyle w:val="IntenseReference"/>
              </w:rPr>
            </w:pPr>
            <w:r w:rsidRPr="003C3A1E">
              <w:rPr>
                <w:rStyle w:val="IntenseReference"/>
              </w:rPr>
              <w:t>MMP</w:t>
            </w:r>
          </w:p>
        </w:tc>
        <w:tc>
          <w:tcPr>
            <w:tcW w:w="426" w:type="dxa"/>
          </w:tcPr>
          <w:p w14:paraId="20A19F1E"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36205C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1284B93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8C2AB62" w14:textId="77777777" w:rsidR="005233EB" w:rsidRPr="00651AE0" w:rsidRDefault="005233EB" w:rsidP="00B815F5">
            <w:pPr>
              <w:rPr>
                <w:rFonts w:ascii="Arial Narrow" w:hAnsi="Arial Narrow" w:cs="Arial"/>
                <w:sz w:val="22"/>
                <w:szCs w:val="22"/>
              </w:rPr>
            </w:pPr>
          </w:p>
        </w:tc>
        <w:tc>
          <w:tcPr>
            <w:tcW w:w="426" w:type="dxa"/>
          </w:tcPr>
          <w:p w14:paraId="2F3582C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2E5E9C6" w14:textId="77777777" w:rsidR="005233EB" w:rsidRPr="00651AE0" w:rsidRDefault="005233EB" w:rsidP="00B815F5">
            <w:pPr>
              <w:rPr>
                <w:rFonts w:ascii="Arial Narrow" w:hAnsi="Arial Narrow" w:cs="Arial"/>
                <w:sz w:val="22"/>
                <w:szCs w:val="22"/>
              </w:rPr>
            </w:pPr>
          </w:p>
        </w:tc>
        <w:tc>
          <w:tcPr>
            <w:tcW w:w="425" w:type="dxa"/>
          </w:tcPr>
          <w:p w14:paraId="39462B98"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540337D1" w14:textId="77777777" w:rsidR="005233EB" w:rsidRPr="00651AE0" w:rsidRDefault="005233EB" w:rsidP="00B815F5">
            <w:pPr>
              <w:rPr>
                <w:rFonts w:ascii="Arial Narrow" w:hAnsi="Arial Narrow" w:cs="Arial"/>
                <w:szCs w:val="22"/>
              </w:rPr>
            </w:pPr>
          </w:p>
        </w:tc>
        <w:tc>
          <w:tcPr>
            <w:tcW w:w="426" w:type="dxa"/>
          </w:tcPr>
          <w:p w14:paraId="1A811F59"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69C6BAD" w14:textId="77777777" w:rsidR="005233EB" w:rsidRPr="00651AE0" w:rsidRDefault="005233EB" w:rsidP="00B815F5">
            <w:pPr>
              <w:rPr>
                <w:rFonts w:ascii="Arial Narrow" w:hAnsi="Arial Narrow" w:cs="Arial"/>
                <w:szCs w:val="22"/>
              </w:rPr>
            </w:pPr>
          </w:p>
        </w:tc>
        <w:tc>
          <w:tcPr>
            <w:tcW w:w="425" w:type="dxa"/>
          </w:tcPr>
          <w:p w14:paraId="19DBBD97"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3E99B7DE" w14:textId="77777777" w:rsidTr="00613E31">
        <w:tc>
          <w:tcPr>
            <w:tcW w:w="1970" w:type="dxa"/>
            <w:gridSpan w:val="2"/>
            <w:vMerge/>
            <w:vAlign w:val="center"/>
          </w:tcPr>
          <w:p w14:paraId="44AA872F" w14:textId="77777777" w:rsidR="005233EB" w:rsidRPr="003C3A1E" w:rsidRDefault="005233EB" w:rsidP="005233EB">
            <w:pPr>
              <w:jc w:val="center"/>
              <w:rPr>
                <w:rStyle w:val="IntenseReference"/>
              </w:rPr>
            </w:pPr>
          </w:p>
        </w:tc>
        <w:tc>
          <w:tcPr>
            <w:tcW w:w="2391" w:type="dxa"/>
            <w:vAlign w:val="bottom"/>
          </w:tcPr>
          <w:p w14:paraId="5D10E8B8" w14:textId="77777777" w:rsidR="005233EB" w:rsidRPr="003C3A1E" w:rsidRDefault="005233EB" w:rsidP="00B815F5">
            <w:pPr>
              <w:rPr>
                <w:rStyle w:val="IntenseReference"/>
              </w:rPr>
            </w:pPr>
            <w:r w:rsidRPr="003C3A1E">
              <w:rPr>
                <w:rStyle w:val="IntenseReference"/>
              </w:rPr>
              <w:t>Pine (WQ)</w:t>
            </w:r>
          </w:p>
        </w:tc>
        <w:tc>
          <w:tcPr>
            <w:tcW w:w="850" w:type="dxa"/>
          </w:tcPr>
          <w:p w14:paraId="6CBCC218" w14:textId="77777777" w:rsidR="005233EB" w:rsidRPr="003C3A1E" w:rsidRDefault="005233EB" w:rsidP="00B815F5">
            <w:pPr>
              <w:rPr>
                <w:rStyle w:val="IntenseReference"/>
              </w:rPr>
            </w:pPr>
            <w:r w:rsidRPr="003C3A1E">
              <w:rPr>
                <w:rStyle w:val="IntenseReference"/>
              </w:rPr>
              <w:t>MMP</w:t>
            </w:r>
          </w:p>
        </w:tc>
        <w:tc>
          <w:tcPr>
            <w:tcW w:w="426" w:type="dxa"/>
          </w:tcPr>
          <w:p w14:paraId="206EF819"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C30A7C7"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1A16F2F"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9333B83"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7D7ED77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61D105B"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24092CFB"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0F0F5C53"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5B558609"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7B03F5B6"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1F63D47"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7AD10CC1" w14:textId="77777777" w:rsidTr="00613E31">
        <w:tc>
          <w:tcPr>
            <w:tcW w:w="1970" w:type="dxa"/>
            <w:gridSpan w:val="2"/>
            <w:vMerge/>
            <w:vAlign w:val="center"/>
          </w:tcPr>
          <w:p w14:paraId="2A2F88C8" w14:textId="77777777" w:rsidR="005233EB" w:rsidRPr="003C3A1E" w:rsidRDefault="005233EB" w:rsidP="005233EB">
            <w:pPr>
              <w:jc w:val="center"/>
              <w:rPr>
                <w:rStyle w:val="IntenseReference"/>
              </w:rPr>
            </w:pPr>
          </w:p>
        </w:tc>
        <w:tc>
          <w:tcPr>
            <w:tcW w:w="2391" w:type="dxa"/>
            <w:vAlign w:val="bottom"/>
          </w:tcPr>
          <w:p w14:paraId="7C9F1EEB" w14:textId="77777777" w:rsidR="005233EB" w:rsidRPr="003C3A1E" w:rsidRDefault="005233EB" w:rsidP="00B815F5">
            <w:pPr>
              <w:rPr>
                <w:rStyle w:val="IntenseReference"/>
              </w:rPr>
            </w:pPr>
            <w:r w:rsidRPr="003C3A1E">
              <w:rPr>
                <w:rStyle w:val="IntenseReference"/>
              </w:rPr>
              <w:t>Seaforth (WQ**)</w:t>
            </w:r>
          </w:p>
        </w:tc>
        <w:tc>
          <w:tcPr>
            <w:tcW w:w="850" w:type="dxa"/>
          </w:tcPr>
          <w:p w14:paraId="7F721B66" w14:textId="77777777" w:rsidR="005233EB" w:rsidRPr="003C3A1E" w:rsidRDefault="005233EB" w:rsidP="00B815F5">
            <w:pPr>
              <w:rPr>
                <w:rStyle w:val="IntenseReference"/>
              </w:rPr>
            </w:pPr>
            <w:r w:rsidRPr="003C3A1E">
              <w:rPr>
                <w:rStyle w:val="IntenseReference"/>
              </w:rPr>
              <w:t>MMP</w:t>
            </w:r>
          </w:p>
        </w:tc>
        <w:tc>
          <w:tcPr>
            <w:tcW w:w="426" w:type="dxa"/>
          </w:tcPr>
          <w:p w14:paraId="579205F9"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17FC0D4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B96453E"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EEB3D4F" w14:textId="77777777" w:rsidR="005233EB" w:rsidRPr="00651AE0" w:rsidRDefault="005233EB" w:rsidP="00B815F5">
            <w:pPr>
              <w:rPr>
                <w:rFonts w:ascii="Arial Narrow" w:hAnsi="Arial Narrow" w:cs="Arial"/>
                <w:sz w:val="22"/>
                <w:szCs w:val="22"/>
              </w:rPr>
            </w:pPr>
          </w:p>
        </w:tc>
        <w:tc>
          <w:tcPr>
            <w:tcW w:w="426" w:type="dxa"/>
          </w:tcPr>
          <w:p w14:paraId="719BB4BF"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D71F44D" w14:textId="77777777" w:rsidR="005233EB" w:rsidRPr="00651AE0" w:rsidRDefault="005233EB" w:rsidP="00B815F5">
            <w:pPr>
              <w:rPr>
                <w:rFonts w:ascii="Arial Narrow" w:hAnsi="Arial Narrow" w:cs="Arial"/>
                <w:sz w:val="22"/>
                <w:szCs w:val="22"/>
              </w:rPr>
            </w:pPr>
          </w:p>
        </w:tc>
        <w:tc>
          <w:tcPr>
            <w:tcW w:w="425" w:type="dxa"/>
          </w:tcPr>
          <w:p w14:paraId="17B623FD"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418F57AF" w14:textId="77777777" w:rsidR="005233EB" w:rsidRPr="00651AE0" w:rsidRDefault="005233EB" w:rsidP="00B815F5">
            <w:pPr>
              <w:rPr>
                <w:rFonts w:ascii="Arial Narrow" w:hAnsi="Arial Narrow" w:cs="Arial"/>
                <w:szCs w:val="22"/>
              </w:rPr>
            </w:pPr>
          </w:p>
        </w:tc>
        <w:tc>
          <w:tcPr>
            <w:tcW w:w="426" w:type="dxa"/>
          </w:tcPr>
          <w:p w14:paraId="3323A5F3"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79A218CA" w14:textId="77777777" w:rsidR="005233EB" w:rsidRPr="00651AE0" w:rsidRDefault="005233EB" w:rsidP="00B815F5">
            <w:pPr>
              <w:rPr>
                <w:rFonts w:ascii="Arial Narrow" w:hAnsi="Arial Narrow" w:cs="Arial"/>
                <w:szCs w:val="22"/>
              </w:rPr>
            </w:pPr>
          </w:p>
        </w:tc>
        <w:tc>
          <w:tcPr>
            <w:tcW w:w="425" w:type="dxa"/>
          </w:tcPr>
          <w:p w14:paraId="5A9E0274"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1DE1C608" w14:textId="77777777" w:rsidTr="00613E31">
        <w:tc>
          <w:tcPr>
            <w:tcW w:w="1970" w:type="dxa"/>
            <w:gridSpan w:val="2"/>
            <w:vMerge w:val="restart"/>
            <w:vAlign w:val="center"/>
          </w:tcPr>
          <w:p w14:paraId="40E3488A" w14:textId="77777777" w:rsidR="005233EB" w:rsidRPr="003C3A1E" w:rsidRDefault="005233EB" w:rsidP="00613E31">
            <w:pPr>
              <w:jc w:val="center"/>
              <w:rPr>
                <w:rStyle w:val="IntenseReference"/>
              </w:rPr>
            </w:pPr>
            <w:r w:rsidRPr="003C3A1E">
              <w:rPr>
                <w:rStyle w:val="IntenseReference"/>
              </w:rPr>
              <w:t>Fitzroy</w:t>
            </w:r>
          </w:p>
        </w:tc>
        <w:tc>
          <w:tcPr>
            <w:tcW w:w="2391" w:type="dxa"/>
            <w:vAlign w:val="bottom"/>
          </w:tcPr>
          <w:p w14:paraId="6A62BCDB" w14:textId="77777777" w:rsidR="005233EB" w:rsidRPr="003C3A1E" w:rsidRDefault="005233EB" w:rsidP="00B815F5">
            <w:pPr>
              <w:rPr>
                <w:rStyle w:val="IntenseReference"/>
              </w:rPr>
            </w:pPr>
            <w:r w:rsidRPr="003C3A1E">
              <w:rPr>
                <w:rStyle w:val="IntenseReference"/>
              </w:rPr>
              <w:t>North Keppel</w:t>
            </w:r>
          </w:p>
        </w:tc>
        <w:tc>
          <w:tcPr>
            <w:tcW w:w="850" w:type="dxa"/>
          </w:tcPr>
          <w:p w14:paraId="68F41EE2" w14:textId="77777777" w:rsidR="005233EB" w:rsidRPr="003C3A1E" w:rsidRDefault="005233EB" w:rsidP="00B815F5">
            <w:pPr>
              <w:rPr>
                <w:rStyle w:val="IntenseReference"/>
              </w:rPr>
            </w:pPr>
            <w:r w:rsidRPr="003C3A1E">
              <w:rPr>
                <w:rStyle w:val="IntenseReference"/>
              </w:rPr>
              <w:t>MMP</w:t>
            </w:r>
          </w:p>
        </w:tc>
        <w:tc>
          <w:tcPr>
            <w:tcW w:w="426" w:type="dxa"/>
          </w:tcPr>
          <w:p w14:paraId="7851B192"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1161656"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763DB72"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CE6AE82" w14:textId="77777777" w:rsidR="005233EB" w:rsidRPr="00651AE0" w:rsidRDefault="005233EB" w:rsidP="00B815F5">
            <w:pPr>
              <w:rPr>
                <w:rFonts w:ascii="Arial Narrow" w:hAnsi="Arial Narrow" w:cs="Arial"/>
                <w:sz w:val="22"/>
                <w:szCs w:val="22"/>
              </w:rPr>
            </w:pPr>
          </w:p>
        </w:tc>
        <w:tc>
          <w:tcPr>
            <w:tcW w:w="426" w:type="dxa"/>
          </w:tcPr>
          <w:p w14:paraId="48C18213"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2A7EC5E" w14:textId="77777777" w:rsidR="005233EB" w:rsidRPr="00651AE0" w:rsidRDefault="005233EB" w:rsidP="00B815F5">
            <w:pPr>
              <w:rPr>
                <w:rFonts w:ascii="Arial Narrow" w:hAnsi="Arial Narrow" w:cs="Arial"/>
                <w:sz w:val="22"/>
                <w:szCs w:val="22"/>
              </w:rPr>
            </w:pPr>
          </w:p>
        </w:tc>
        <w:tc>
          <w:tcPr>
            <w:tcW w:w="425" w:type="dxa"/>
          </w:tcPr>
          <w:p w14:paraId="3F23A758"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55D7A299" w14:textId="77777777" w:rsidR="005233EB" w:rsidRPr="00651AE0" w:rsidRDefault="005233EB" w:rsidP="00B815F5">
            <w:pPr>
              <w:rPr>
                <w:rFonts w:ascii="Arial Narrow" w:hAnsi="Arial Narrow" w:cs="Arial"/>
                <w:szCs w:val="22"/>
              </w:rPr>
            </w:pPr>
          </w:p>
        </w:tc>
        <w:tc>
          <w:tcPr>
            <w:tcW w:w="426" w:type="dxa"/>
          </w:tcPr>
          <w:p w14:paraId="4C85BA4C"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4148D2F8" w14:textId="77777777" w:rsidR="005233EB" w:rsidRPr="00651AE0" w:rsidRDefault="005233EB" w:rsidP="00B815F5">
            <w:pPr>
              <w:rPr>
                <w:rFonts w:ascii="Arial Narrow" w:hAnsi="Arial Narrow" w:cs="Arial"/>
                <w:szCs w:val="22"/>
              </w:rPr>
            </w:pPr>
            <w:r w:rsidRPr="00613E31">
              <w:rPr>
                <w:rFonts w:ascii="Arial Narrow" w:hAnsi="Arial Narrow" w:cs="Arial"/>
                <w:color w:val="808080" w:themeColor="background1" w:themeShade="80"/>
                <w:sz w:val="22"/>
                <w:szCs w:val="22"/>
              </w:rPr>
              <w:t>●</w:t>
            </w:r>
          </w:p>
        </w:tc>
        <w:tc>
          <w:tcPr>
            <w:tcW w:w="425" w:type="dxa"/>
          </w:tcPr>
          <w:p w14:paraId="21D25A5F"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3E2E0B49" w14:textId="77777777" w:rsidTr="00651AE0">
        <w:tc>
          <w:tcPr>
            <w:tcW w:w="1970" w:type="dxa"/>
            <w:gridSpan w:val="2"/>
            <w:vMerge/>
          </w:tcPr>
          <w:p w14:paraId="7976DA60" w14:textId="77777777" w:rsidR="005233EB" w:rsidRPr="003C3A1E" w:rsidRDefault="005233EB" w:rsidP="00B815F5">
            <w:pPr>
              <w:rPr>
                <w:rStyle w:val="IntenseReference"/>
              </w:rPr>
            </w:pPr>
          </w:p>
        </w:tc>
        <w:tc>
          <w:tcPr>
            <w:tcW w:w="2391" w:type="dxa"/>
            <w:vAlign w:val="bottom"/>
          </w:tcPr>
          <w:p w14:paraId="5FA47AED" w14:textId="77777777" w:rsidR="005233EB" w:rsidRPr="003C3A1E" w:rsidRDefault="005233EB" w:rsidP="00B815F5">
            <w:pPr>
              <w:rPr>
                <w:rStyle w:val="IntenseReference"/>
              </w:rPr>
            </w:pPr>
            <w:r w:rsidRPr="003C3A1E">
              <w:rPr>
                <w:rStyle w:val="IntenseReference"/>
              </w:rPr>
              <w:t>Middle</w:t>
            </w:r>
          </w:p>
        </w:tc>
        <w:tc>
          <w:tcPr>
            <w:tcW w:w="850" w:type="dxa"/>
          </w:tcPr>
          <w:p w14:paraId="440CBF39" w14:textId="77777777" w:rsidR="005233EB" w:rsidRPr="003C3A1E" w:rsidRDefault="005233EB" w:rsidP="00B815F5">
            <w:pPr>
              <w:rPr>
                <w:rStyle w:val="IntenseReference"/>
              </w:rPr>
            </w:pPr>
            <w:r w:rsidRPr="003C3A1E">
              <w:rPr>
                <w:rStyle w:val="IntenseReference"/>
              </w:rPr>
              <w:t>MMP</w:t>
            </w:r>
          </w:p>
        </w:tc>
        <w:tc>
          <w:tcPr>
            <w:tcW w:w="426" w:type="dxa"/>
          </w:tcPr>
          <w:p w14:paraId="3810C17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5DB420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78014A6" w14:textId="77777777" w:rsidR="005233EB" w:rsidRPr="00651AE0" w:rsidRDefault="005233EB" w:rsidP="00B815F5">
            <w:pPr>
              <w:rPr>
                <w:rFonts w:ascii="Arial Narrow" w:hAnsi="Arial Narrow" w:cs="Arial"/>
                <w:sz w:val="22"/>
                <w:szCs w:val="22"/>
              </w:rPr>
            </w:pPr>
          </w:p>
        </w:tc>
        <w:tc>
          <w:tcPr>
            <w:tcW w:w="425" w:type="dxa"/>
          </w:tcPr>
          <w:p w14:paraId="07A520EA"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64EC672E" w14:textId="77777777" w:rsidR="005233EB" w:rsidRPr="00651AE0" w:rsidRDefault="005233EB" w:rsidP="00B815F5">
            <w:pPr>
              <w:rPr>
                <w:rFonts w:ascii="Arial Narrow" w:hAnsi="Arial Narrow" w:cs="Arial"/>
                <w:sz w:val="22"/>
                <w:szCs w:val="22"/>
              </w:rPr>
            </w:pPr>
          </w:p>
        </w:tc>
        <w:tc>
          <w:tcPr>
            <w:tcW w:w="425" w:type="dxa"/>
          </w:tcPr>
          <w:p w14:paraId="5C3F3610"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009E24D" w14:textId="77777777" w:rsidR="005233EB" w:rsidRPr="00651AE0" w:rsidRDefault="005233EB" w:rsidP="00B815F5">
            <w:pPr>
              <w:rPr>
                <w:rFonts w:ascii="Arial Narrow" w:hAnsi="Arial Narrow" w:cs="Arial"/>
                <w:szCs w:val="22"/>
              </w:rPr>
            </w:pPr>
          </w:p>
        </w:tc>
        <w:tc>
          <w:tcPr>
            <w:tcW w:w="425" w:type="dxa"/>
          </w:tcPr>
          <w:p w14:paraId="163B5953"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7DDE8537" w14:textId="77777777" w:rsidR="005233EB" w:rsidRPr="00651AE0" w:rsidRDefault="005233EB" w:rsidP="00B815F5">
            <w:pPr>
              <w:rPr>
                <w:rFonts w:ascii="Arial Narrow" w:hAnsi="Arial Narrow" w:cs="Arial"/>
                <w:szCs w:val="22"/>
              </w:rPr>
            </w:pPr>
          </w:p>
        </w:tc>
        <w:tc>
          <w:tcPr>
            <w:tcW w:w="425" w:type="dxa"/>
          </w:tcPr>
          <w:p w14:paraId="5CA98216"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DF07E66" w14:textId="77777777" w:rsidR="005233EB" w:rsidRPr="00651AE0" w:rsidRDefault="005233EB" w:rsidP="00B815F5">
            <w:pPr>
              <w:rPr>
                <w:rFonts w:ascii="Arial Narrow" w:hAnsi="Arial Narrow" w:cs="Arial"/>
                <w:szCs w:val="22"/>
              </w:rPr>
            </w:pPr>
            <w:r w:rsidRPr="00613E31">
              <w:rPr>
                <w:rFonts w:ascii="Arial Narrow" w:hAnsi="Arial Narrow" w:cs="Arial"/>
                <w:color w:val="808080" w:themeColor="background1" w:themeShade="80"/>
                <w:sz w:val="22"/>
                <w:szCs w:val="22"/>
              </w:rPr>
              <w:t>●</w:t>
            </w:r>
          </w:p>
        </w:tc>
      </w:tr>
      <w:tr w:rsidR="005233EB" w14:paraId="6AD06968" w14:textId="77777777" w:rsidTr="00651AE0">
        <w:tc>
          <w:tcPr>
            <w:tcW w:w="1970" w:type="dxa"/>
            <w:gridSpan w:val="2"/>
            <w:vMerge/>
          </w:tcPr>
          <w:p w14:paraId="0773CFA8" w14:textId="77777777" w:rsidR="005233EB" w:rsidRPr="003C3A1E" w:rsidRDefault="005233EB" w:rsidP="00B815F5">
            <w:pPr>
              <w:rPr>
                <w:rStyle w:val="IntenseReference"/>
              </w:rPr>
            </w:pPr>
          </w:p>
        </w:tc>
        <w:tc>
          <w:tcPr>
            <w:tcW w:w="2391" w:type="dxa"/>
            <w:vAlign w:val="bottom"/>
          </w:tcPr>
          <w:p w14:paraId="00F2153C" w14:textId="77777777" w:rsidR="005233EB" w:rsidRPr="003C3A1E" w:rsidRDefault="005233EB" w:rsidP="00B815F5">
            <w:pPr>
              <w:rPr>
                <w:rStyle w:val="IntenseReference"/>
              </w:rPr>
            </w:pPr>
            <w:r w:rsidRPr="003C3A1E">
              <w:rPr>
                <w:rStyle w:val="IntenseReference"/>
              </w:rPr>
              <w:t>Barren (WQ)</w:t>
            </w:r>
          </w:p>
        </w:tc>
        <w:tc>
          <w:tcPr>
            <w:tcW w:w="850" w:type="dxa"/>
          </w:tcPr>
          <w:p w14:paraId="622550EC" w14:textId="77777777" w:rsidR="005233EB" w:rsidRPr="003C3A1E" w:rsidRDefault="005233EB" w:rsidP="00B815F5">
            <w:pPr>
              <w:rPr>
                <w:rStyle w:val="IntenseReference"/>
              </w:rPr>
            </w:pPr>
            <w:r w:rsidRPr="003C3A1E">
              <w:rPr>
                <w:rStyle w:val="IntenseReference"/>
              </w:rPr>
              <w:t>MMP</w:t>
            </w:r>
          </w:p>
        </w:tc>
        <w:tc>
          <w:tcPr>
            <w:tcW w:w="426" w:type="dxa"/>
          </w:tcPr>
          <w:p w14:paraId="4C9E5B6E"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2266D44"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73AAF8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316CC88D"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3556A263"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7A08FA6"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5B3AB6C"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18C41917"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36034C71"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79850A9"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95B336A"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233EB" w14:paraId="18DA0B8D" w14:textId="77777777" w:rsidTr="00651AE0">
        <w:tc>
          <w:tcPr>
            <w:tcW w:w="1970" w:type="dxa"/>
            <w:gridSpan w:val="2"/>
            <w:vMerge/>
          </w:tcPr>
          <w:p w14:paraId="5868BD4E" w14:textId="77777777" w:rsidR="005233EB" w:rsidRPr="003C3A1E" w:rsidRDefault="005233EB" w:rsidP="00B815F5">
            <w:pPr>
              <w:rPr>
                <w:rStyle w:val="IntenseReference"/>
              </w:rPr>
            </w:pPr>
          </w:p>
        </w:tc>
        <w:tc>
          <w:tcPr>
            <w:tcW w:w="2391" w:type="dxa"/>
            <w:vAlign w:val="bottom"/>
          </w:tcPr>
          <w:p w14:paraId="4533435C" w14:textId="77777777" w:rsidR="005233EB" w:rsidRPr="003C3A1E" w:rsidRDefault="005233EB" w:rsidP="00B815F5">
            <w:pPr>
              <w:rPr>
                <w:rStyle w:val="IntenseReference"/>
              </w:rPr>
            </w:pPr>
            <w:r w:rsidRPr="003C3A1E">
              <w:rPr>
                <w:rStyle w:val="IntenseReference"/>
              </w:rPr>
              <w:t>Keppels South (WQ)</w:t>
            </w:r>
          </w:p>
        </w:tc>
        <w:tc>
          <w:tcPr>
            <w:tcW w:w="850" w:type="dxa"/>
          </w:tcPr>
          <w:p w14:paraId="5AABFB15" w14:textId="77777777" w:rsidR="005233EB" w:rsidRPr="003C3A1E" w:rsidRDefault="005233EB" w:rsidP="00B815F5">
            <w:pPr>
              <w:rPr>
                <w:rStyle w:val="IntenseReference"/>
              </w:rPr>
            </w:pPr>
            <w:r w:rsidRPr="003C3A1E">
              <w:rPr>
                <w:rStyle w:val="IntenseReference"/>
              </w:rPr>
              <w:t>MMP</w:t>
            </w:r>
          </w:p>
        </w:tc>
        <w:tc>
          <w:tcPr>
            <w:tcW w:w="426" w:type="dxa"/>
          </w:tcPr>
          <w:p w14:paraId="12CC4C98"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2A30F47"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48DE925"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335D575"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534AB901"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4A82A7C"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7272D00E"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9A4906A"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7944F890"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600A625"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41F2C0C5" w14:textId="77777777" w:rsidR="005233EB" w:rsidRPr="00651AE0" w:rsidRDefault="005553A2" w:rsidP="00B815F5">
            <w:pPr>
              <w:rPr>
                <w:rFonts w:ascii="Arial Narrow" w:hAnsi="Arial Narrow" w:cs="Arial"/>
                <w:szCs w:val="22"/>
              </w:rPr>
            </w:pPr>
            <w:r w:rsidRPr="00613E31">
              <w:rPr>
                <w:rFonts w:ascii="Arial Narrow" w:hAnsi="Arial Narrow" w:cs="Arial"/>
                <w:color w:val="808080" w:themeColor="background1" w:themeShade="80"/>
                <w:sz w:val="22"/>
                <w:szCs w:val="22"/>
              </w:rPr>
              <w:t>●</w:t>
            </w:r>
          </w:p>
        </w:tc>
      </w:tr>
      <w:tr w:rsidR="005233EB" w14:paraId="7850CC48" w14:textId="77777777" w:rsidTr="00651AE0">
        <w:tc>
          <w:tcPr>
            <w:tcW w:w="1970" w:type="dxa"/>
            <w:gridSpan w:val="2"/>
            <w:vMerge/>
          </w:tcPr>
          <w:p w14:paraId="7FF9ECB9" w14:textId="77777777" w:rsidR="005233EB" w:rsidRPr="003C3A1E" w:rsidRDefault="005233EB" w:rsidP="00B815F5">
            <w:pPr>
              <w:rPr>
                <w:rStyle w:val="IntenseReference"/>
              </w:rPr>
            </w:pPr>
          </w:p>
        </w:tc>
        <w:tc>
          <w:tcPr>
            <w:tcW w:w="2391" w:type="dxa"/>
            <w:vAlign w:val="bottom"/>
          </w:tcPr>
          <w:p w14:paraId="31FB6081" w14:textId="77777777" w:rsidR="005233EB" w:rsidRPr="003C3A1E" w:rsidRDefault="005233EB" w:rsidP="00B815F5">
            <w:pPr>
              <w:rPr>
                <w:rStyle w:val="IntenseReference"/>
              </w:rPr>
            </w:pPr>
            <w:r w:rsidRPr="003C3A1E">
              <w:rPr>
                <w:rStyle w:val="IntenseReference"/>
              </w:rPr>
              <w:t>Pelican (WQ)</w:t>
            </w:r>
          </w:p>
        </w:tc>
        <w:tc>
          <w:tcPr>
            <w:tcW w:w="850" w:type="dxa"/>
          </w:tcPr>
          <w:p w14:paraId="13B212E7" w14:textId="77777777" w:rsidR="005233EB" w:rsidRPr="003C3A1E" w:rsidRDefault="005233EB" w:rsidP="00B815F5">
            <w:pPr>
              <w:rPr>
                <w:rStyle w:val="IntenseReference"/>
              </w:rPr>
            </w:pPr>
            <w:r w:rsidRPr="003C3A1E">
              <w:rPr>
                <w:rStyle w:val="IntenseReference"/>
              </w:rPr>
              <w:t>MMP</w:t>
            </w:r>
          </w:p>
        </w:tc>
        <w:tc>
          <w:tcPr>
            <w:tcW w:w="426" w:type="dxa"/>
          </w:tcPr>
          <w:p w14:paraId="318BD9D2"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D302614"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1B31B079"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5C4BD850"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6" w:type="dxa"/>
          </w:tcPr>
          <w:p w14:paraId="64B66467"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4436C079" w14:textId="77777777" w:rsidR="005233EB" w:rsidRPr="00651AE0" w:rsidRDefault="005233EB" w:rsidP="00B815F5">
            <w:pPr>
              <w:rPr>
                <w:rFonts w:ascii="Arial Narrow" w:hAnsi="Arial Narrow" w:cs="Arial"/>
                <w:sz w:val="22"/>
                <w:szCs w:val="22"/>
              </w:rPr>
            </w:pPr>
            <w:r>
              <w:rPr>
                <w:rFonts w:ascii="Arial Narrow" w:hAnsi="Arial Narrow" w:cs="Arial"/>
                <w:sz w:val="22"/>
                <w:szCs w:val="22"/>
              </w:rPr>
              <w:t>●</w:t>
            </w:r>
          </w:p>
        </w:tc>
        <w:tc>
          <w:tcPr>
            <w:tcW w:w="425" w:type="dxa"/>
          </w:tcPr>
          <w:p w14:paraId="0382C1DF"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4A54284E"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6" w:type="dxa"/>
          </w:tcPr>
          <w:p w14:paraId="199B1D31"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6EBBA702"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c>
          <w:tcPr>
            <w:tcW w:w="425" w:type="dxa"/>
          </w:tcPr>
          <w:p w14:paraId="3002D922" w14:textId="77777777" w:rsidR="005233EB" w:rsidRPr="00651AE0" w:rsidRDefault="005233EB" w:rsidP="00B815F5">
            <w:pPr>
              <w:rPr>
                <w:rFonts w:ascii="Arial Narrow" w:hAnsi="Arial Narrow" w:cs="Arial"/>
                <w:szCs w:val="22"/>
              </w:rPr>
            </w:pPr>
            <w:r>
              <w:rPr>
                <w:rFonts w:ascii="Arial Narrow" w:hAnsi="Arial Narrow" w:cs="Arial"/>
                <w:sz w:val="22"/>
                <w:szCs w:val="22"/>
              </w:rPr>
              <w:t>●</w:t>
            </w:r>
          </w:p>
        </w:tc>
      </w:tr>
      <w:tr w:rsidR="005553A2" w14:paraId="543B85C4" w14:textId="77777777" w:rsidTr="00651AE0">
        <w:tc>
          <w:tcPr>
            <w:tcW w:w="1970" w:type="dxa"/>
            <w:gridSpan w:val="2"/>
            <w:vMerge/>
          </w:tcPr>
          <w:p w14:paraId="4EB9EBAE" w14:textId="77777777" w:rsidR="005553A2" w:rsidRPr="003C3A1E" w:rsidRDefault="005553A2" w:rsidP="00B815F5">
            <w:pPr>
              <w:rPr>
                <w:rStyle w:val="IntenseReference"/>
              </w:rPr>
            </w:pPr>
          </w:p>
        </w:tc>
        <w:tc>
          <w:tcPr>
            <w:tcW w:w="2391" w:type="dxa"/>
            <w:vAlign w:val="bottom"/>
          </w:tcPr>
          <w:p w14:paraId="4D934010" w14:textId="77777777" w:rsidR="005553A2" w:rsidRPr="003C3A1E" w:rsidRDefault="005553A2" w:rsidP="00B815F5">
            <w:pPr>
              <w:rPr>
                <w:rStyle w:val="IntenseReference"/>
              </w:rPr>
            </w:pPr>
            <w:r w:rsidRPr="003C3A1E">
              <w:rPr>
                <w:rStyle w:val="IntenseReference"/>
              </w:rPr>
              <w:t>Peak</w:t>
            </w:r>
          </w:p>
        </w:tc>
        <w:tc>
          <w:tcPr>
            <w:tcW w:w="850" w:type="dxa"/>
          </w:tcPr>
          <w:p w14:paraId="250D7517" w14:textId="77777777" w:rsidR="005553A2" w:rsidRPr="003C3A1E" w:rsidRDefault="005553A2" w:rsidP="00B815F5">
            <w:pPr>
              <w:rPr>
                <w:rStyle w:val="IntenseReference"/>
              </w:rPr>
            </w:pPr>
            <w:r w:rsidRPr="003C3A1E">
              <w:rPr>
                <w:rStyle w:val="IntenseReference"/>
              </w:rPr>
              <w:t>MMP</w:t>
            </w:r>
          </w:p>
        </w:tc>
        <w:tc>
          <w:tcPr>
            <w:tcW w:w="426" w:type="dxa"/>
          </w:tcPr>
          <w:p w14:paraId="1051AD94" w14:textId="77777777" w:rsidR="005553A2" w:rsidRPr="00651AE0" w:rsidRDefault="005553A2" w:rsidP="00B815F5">
            <w:pPr>
              <w:rPr>
                <w:rFonts w:ascii="Arial Narrow" w:hAnsi="Arial Narrow" w:cs="Arial"/>
                <w:sz w:val="22"/>
                <w:szCs w:val="22"/>
              </w:rPr>
            </w:pPr>
            <w:r>
              <w:rPr>
                <w:rFonts w:ascii="Arial Narrow" w:hAnsi="Arial Narrow" w:cs="Arial"/>
                <w:sz w:val="22"/>
                <w:szCs w:val="22"/>
              </w:rPr>
              <w:t>●</w:t>
            </w:r>
          </w:p>
        </w:tc>
        <w:tc>
          <w:tcPr>
            <w:tcW w:w="425" w:type="dxa"/>
          </w:tcPr>
          <w:p w14:paraId="287CBF6A" w14:textId="77777777" w:rsidR="005553A2" w:rsidRPr="00651AE0" w:rsidRDefault="005553A2" w:rsidP="00B815F5">
            <w:pPr>
              <w:rPr>
                <w:rFonts w:ascii="Arial Narrow" w:hAnsi="Arial Narrow" w:cs="Arial"/>
                <w:sz w:val="22"/>
                <w:szCs w:val="22"/>
              </w:rPr>
            </w:pPr>
            <w:r>
              <w:rPr>
                <w:rFonts w:ascii="Arial Narrow" w:hAnsi="Arial Narrow" w:cs="Arial"/>
                <w:sz w:val="22"/>
                <w:szCs w:val="22"/>
              </w:rPr>
              <w:t>●</w:t>
            </w:r>
          </w:p>
        </w:tc>
        <w:tc>
          <w:tcPr>
            <w:tcW w:w="425" w:type="dxa"/>
          </w:tcPr>
          <w:p w14:paraId="54C80545" w14:textId="77777777" w:rsidR="005553A2" w:rsidRPr="00651AE0" w:rsidRDefault="005553A2" w:rsidP="00B815F5">
            <w:pPr>
              <w:rPr>
                <w:rFonts w:ascii="Arial Narrow" w:hAnsi="Arial Narrow" w:cs="Arial"/>
                <w:sz w:val="22"/>
                <w:szCs w:val="22"/>
              </w:rPr>
            </w:pPr>
          </w:p>
        </w:tc>
        <w:tc>
          <w:tcPr>
            <w:tcW w:w="425" w:type="dxa"/>
          </w:tcPr>
          <w:p w14:paraId="187F1803" w14:textId="77777777" w:rsidR="005553A2" w:rsidRPr="00651AE0" w:rsidRDefault="005553A2" w:rsidP="00B815F5">
            <w:pPr>
              <w:rPr>
                <w:rFonts w:ascii="Arial Narrow" w:hAnsi="Arial Narrow" w:cs="Arial"/>
                <w:sz w:val="22"/>
                <w:szCs w:val="22"/>
              </w:rPr>
            </w:pPr>
            <w:r>
              <w:rPr>
                <w:rFonts w:ascii="Arial Narrow" w:hAnsi="Arial Narrow" w:cs="Arial"/>
                <w:sz w:val="22"/>
                <w:szCs w:val="22"/>
              </w:rPr>
              <w:t>●</w:t>
            </w:r>
          </w:p>
        </w:tc>
        <w:tc>
          <w:tcPr>
            <w:tcW w:w="426" w:type="dxa"/>
          </w:tcPr>
          <w:p w14:paraId="5EC8ECCD" w14:textId="77777777" w:rsidR="005553A2" w:rsidRPr="00651AE0" w:rsidRDefault="005553A2" w:rsidP="00B815F5">
            <w:pPr>
              <w:rPr>
                <w:rFonts w:ascii="Arial Narrow" w:hAnsi="Arial Narrow" w:cs="Arial"/>
                <w:sz w:val="22"/>
                <w:szCs w:val="22"/>
              </w:rPr>
            </w:pPr>
          </w:p>
        </w:tc>
        <w:tc>
          <w:tcPr>
            <w:tcW w:w="425" w:type="dxa"/>
          </w:tcPr>
          <w:p w14:paraId="5D3159C6" w14:textId="77777777" w:rsidR="005553A2" w:rsidRPr="00651AE0" w:rsidRDefault="005553A2" w:rsidP="00B815F5">
            <w:pPr>
              <w:rPr>
                <w:rFonts w:ascii="Arial Narrow" w:hAnsi="Arial Narrow" w:cs="Arial"/>
                <w:sz w:val="22"/>
                <w:szCs w:val="22"/>
              </w:rPr>
            </w:pPr>
            <w:r>
              <w:rPr>
                <w:rFonts w:ascii="Arial Narrow" w:hAnsi="Arial Narrow" w:cs="Arial"/>
                <w:sz w:val="22"/>
                <w:szCs w:val="22"/>
              </w:rPr>
              <w:t>●</w:t>
            </w:r>
          </w:p>
        </w:tc>
        <w:tc>
          <w:tcPr>
            <w:tcW w:w="425" w:type="dxa"/>
          </w:tcPr>
          <w:p w14:paraId="494DF0F2" w14:textId="77777777" w:rsidR="005553A2" w:rsidRPr="00651AE0" w:rsidRDefault="005553A2" w:rsidP="00B815F5">
            <w:pPr>
              <w:rPr>
                <w:rFonts w:ascii="Arial Narrow" w:hAnsi="Arial Narrow" w:cs="Arial"/>
                <w:szCs w:val="22"/>
              </w:rPr>
            </w:pPr>
          </w:p>
        </w:tc>
        <w:tc>
          <w:tcPr>
            <w:tcW w:w="425" w:type="dxa"/>
          </w:tcPr>
          <w:p w14:paraId="4E2162F5" w14:textId="77777777" w:rsidR="005553A2" w:rsidRPr="00651AE0" w:rsidRDefault="005553A2" w:rsidP="00B815F5">
            <w:pPr>
              <w:rPr>
                <w:rFonts w:ascii="Arial Narrow" w:hAnsi="Arial Narrow" w:cs="Arial"/>
                <w:szCs w:val="22"/>
              </w:rPr>
            </w:pPr>
            <w:r>
              <w:rPr>
                <w:rFonts w:ascii="Arial Narrow" w:hAnsi="Arial Narrow" w:cs="Arial"/>
                <w:sz w:val="22"/>
                <w:szCs w:val="22"/>
              </w:rPr>
              <w:t>●</w:t>
            </w:r>
          </w:p>
        </w:tc>
        <w:tc>
          <w:tcPr>
            <w:tcW w:w="426" w:type="dxa"/>
          </w:tcPr>
          <w:p w14:paraId="71DE322F" w14:textId="77777777" w:rsidR="005553A2" w:rsidRPr="00651AE0" w:rsidRDefault="005553A2" w:rsidP="00B815F5">
            <w:pPr>
              <w:rPr>
                <w:rFonts w:ascii="Arial Narrow" w:hAnsi="Arial Narrow" w:cs="Arial"/>
                <w:szCs w:val="22"/>
              </w:rPr>
            </w:pPr>
          </w:p>
        </w:tc>
        <w:tc>
          <w:tcPr>
            <w:tcW w:w="425" w:type="dxa"/>
          </w:tcPr>
          <w:p w14:paraId="74382577" w14:textId="77777777" w:rsidR="005553A2" w:rsidRPr="00651AE0" w:rsidRDefault="005553A2" w:rsidP="00B815F5">
            <w:pPr>
              <w:rPr>
                <w:rFonts w:ascii="Arial Narrow" w:hAnsi="Arial Narrow" w:cs="Arial"/>
                <w:szCs w:val="22"/>
              </w:rPr>
            </w:pPr>
            <w:r>
              <w:rPr>
                <w:rFonts w:ascii="Arial Narrow" w:hAnsi="Arial Narrow" w:cs="Arial"/>
                <w:sz w:val="22"/>
                <w:szCs w:val="22"/>
              </w:rPr>
              <w:t>●</w:t>
            </w:r>
          </w:p>
        </w:tc>
        <w:tc>
          <w:tcPr>
            <w:tcW w:w="425" w:type="dxa"/>
          </w:tcPr>
          <w:p w14:paraId="290231C1" w14:textId="77777777" w:rsidR="005553A2" w:rsidRPr="00651AE0" w:rsidRDefault="005553A2" w:rsidP="00B815F5">
            <w:pPr>
              <w:rPr>
                <w:rFonts w:ascii="Arial Narrow" w:hAnsi="Arial Narrow" w:cs="Arial"/>
                <w:szCs w:val="22"/>
              </w:rPr>
            </w:pPr>
            <w:r w:rsidRPr="00613E31">
              <w:rPr>
                <w:rFonts w:ascii="Arial Narrow" w:hAnsi="Arial Narrow" w:cs="Arial"/>
                <w:color w:val="808080" w:themeColor="background1" w:themeShade="80"/>
                <w:sz w:val="22"/>
                <w:szCs w:val="22"/>
              </w:rPr>
              <w:t>●</w:t>
            </w:r>
          </w:p>
        </w:tc>
      </w:tr>
    </w:tbl>
    <w:p w14:paraId="0A878314" w14:textId="77777777" w:rsidR="00B815F5" w:rsidRPr="0004130F" w:rsidRDefault="00B815F5" w:rsidP="00B815F5">
      <w:pPr>
        <w:rPr>
          <w:rFonts w:cs="Arial"/>
        </w:rPr>
      </w:pPr>
    </w:p>
    <w:p w14:paraId="0BBC45B3" w14:textId="77777777" w:rsidR="00954B71" w:rsidRDefault="00954B71" w:rsidP="00FA06C2">
      <w:pPr>
        <w:pStyle w:val="Heading2"/>
      </w:pPr>
      <w:bookmarkStart w:id="82" w:name="_Toc460490656"/>
      <w:r>
        <w:lastRenderedPageBreak/>
        <w:t>4</w:t>
      </w:r>
      <w:r w:rsidRPr="00EA753F">
        <w:t>.2</w:t>
      </w:r>
      <w:r w:rsidRPr="00EA753F">
        <w:tab/>
      </w:r>
      <w:r w:rsidR="005A0E43">
        <w:t>Coral community s</w:t>
      </w:r>
      <w:r w:rsidRPr="00EA753F">
        <w:t>ampling</w:t>
      </w:r>
      <w:bookmarkEnd w:id="82"/>
    </w:p>
    <w:p w14:paraId="50CA96AE" w14:textId="77777777" w:rsidR="00944204" w:rsidRPr="002710DB" w:rsidRDefault="00944204" w:rsidP="00944204">
      <w:r>
        <w:t>Three</w:t>
      </w:r>
      <w:r w:rsidRPr="002710DB">
        <w:t xml:space="preserve"> separate sampling methodologies were used to describe the benthic communities o</w:t>
      </w:r>
      <w:r>
        <w:t>f inshore coral reefs (</w:t>
      </w:r>
      <w:r w:rsidR="003C3A1E">
        <w:fldChar w:fldCharType="begin"/>
      </w:r>
      <w:r w:rsidR="003C3A1E">
        <w:instrText xml:space="preserve"> REF _Ref460423294 \h </w:instrText>
      </w:r>
      <w:r w:rsidR="003C3A1E">
        <w:fldChar w:fldCharType="separate"/>
      </w:r>
      <w:r w:rsidR="00B61881" w:rsidRPr="0026052F">
        <w:t xml:space="preserve">Table </w:t>
      </w:r>
      <w:r w:rsidR="00B61881">
        <w:rPr>
          <w:noProof/>
        </w:rPr>
        <w:t>2</w:t>
      </w:r>
      <w:r w:rsidR="003C3A1E">
        <w:fldChar w:fldCharType="end"/>
      </w:r>
      <w:r>
        <w:t>)</w:t>
      </w:r>
      <w:r w:rsidRPr="002710DB">
        <w:t xml:space="preserve">. </w:t>
      </w:r>
    </w:p>
    <w:p w14:paraId="070362F6" w14:textId="77777777" w:rsidR="00B815F5" w:rsidRPr="002710DB" w:rsidRDefault="009142F0" w:rsidP="00457EB1">
      <w:pPr>
        <w:pStyle w:val="Heading7"/>
      </w:pPr>
      <w:bookmarkStart w:id="83" w:name="_Ref460423294"/>
      <w:bookmarkStart w:id="84" w:name="_Toc453855049"/>
      <w:proofErr w:type="gramStart"/>
      <w:r w:rsidRPr="0026052F">
        <w:t xml:space="preserve">Table </w:t>
      </w:r>
      <w:r w:rsidRPr="0026052F">
        <w:fldChar w:fldCharType="begin"/>
      </w:r>
      <w:r w:rsidRPr="0026052F">
        <w:instrText xml:space="preserve"> SEQ Table \* ARABIC </w:instrText>
      </w:r>
      <w:r w:rsidRPr="0026052F">
        <w:fldChar w:fldCharType="separate"/>
      </w:r>
      <w:r w:rsidR="00B61881">
        <w:rPr>
          <w:noProof/>
        </w:rPr>
        <w:t>2</w:t>
      </w:r>
      <w:r w:rsidRPr="0026052F">
        <w:fldChar w:fldCharType="end"/>
      </w:r>
      <w:bookmarkEnd w:id="83"/>
      <w:r w:rsidR="00B815F5" w:rsidRPr="0026052F">
        <w:t>: Summary of coral community sampling methods</w:t>
      </w:r>
      <w:r w:rsidR="00B815F5" w:rsidRPr="002710DB">
        <w:t>.</w:t>
      </w:r>
      <w:bookmarkEnd w:id="84"/>
      <w:proofErr w:type="gramEnd"/>
      <w:r w:rsidR="00B815F5" w:rsidRPr="002710DB">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Table 2: Summary of coral community sampling methods. "/>
        <w:tblDescription w:val="Table 2: Summary of coral community sampling methods. This table describes the three methods used  for cvoral monitoring: Photo point intercept, Demography, scuba search."/>
      </w:tblPr>
      <w:tblGrid>
        <w:gridCol w:w="1344"/>
        <w:gridCol w:w="3018"/>
        <w:gridCol w:w="2834"/>
        <w:gridCol w:w="2659"/>
      </w:tblGrid>
      <w:tr w:rsidR="00B815F5" w:rsidRPr="000E2EAE" w14:paraId="0E761377" w14:textId="77777777" w:rsidTr="000D268E">
        <w:tc>
          <w:tcPr>
            <w:tcW w:w="682" w:type="pct"/>
            <w:vMerge w:val="restart"/>
            <w:shd w:val="clear" w:color="auto" w:fill="E6E6E6"/>
            <w:vAlign w:val="center"/>
          </w:tcPr>
          <w:p w14:paraId="27F8315D" w14:textId="77777777" w:rsidR="00B815F5" w:rsidRPr="002710DB" w:rsidRDefault="00B815F5" w:rsidP="000D268E">
            <w:pPr>
              <w:rPr>
                <w:rFonts w:ascii="Arial Narrow" w:hAnsi="Arial Narrow"/>
                <w:b/>
                <w:sz w:val="20"/>
              </w:rPr>
            </w:pPr>
            <w:r w:rsidRPr="002710DB">
              <w:rPr>
                <w:rFonts w:ascii="Arial Narrow" w:hAnsi="Arial Narrow"/>
                <w:b/>
                <w:sz w:val="20"/>
              </w:rPr>
              <w:t>Survey Method</w:t>
            </w:r>
          </w:p>
        </w:tc>
        <w:tc>
          <w:tcPr>
            <w:tcW w:w="1531" w:type="pct"/>
            <w:vMerge w:val="restart"/>
            <w:shd w:val="clear" w:color="auto" w:fill="E6E6E6"/>
            <w:vAlign w:val="center"/>
          </w:tcPr>
          <w:p w14:paraId="778A86E3" w14:textId="77777777" w:rsidR="00B815F5" w:rsidRPr="002710DB" w:rsidRDefault="00B815F5" w:rsidP="000D268E">
            <w:pPr>
              <w:rPr>
                <w:rFonts w:ascii="Arial Narrow" w:hAnsi="Arial Narrow"/>
                <w:b/>
                <w:sz w:val="20"/>
              </w:rPr>
            </w:pPr>
            <w:r w:rsidRPr="002710DB">
              <w:rPr>
                <w:rFonts w:ascii="Arial Narrow" w:hAnsi="Arial Narrow"/>
                <w:b/>
                <w:sz w:val="20"/>
              </w:rPr>
              <w:t>Information provided</w:t>
            </w:r>
          </w:p>
        </w:tc>
        <w:tc>
          <w:tcPr>
            <w:tcW w:w="2787" w:type="pct"/>
            <w:gridSpan w:val="2"/>
            <w:shd w:val="clear" w:color="auto" w:fill="E6E6E6"/>
            <w:vAlign w:val="center"/>
          </w:tcPr>
          <w:p w14:paraId="1865A4F5" w14:textId="77777777" w:rsidR="00B815F5" w:rsidRPr="002710DB" w:rsidRDefault="00B815F5" w:rsidP="000D268E">
            <w:pPr>
              <w:jc w:val="center"/>
              <w:rPr>
                <w:rFonts w:ascii="Arial Narrow" w:hAnsi="Arial Narrow"/>
                <w:b/>
                <w:sz w:val="20"/>
              </w:rPr>
            </w:pPr>
            <w:r w:rsidRPr="002710DB">
              <w:rPr>
                <w:rFonts w:ascii="Arial Narrow" w:hAnsi="Arial Narrow"/>
                <w:b/>
                <w:sz w:val="20"/>
              </w:rPr>
              <w:t xml:space="preserve">Transect </w:t>
            </w:r>
            <w:r>
              <w:rPr>
                <w:rFonts w:ascii="Arial Narrow" w:hAnsi="Arial Narrow"/>
                <w:b/>
                <w:sz w:val="20"/>
              </w:rPr>
              <w:t>dimension</w:t>
            </w:r>
          </w:p>
        </w:tc>
      </w:tr>
      <w:tr w:rsidR="00B815F5" w:rsidRPr="000E2EAE" w14:paraId="49EE0EC1" w14:textId="77777777" w:rsidTr="000D268E">
        <w:tc>
          <w:tcPr>
            <w:tcW w:w="682" w:type="pct"/>
            <w:vMerge/>
            <w:shd w:val="clear" w:color="auto" w:fill="E6E6E6"/>
            <w:vAlign w:val="center"/>
          </w:tcPr>
          <w:p w14:paraId="62D56224" w14:textId="77777777" w:rsidR="00B815F5" w:rsidRPr="002710DB" w:rsidRDefault="00B815F5" w:rsidP="000D268E">
            <w:pPr>
              <w:rPr>
                <w:rFonts w:ascii="Arial Narrow" w:hAnsi="Arial Narrow"/>
                <w:b/>
                <w:sz w:val="20"/>
              </w:rPr>
            </w:pPr>
          </w:p>
        </w:tc>
        <w:tc>
          <w:tcPr>
            <w:tcW w:w="1531" w:type="pct"/>
            <w:vMerge/>
            <w:shd w:val="clear" w:color="auto" w:fill="E6E6E6"/>
            <w:vAlign w:val="center"/>
          </w:tcPr>
          <w:p w14:paraId="2F22FBD6" w14:textId="77777777" w:rsidR="00B815F5" w:rsidRPr="002710DB" w:rsidRDefault="00B815F5" w:rsidP="000D268E">
            <w:pPr>
              <w:rPr>
                <w:rFonts w:ascii="Arial Narrow" w:hAnsi="Arial Narrow"/>
                <w:b/>
                <w:sz w:val="20"/>
              </w:rPr>
            </w:pPr>
          </w:p>
        </w:tc>
        <w:tc>
          <w:tcPr>
            <w:tcW w:w="1438" w:type="pct"/>
            <w:shd w:val="clear" w:color="auto" w:fill="E6E6E6"/>
            <w:vAlign w:val="center"/>
          </w:tcPr>
          <w:p w14:paraId="6C2404C6" w14:textId="77777777" w:rsidR="00B815F5" w:rsidRPr="002710DB" w:rsidRDefault="00B815F5" w:rsidP="000D268E">
            <w:pPr>
              <w:rPr>
                <w:rFonts w:ascii="Arial Narrow" w:hAnsi="Arial Narrow"/>
                <w:b/>
                <w:sz w:val="20"/>
              </w:rPr>
            </w:pPr>
            <w:r>
              <w:rPr>
                <w:rFonts w:ascii="Arial Narrow" w:hAnsi="Arial Narrow"/>
                <w:b/>
                <w:sz w:val="20"/>
              </w:rPr>
              <w:t>MMP (20m long transects)</w:t>
            </w:r>
          </w:p>
        </w:tc>
        <w:tc>
          <w:tcPr>
            <w:tcW w:w="1349" w:type="pct"/>
            <w:shd w:val="clear" w:color="auto" w:fill="E6E6E6"/>
            <w:vAlign w:val="center"/>
          </w:tcPr>
          <w:p w14:paraId="3CD81D6F" w14:textId="77777777" w:rsidR="00B815F5" w:rsidRPr="002710DB" w:rsidRDefault="00B815F5" w:rsidP="000D268E">
            <w:pPr>
              <w:rPr>
                <w:rFonts w:ascii="Arial Narrow" w:hAnsi="Arial Narrow"/>
                <w:b/>
                <w:sz w:val="20"/>
              </w:rPr>
            </w:pPr>
            <w:r>
              <w:rPr>
                <w:rFonts w:ascii="Arial Narrow" w:hAnsi="Arial Narrow"/>
                <w:b/>
                <w:sz w:val="20"/>
              </w:rPr>
              <w:t>LTMP (50m long transects)</w:t>
            </w:r>
          </w:p>
        </w:tc>
      </w:tr>
      <w:tr w:rsidR="00B815F5" w:rsidRPr="000E2EAE" w14:paraId="34E50616" w14:textId="77777777" w:rsidTr="000D268E">
        <w:trPr>
          <w:trHeight w:val="997"/>
        </w:trPr>
        <w:tc>
          <w:tcPr>
            <w:tcW w:w="682" w:type="pct"/>
            <w:vAlign w:val="center"/>
          </w:tcPr>
          <w:p w14:paraId="4CB8DD60" w14:textId="77777777" w:rsidR="00B815F5" w:rsidRPr="002710DB" w:rsidRDefault="00B815F5" w:rsidP="000D268E">
            <w:pPr>
              <w:rPr>
                <w:rFonts w:ascii="Arial Narrow" w:hAnsi="Arial Narrow"/>
                <w:sz w:val="20"/>
              </w:rPr>
            </w:pPr>
            <w:r w:rsidRPr="002710DB">
              <w:rPr>
                <w:rFonts w:ascii="Arial Narrow" w:hAnsi="Arial Narrow"/>
                <w:sz w:val="20"/>
              </w:rPr>
              <w:t>Photo point Intercept</w:t>
            </w:r>
          </w:p>
        </w:tc>
        <w:tc>
          <w:tcPr>
            <w:tcW w:w="1531" w:type="pct"/>
            <w:vAlign w:val="center"/>
          </w:tcPr>
          <w:p w14:paraId="6B118EDA" w14:textId="77777777" w:rsidR="00B815F5" w:rsidRPr="002710DB" w:rsidRDefault="00B815F5" w:rsidP="000D268E">
            <w:pPr>
              <w:rPr>
                <w:rFonts w:ascii="Arial Narrow" w:hAnsi="Arial Narrow"/>
                <w:sz w:val="20"/>
              </w:rPr>
            </w:pPr>
            <w:r w:rsidRPr="002710DB">
              <w:rPr>
                <w:rFonts w:ascii="Arial Narrow" w:hAnsi="Arial Narrow"/>
                <w:sz w:val="20"/>
              </w:rPr>
              <w:t>Percentage covers of the substratum of major benthic habitat components.</w:t>
            </w:r>
          </w:p>
        </w:tc>
        <w:tc>
          <w:tcPr>
            <w:tcW w:w="1438" w:type="pct"/>
            <w:vAlign w:val="center"/>
          </w:tcPr>
          <w:p w14:paraId="1BA23F61" w14:textId="77777777" w:rsidR="00B815F5" w:rsidRPr="002710DB" w:rsidRDefault="00B815F5" w:rsidP="000D268E">
            <w:pPr>
              <w:rPr>
                <w:rFonts w:ascii="Arial Narrow" w:hAnsi="Arial Narrow"/>
                <w:sz w:val="20"/>
              </w:rPr>
            </w:pPr>
            <w:r w:rsidRPr="002710DB">
              <w:rPr>
                <w:rFonts w:ascii="Arial Narrow" w:hAnsi="Arial Narrow"/>
                <w:sz w:val="20"/>
              </w:rPr>
              <w:t xml:space="preserve">Approximately 34cm belt along upslope side of transect </w:t>
            </w:r>
            <w:r>
              <w:rPr>
                <w:rFonts w:ascii="Arial Narrow" w:hAnsi="Arial Narrow"/>
                <w:sz w:val="20"/>
              </w:rPr>
              <w:t xml:space="preserve">sampled at 50 cm intervals </w:t>
            </w:r>
            <w:r w:rsidRPr="002710DB">
              <w:rPr>
                <w:rFonts w:ascii="Arial Narrow" w:hAnsi="Arial Narrow"/>
                <w:sz w:val="20"/>
              </w:rPr>
              <w:t xml:space="preserve">from which </w:t>
            </w:r>
            <w:r>
              <w:rPr>
                <w:rFonts w:ascii="Arial Narrow" w:hAnsi="Arial Narrow"/>
                <w:sz w:val="20"/>
              </w:rPr>
              <w:t>32 frames are sampled</w:t>
            </w:r>
            <w:r w:rsidRPr="002710DB">
              <w:rPr>
                <w:rFonts w:ascii="Arial Narrow" w:hAnsi="Arial Narrow"/>
                <w:sz w:val="20"/>
              </w:rPr>
              <w:t xml:space="preserve">. </w:t>
            </w:r>
          </w:p>
          <w:p w14:paraId="3A661B38" w14:textId="77777777" w:rsidR="00B815F5" w:rsidRPr="002710DB" w:rsidRDefault="00B815F5" w:rsidP="000D268E">
            <w:pPr>
              <w:rPr>
                <w:rFonts w:ascii="Arial Narrow" w:hAnsi="Arial Narrow"/>
                <w:sz w:val="20"/>
              </w:rPr>
            </w:pPr>
          </w:p>
        </w:tc>
        <w:tc>
          <w:tcPr>
            <w:tcW w:w="1349" w:type="pct"/>
            <w:vAlign w:val="center"/>
          </w:tcPr>
          <w:p w14:paraId="7A2F08E9" w14:textId="77777777" w:rsidR="00B815F5" w:rsidRPr="002710DB" w:rsidRDefault="00B815F5" w:rsidP="000D268E">
            <w:pPr>
              <w:rPr>
                <w:rFonts w:ascii="Arial Narrow" w:hAnsi="Arial Narrow"/>
                <w:sz w:val="20"/>
              </w:rPr>
            </w:pPr>
            <w:r w:rsidRPr="002710DB">
              <w:rPr>
                <w:rFonts w:ascii="Arial Narrow" w:hAnsi="Arial Narrow"/>
                <w:sz w:val="20"/>
              </w:rPr>
              <w:t xml:space="preserve">Approximately 34cm belt along upslope side of transect </w:t>
            </w:r>
            <w:r>
              <w:rPr>
                <w:rFonts w:ascii="Arial Narrow" w:hAnsi="Arial Narrow"/>
                <w:sz w:val="20"/>
              </w:rPr>
              <w:t xml:space="preserve">sampled at 1m intervals </w:t>
            </w:r>
            <w:r w:rsidRPr="002710DB">
              <w:rPr>
                <w:rFonts w:ascii="Arial Narrow" w:hAnsi="Arial Narrow"/>
                <w:sz w:val="20"/>
              </w:rPr>
              <w:t xml:space="preserve">from which </w:t>
            </w:r>
            <w:r>
              <w:rPr>
                <w:rFonts w:ascii="Arial Narrow" w:hAnsi="Arial Narrow"/>
                <w:sz w:val="20"/>
              </w:rPr>
              <w:t>40 frames are sampled</w:t>
            </w:r>
            <w:r w:rsidRPr="002710DB">
              <w:rPr>
                <w:rFonts w:ascii="Arial Narrow" w:hAnsi="Arial Narrow"/>
                <w:sz w:val="20"/>
              </w:rPr>
              <w:t xml:space="preserve">. </w:t>
            </w:r>
          </w:p>
          <w:p w14:paraId="7975BD1D" w14:textId="77777777" w:rsidR="00B815F5" w:rsidRPr="002710DB" w:rsidRDefault="00B815F5" w:rsidP="000D268E">
            <w:pPr>
              <w:rPr>
                <w:rFonts w:ascii="Arial Narrow" w:hAnsi="Arial Narrow"/>
                <w:sz w:val="20"/>
              </w:rPr>
            </w:pPr>
          </w:p>
        </w:tc>
      </w:tr>
      <w:tr w:rsidR="00B815F5" w:rsidRPr="000E2EAE" w14:paraId="7C64929A" w14:textId="77777777" w:rsidTr="000D268E">
        <w:trPr>
          <w:trHeight w:val="842"/>
        </w:trPr>
        <w:tc>
          <w:tcPr>
            <w:tcW w:w="682" w:type="pct"/>
            <w:vAlign w:val="center"/>
          </w:tcPr>
          <w:p w14:paraId="512739E8" w14:textId="77777777" w:rsidR="00B815F5" w:rsidRPr="002710DB" w:rsidRDefault="00B815F5" w:rsidP="000D268E">
            <w:pPr>
              <w:rPr>
                <w:rFonts w:ascii="Arial Narrow" w:hAnsi="Arial Narrow"/>
                <w:sz w:val="20"/>
              </w:rPr>
            </w:pPr>
            <w:r w:rsidRPr="002710DB">
              <w:rPr>
                <w:rFonts w:ascii="Arial Narrow" w:hAnsi="Arial Narrow"/>
                <w:sz w:val="20"/>
              </w:rPr>
              <w:t>Demography</w:t>
            </w:r>
          </w:p>
        </w:tc>
        <w:tc>
          <w:tcPr>
            <w:tcW w:w="1531" w:type="pct"/>
            <w:vAlign w:val="center"/>
          </w:tcPr>
          <w:p w14:paraId="68E550CC" w14:textId="77777777" w:rsidR="00B815F5" w:rsidRPr="002710DB" w:rsidRDefault="00B815F5" w:rsidP="000D268E">
            <w:pPr>
              <w:rPr>
                <w:rFonts w:ascii="Arial Narrow" w:hAnsi="Arial Narrow"/>
                <w:sz w:val="20"/>
              </w:rPr>
            </w:pPr>
            <w:r w:rsidRPr="002710DB">
              <w:rPr>
                <w:rFonts w:ascii="Arial Narrow" w:hAnsi="Arial Narrow"/>
                <w:sz w:val="20"/>
              </w:rPr>
              <w:t>Size structure and density of juvenile coral communities.</w:t>
            </w:r>
          </w:p>
        </w:tc>
        <w:tc>
          <w:tcPr>
            <w:tcW w:w="1438" w:type="pct"/>
            <w:vAlign w:val="center"/>
          </w:tcPr>
          <w:p w14:paraId="405981F1" w14:textId="77777777" w:rsidR="00B815F5" w:rsidRPr="002710DB" w:rsidRDefault="00B815F5" w:rsidP="000D268E">
            <w:pPr>
              <w:rPr>
                <w:rFonts w:ascii="Arial Narrow" w:hAnsi="Arial Narrow"/>
                <w:sz w:val="20"/>
              </w:rPr>
            </w:pPr>
            <w:r w:rsidRPr="002710DB">
              <w:rPr>
                <w:rFonts w:ascii="Arial Narrow" w:hAnsi="Arial Narrow"/>
                <w:sz w:val="20"/>
              </w:rPr>
              <w:t>34cm belt along the upslope side of transect.</w:t>
            </w:r>
            <w:r>
              <w:rPr>
                <w:rFonts w:ascii="Arial Narrow" w:hAnsi="Arial Narrow"/>
                <w:sz w:val="20"/>
              </w:rPr>
              <w:t xml:space="preserve"> Size classes: 0-2cm, 2-5cm, 5-10cm.</w:t>
            </w:r>
          </w:p>
          <w:p w14:paraId="44DAE09A" w14:textId="77777777" w:rsidR="00B815F5" w:rsidRPr="002710DB" w:rsidRDefault="00B815F5" w:rsidP="000D268E">
            <w:pPr>
              <w:rPr>
                <w:rFonts w:ascii="Arial Narrow" w:hAnsi="Arial Narrow"/>
                <w:sz w:val="20"/>
              </w:rPr>
            </w:pPr>
          </w:p>
        </w:tc>
        <w:tc>
          <w:tcPr>
            <w:tcW w:w="1349" w:type="pct"/>
            <w:vAlign w:val="center"/>
          </w:tcPr>
          <w:p w14:paraId="1BE75CEC" w14:textId="77777777" w:rsidR="00B815F5" w:rsidRPr="002710DB" w:rsidRDefault="00B815F5" w:rsidP="000D268E">
            <w:pPr>
              <w:rPr>
                <w:rFonts w:ascii="Arial Narrow" w:hAnsi="Arial Narrow"/>
                <w:sz w:val="20"/>
              </w:rPr>
            </w:pPr>
            <w:r w:rsidRPr="002710DB">
              <w:rPr>
                <w:rFonts w:ascii="Arial Narrow" w:hAnsi="Arial Narrow"/>
                <w:sz w:val="20"/>
              </w:rPr>
              <w:t xml:space="preserve">34cm belt along the upslope side of </w:t>
            </w:r>
            <w:r>
              <w:rPr>
                <w:rFonts w:ascii="Arial Narrow" w:hAnsi="Arial Narrow"/>
                <w:sz w:val="20"/>
              </w:rPr>
              <w:t xml:space="preserve">the first 5m of </w:t>
            </w:r>
            <w:r w:rsidRPr="002710DB">
              <w:rPr>
                <w:rFonts w:ascii="Arial Narrow" w:hAnsi="Arial Narrow"/>
                <w:sz w:val="20"/>
              </w:rPr>
              <w:t>transect.</w:t>
            </w:r>
            <w:r>
              <w:rPr>
                <w:rFonts w:ascii="Arial Narrow" w:hAnsi="Arial Narrow"/>
                <w:sz w:val="20"/>
              </w:rPr>
              <w:t xml:space="preserve"> Size class: 0-5cm.</w:t>
            </w:r>
          </w:p>
          <w:p w14:paraId="15E48F92" w14:textId="77777777" w:rsidR="00B815F5" w:rsidRPr="002710DB" w:rsidRDefault="00B815F5" w:rsidP="000D268E">
            <w:pPr>
              <w:rPr>
                <w:rFonts w:ascii="Arial Narrow" w:hAnsi="Arial Narrow"/>
                <w:sz w:val="20"/>
              </w:rPr>
            </w:pPr>
          </w:p>
        </w:tc>
      </w:tr>
      <w:tr w:rsidR="00B815F5" w:rsidRPr="000E2EAE" w14:paraId="4C9449BC" w14:textId="77777777" w:rsidTr="000D268E">
        <w:tc>
          <w:tcPr>
            <w:tcW w:w="682" w:type="pct"/>
            <w:vAlign w:val="center"/>
          </w:tcPr>
          <w:p w14:paraId="3959117C" w14:textId="77777777" w:rsidR="00B815F5" w:rsidRPr="002710DB" w:rsidRDefault="00B815F5" w:rsidP="000D268E">
            <w:pPr>
              <w:rPr>
                <w:rFonts w:ascii="Arial Narrow" w:hAnsi="Arial Narrow"/>
                <w:sz w:val="20"/>
              </w:rPr>
            </w:pPr>
            <w:r w:rsidRPr="002710DB">
              <w:rPr>
                <w:rFonts w:ascii="Arial Narrow" w:hAnsi="Arial Narrow"/>
                <w:sz w:val="20"/>
              </w:rPr>
              <w:t>Scuba search</w:t>
            </w:r>
          </w:p>
        </w:tc>
        <w:tc>
          <w:tcPr>
            <w:tcW w:w="1531" w:type="pct"/>
            <w:vAlign w:val="center"/>
          </w:tcPr>
          <w:p w14:paraId="29009F7C" w14:textId="77777777" w:rsidR="00B815F5" w:rsidRPr="002710DB" w:rsidRDefault="00B815F5" w:rsidP="000D268E">
            <w:pPr>
              <w:rPr>
                <w:rFonts w:ascii="Arial Narrow" w:hAnsi="Arial Narrow"/>
                <w:sz w:val="20"/>
              </w:rPr>
            </w:pPr>
            <w:r w:rsidRPr="002710DB">
              <w:rPr>
                <w:rFonts w:ascii="Arial Narrow" w:hAnsi="Arial Narrow"/>
                <w:sz w:val="20"/>
              </w:rPr>
              <w:t>Incidence of factors causing coral mortality</w:t>
            </w:r>
          </w:p>
        </w:tc>
        <w:tc>
          <w:tcPr>
            <w:tcW w:w="1438" w:type="pct"/>
            <w:vAlign w:val="center"/>
          </w:tcPr>
          <w:p w14:paraId="17F31EEF" w14:textId="77777777" w:rsidR="00B815F5" w:rsidRPr="002710DB" w:rsidRDefault="00B815F5" w:rsidP="000D268E">
            <w:pPr>
              <w:rPr>
                <w:rFonts w:ascii="Arial Narrow" w:hAnsi="Arial Narrow"/>
                <w:sz w:val="20"/>
              </w:rPr>
            </w:pPr>
            <w:r w:rsidRPr="002710DB">
              <w:rPr>
                <w:rFonts w:ascii="Arial Narrow" w:hAnsi="Arial Narrow"/>
                <w:sz w:val="20"/>
              </w:rPr>
              <w:t>2m belt centred on transect</w:t>
            </w:r>
          </w:p>
          <w:p w14:paraId="64F663DB" w14:textId="77777777" w:rsidR="00B815F5" w:rsidRPr="002710DB" w:rsidRDefault="00B815F5" w:rsidP="000D268E">
            <w:pPr>
              <w:rPr>
                <w:rFonts w:ascii="Arial Narrow" w:hAnsi="Arial Narrow"/>
                <w:sz w:val="20"/>
              </w:rPr>
            </w:pPr>
          </w:p>
        </w:tc>
        <w:tc>
          <w:tcPr>
            <w:tcW w:w="1349" w:type="pct"/>
          </w:tcPr>
          <w:p w14:paraId="5B61A8C4" w14:textId="77777777" w:rsidR="00B815F5" w:rsidRPr="002710DB" w:rsidRDefault="00B815F5" w:rsidP="000D268E">
            <w:pPr>
              <w:rPr>
                <w:rFonts w:ascii="Arial Narrow" w:hAnsi="Arial Narrow"/>
                <w:sz w:val="20"/>
              </w:rPr>
            </w:pPr>
            <w:r w:rsidRPr="002710DB">
              <w:rPr>
                <w:rFonts w:ascii="Arial Narrow" w:hAnsi="Arial Narrow"/>
                <w:sz w:val="20"/>
              </w:rPr>
              <w:t>2m belt centred on transect</w:t>
            </w:r>
          </w:p>
        </w:tc>
      </w:tr>
    </w:tbl>
    <w:p w14:paraId="6FDD85AA" w14:textId="77777777" w:rsidR="00B815F5" w:rsidRPr="002710DB" w:rsidRDefault="00B815F5" w:rsidP="00B815F5"/>
    <w:p w14:paraId="205DB8D4" w14:textId="77777777" w:rsidR="00944204" w:rsidRPr="002710DB" w:rsidRDefault="00FE4FD7" w:rsidP="009139A2">
      <w:pPr>
        <w:pStyle w:val="Heading3"/>
      </w:pPr>
      <w:r>
        <w:t xml:space="preserve">4.2.1 </w:t>
      </w:r>
      <w:r w:rsidR="00944204" w:rsidRPr="002710DB">
        <w:t>Photo point intercept transects</w:t>
      </w:r>
    </w:p>
    <w:p w14:paraId="46887069" w14:textId="77777777" w:rsidR="00944204" w:rsidRDefault="00944204" w:rsidP="00944204">
      <w:r w:rsidRPr="002710DB">
        <w:t xml:space="preserve">Estimates of the composition of the benthic communities were derived from the identification of organisms on digital photographs taken along the permanently marked transects. The method followed closely the Standard Operation Procedure Number 10 of the AIMS Long-Term Monitoring Program (Jonker </w:t>
      </w:r>
      <w:r w:rsidRPr="002819E0">
        <w:rPr>
          <w:i/>
        </w:rPr>
        <w:t>et al</w:t>
      </w:r>
      <w:r w:rsidRPr="002710DB">
        <w:rPr>
          <w:i/>
        </w:rPr>
        <w:t>.</w:t>
      </w:r>
      <w:r w:rsidRPr="002710DB">
        <w:t xml:space="preserve"> 2008). In short, digital photographs were taken at 50cm intervals along each 20m transect. Estimations of cover of benthic community components are derived from the identification of the benthos lying beneath five fixed points digitally overlaid onto these images. A total of 32 images</w:t>
      </w:r>
      <w:r w:rsidR="00FC7D2D">
        <w:t xml:space="preserve"> are randomly selected</w:t>
      </w:r>
      <w:r w:rsidRPr="002710DB">
        <w:t xml:space="preserve"> </w:t>
      </w:r>
      <w:r w:rsidR="00FC7D2D">
        <w:t xml:space="preserve">and </w:t>
      </w:r>
      <w:r w:rsidRPr="002710DB">
        <w:t>analysed from each transect</w:t>
      </w:r>
      <w:r w:rsidR="00FC7D2D">
        <w:t>. Out of focus images are excluded and replaced by an image from those not originally randomly selected</w:t>
      </w:r>
      <w:r w:rsidRPr="002710DB">
        <w:t xml:space="preserve">. </w:t>
      </w:r>
      <w:r>
        <w:t>The AIMS LTMP utilise longer 50m transects sampled at 1m intervals from which 40 images are selected.</w:t>
      </w:r>
    </w:p>
    <w:p w14:paraId="7B4D4C59" w14:textId="77777777" w:rsidR="00944204" w:rsidRDefault="00944204" w:rsidP="00944204">
      <w:r w:rsidRPr="002710DB">
        <w:t>For the majority of hard and soft corals, identification to at least genus level is achieved.  Identifications for each point are entered directly into a data entry front end to an Oracle-database, developed by AIMS. This system allows the recall of images and checking of any identified points.</w:t>
      </w:r>
      <w:r>
        <w:t xml:space="preserve"> </w:t>
      </w:r>
    </w:p>
    <w:p w14:paraId="5F76FB39" w14:textId="77777777" w:rsidR="00944204" w:rsidRPr="002710DB" w:rsidRDefault="00FE4FD7" w:rsidP="009139A2">
      <w:pPr>
        <w:pStyle w:val="Heading3"/>
      </w:pPr>
      <w:r>
        <w:t xml:space="preserve">4.2.2 </w:t>
      </w:r>
      <w:r w:rsidR="00944204" w:rsidRPr="002710DB">
        <w:t xml:space="preserve">Juvenile coral surveys </w:t>
      </w:r>
    </w:p>
    <w:p w14:paraId="7290B483" w14:textId="77777777" w:rsidR="00944204" w:rsidRDefault="00FC548F" w:rsidP="00944204">
      <w:r w:rsidRPr="00EA753F">
        <w:t>These surveys aimed to provide an estimate of the number of both hard and soft coral colonies that were successfully recruiting and surviving early post-settlement pressures</w:t>
      </w:r>
      <w:r>
        <w:t xml:space="preserve">. </w:t>
      </w:r>
      <w:r w:rsidR="00944204" w:rsidRPr="002710DB">
        <w:t xml:space="preserve">The number of juvenile coral colonies were counted along the permanently marked transects. In 2005 and 2006 these juvenile coral colonies were counted as part of a demographic survey that counted the number of all individuals falling into a broad range of size classes that intersected a 34cm wide belt along the first 10m of each 20m transect. As the focus narrowed to just juvenile colonies, the number of size classes was reduced allowing an increase in the spatial coverage of sampling. From 2007 coral colonies less than 10cm in diameter were counted along the full length of each 20m transect within a belt 34cm wide (data slate length) positioned on the upslope side of the marked transect line. Each colony was identified to genus and assigned to a size class of either, 0-2cm, &gt;2-5cm, or &gt;5-10cm. Importantly, this method aims to record only those small colonies assessed as juveniles, i.e. which result from the settlement and subsequent survival and growth of coral larvae, and so does not include small coral colonies considered as resulting from fragmentation or partial mortality of larger colonies. </w:t>
      </w:r>
      <w:r w:rsidR="00944204">
        <w:t>In 2006 the LTMP also introduced juvenile surveys though only within the first 5m of each transect and focused on the single size-class of 0-5cm</w:t>
      </w:r>
    </w:p>
    <w:p w14:paraId="3469FAA1" w14:textId="77777777" w:rsidR="00944204" w:rsidRPr="00FA06C2" w:rsidRDefault="00FE4FD7" w:rsidP="00156D38">
      <w:pPr>
        <w:pStyle w:val="Heading4"/>
        <w:spacing w:after="120"/>
        <w:rPr>
          <w:rStyle w:val="Heading3Char"/>
          <w:i/>
        </w:rPr>
      </w:pPr>
      <w:r w:rsidRPr="0033239F">
        <w:rPr>
          <w:rStyle w:val="Heading3Char"/>
          <w:i/>
        </w:rPr>
        <w:lastRenderedPageBreak/>
        <w:t>4.2.3 S</w:t>
      </w:r>
      <w:r w:rsidR="00FC548F" w:rsidRPr="00FA06C2">
        <w:rPr>
          <w:rStyle w:val="Heading3Char"/>
          <w:i/>
        </w:rPr>
        <w:t>CUBA</w:t>
      </w:r>
      <w:r w:rsidR="00156D38">
        <w:rPr>
          <w:rStyle w:val="Heading3Char"/>
          <w:i/>
        </w:rPr>
        <w:t xml:space="preserve"> </w:t>
      </w:r>
      <w:r w:rsidR="00944204" w:rsidRPr="00FA06C2">
        <w:rPr>
          <w:rStyle w:val="Heading3Char"/>
          <w:i/>
        </w:rPr>
        <w:t>search transects</w:t>
      </w:r>
    </w:p>
    <w:p w14:paraId="60C0C1D6" w14:textId="77777777" w:rsidR="00944204" w:rsidRPr="002710DB" w:rsidRDefault="00FC548F" w:rsidP="00944204">
      <w:r w:rsidRPr="002710DB">
        <w:t>S</w:t>
      </w:r>
      <w:r>
        <w:t xml:space="preserve">CUBA </w:t>
      </w:r>
      <w:r w:rsidR="00944204" w:rsidRPr="002710DB">
        <w:t xml:space="preserve">search transects document the incidence of disease and other agents of coral mortality and damage. Tracking of these agents of mortality is important, because declines in coral condition due to these agents are potentially associated with </w:t>
      </w:r>
      <w:r w:rsidR="00A024A1">
        <w:t>increased exposure to nutrients or turbidity (</w:t>
      </w:r>
      <w:r w:rsidR="00A024A1" w:rsidRPr="00714423">
        <w:t xml:space="preserve">Morrow </w:t>
      </w:r>
      <w:r w:rsidR="00A024A1" w:rsidRPr="0054101D">
        <w:rPr>
          <w:i/>
        </w:rPr>
        <w:t>et al</w:t>
      </w:r>
      <w:r w:rsidR="00A024A1" w:rsidRPr="00714423">
        <w:t xml:space="preserve">. 2012, Vega Thurber </w:t>
      </w:r>
      <w:r w:rsidR="00A024A1" w:rsidRPr="0054101D">
        <w:rPr>
          <w:i/>
        </w:rPr>
        <w:t>et al.</w:t>
      </w:r>
      <w:r w:rsidR="00A024A1" w:rsidRPr="00714423">
        <w:t xml:space="preserve"> 2012</w:t>
      </w:r>
      <w:r w:rsidR="00A024A1">
        <w:t>).</w:t>
      </w:r>
      <w:r w:rsidR="00944204" w:rsidRPr="002710DB">
        <w:t xml:space="preserve">. </w:t>
      </w:r>
      <w:r w:rsidR="00777800">
        <w:t xml:space="preserve">The resulting data are used primarily for interpretive purposes and help to identify both acute events such as a high proportion of damaged corals following storms or high densities of coral predators, or periods of chronic stress as inferred from high levels of coral disease. </w:t>
      </w:r>
      <w:r w:rsidR="00944204" w:rsidRPr="002710DB">
        <w:t xml:space="preserve">This method follows closely the Standard Operation Procedure Number 9 of the AIMS Long-Term Monitoring Program (Miller </w:t>
      </w:r>
      <w:r w:rsidR="00944204" w:rsidRPr="002819E0">
        <w:rPr>
          <w:i/>
        </w:rPr>
        <w:t>et al</w:t>
      </w:r>
      <w:r w:rsidR="00944204" w:rsidRPr="002710DB">
        <w:rPr>
          <w:i/>
        </w:rPr>
        <w:t>.</w:t>
      </w:r>
      <w:r w:rsidR="00944204" w:rsidRPr="002710DB">
        <w:t xml:space="preserve"> 2009). For each 20m transect a search was conducted within a 2m wide belt centred on the marked transect line for any recent scars, bleaching, disease or damage to coral colonies. An additional category not included in the standard procedure was physical damage. This was recorded on the same 5 point scale as coral bleaching and describes the proportion of the coral community that has been physically damaged, as indicated by toppled or broken colonies. This category may include anchor as well as storm damage.</w:t>
      </w:r>
      <w:r w:rsidR="00944204">
        <w:t xml:space="preserve"> The LTMP include this survey over the full 50m length of transects used in that program.</w:t>
      </w:r>
    </w:p>
    <w:p w14:paraId="5DD9164B" w14:textId="77777777" w:rsidR="00954B71" w:rsidRPr="002710DB" w:rsidRDefault="00FE4FD7" w:rsidP="009139A2">
      <w:pPr>
        <w:pStyle w:val="Heading3"/>
      </w:pPr>
      <w:r>
        <w:t xml:space="preserve">4.2.4 </w:t>
      </w:r>
      <w:r w:rsidR="00954B71">
        <w:t>Coral Settlement</w:t>
      </w:r>
    </w:p>
    <w:p w14:paraId="6C391622" w14:textId="77777777" w:rsidR="00954B71" w:rsidRDefault="00954B71" w:rsidP="00954B71">
      <w:r>
        <w:t xml:space="preserve">Until 2013 the settlement of corals to terracotta tiles was included at the then core reefs and a summary of that component of the program can be found in Thompson </w:t>
      </w:r>
      <w:r w:rsidRPr="004C6289">
        <w:rPr>
          <w:i/>
        </w:rPr>
        <w:t>et al.</w:t>
      </w:r>
      <w:r>
        <w:t xml:space="preserve"> 2013. </w:t>
      </w:r>
    </w:p>
    <w:p w14:paraId="6512FCDA" w14:textId="77777777" w:rsidR="005A0E43" w:rsidRDefault="005A0E43" w:rsidP="009139A2">
      <w:pPr>
        <w:pStyle w:val="Heading2"/>
        <w:numPr>
          <w:ilvl w:val="1"/>
          <w:numId w:val="42"/>
        </w:numPr>
        <w:spacing w:before="240"/>
      </w:pPr>
      <w:bookmarkStart w:id="85" w:name="_Toc460490657"/>
      <w:r>
        <w:t>Environmental sampling</w:t>
      </w:r>
      <w:bookmarkEnd w:id="85"/>
    </w:p>
    <w:p w14:paraId="247B239E" w14:textId="77777777" w:rsidR="00FE4FD7" w:rsidRDefault="00FE4FD7" w:rsidP="009139A2">
      <w:pPr>
        <w:pStyle w:val="Heading3"/>
      </w:pPr>
      <w:r>
        <w:t>4</w:t>
      </w:r>
      <w:r w:rsidR="005A0E43">
        <w:t>.3.1</w:t>
      </w:r>
      <w:r w:rsidR="0023296B">
        <w:tab/>
        <w:t>Water quality</w:t>
      </w:r>
      <w:r w:rsidR="00525065">
        <w:t xml:space="preserve"> sampling</w:t>
      </w:r>
    </w:p>
    <w:p w14:paraId="231237DF" w14:textId="77777777" w:rsidR="00FE4FD7" w:rsidRDefault="00FE4FD7" w:rsidP="00FE4FD7">
      <w:proofErr w:type="gramStart"/>
      <w:r>
        <w:t>Within each NRM region MMP water</w:t>
      </w:r>
      <w:proofErr w:type="gramEnd"/>
      <w:r>
        <w:t xml:space="preserve"> quality monitoring sites were co</w:t>
      </w:r>
      <w:r w:rsidR="002F28C0">
        <w:t>-</w:t>
      </w:r>
      <w:r>
        <w:t>located with a su</w:t>
      </w:r>
      <w:r w:rsidR="001252BF">
        <w:t xml:space="preserve">bset of coral monitoring reefs </w:t>
      </w:r>
      <w:r>
        <w:t xml:space="preserve">(). The reefs chosen spanned the gradient expected gradient of exposure to runoff within each region. At each reef two water quality sampling methods were used. Firstly, WET Labs ECO FLNTUSB Combination Fluorometer and Turbidity Sensors were deployed at 5m at the start of coral survey </w:t>
      </w:r>
      <w:r w:rsidRPr="001252BF">
        <w:t xml:space="preserve">transects to provide a continuous record (10 minute interval) of </w:t>
      </w:r>
      <w:r w:rsidR="009109BA">
        <w:t xml:space="preserve">chlorophyll </w:t>
      </w:r>
      <w:r w:rsidRPr="001252BF">
        <w:t>concentration and Turbidity. Secondly</w:t>
      </w:r>
      <w:r>
        <w:rPr>
          <w:color w:val="0070C0"/>
        </w:rPr>
        <w:t>,</w:t>
      </w:r>
      <w:r>
        <w:rPr>
          <w:rFonts w:eastAsia="MS Mincho"/>
        </w:rPr>
        <w:t xml:space="preserve"> detailed water sampling was undertaken three times a year until 201</w:t>
      </w:r>
      <w:r w:rsidR="005A0E43">
        <w:rPr>
          <w:rFonts w:eastAsia="MS Mincho"/>
        </w:rPr>
        <w:t xml:space="preserve">4 then more frequently in 2015, </w:t>
      </w:r>
      <w:r>
        <w:rPr>
          <w:rFonts w:eastAsia="MS Mincho"/>
        </w:rPr>
        <w:t>sampling included: vertical profiles of water temperature, salinity, chlorophyll, and turbidity measured with a Conductivity Temperature Depth profiler (CTD) and di</w:t>
      </w:r>
      <w:r>
        <w:t>screte water samples collected with Niskin bottles at bottom (1m</w:t>
      </w:r>
      <w:r w:rsidR="004469BD">
        <w:t xml:space="preserve"> from seabed) and surface. Nisk</w:t>
      </w:r>
      <w:r>
        <w:t xml:space="preserve">in samples were also taken alongside </w:t>
      </w:r>
      <w:r>
        <w:rPr>
          <w:rFonts w:cs="Plantin"/>
        </w:rPr>
        <w:t xml:space="preserve">the autonomous water quality instruments located at the reef sites. </w:t>
      </w:r>
      <w:r>
        <w:t xml:space="preserve">Sub-samples taken from the Niskin bottles </w:t>
      </w:r>
      <w:r>
        <w:rPr>
          <w:rFonts w:cs="Plantin"/>
        </w:rPr>
        <w:t>were</w:t>
      </w:r>
      <w:r>
        <w:t xml:space="preserve"> analysed for a suite of dissolved and particulate nutrient and carbon species. From 2015 water quality sampling was discontinued in the Fitzroy region and at Snapper </w:t>
      </w:r>
      <w:r w:rsidR="007A5DAF">
        <w:t>North</w:t>
      </w:r>
      <w:r>
        <w:t xml:space="preserve"> in the Wet Tropics region</w:t>
      </w:r>
      <w:r w:rsidR="005A0E43">
        <w:t>, i</w:t>
      </w:r>
      <w:r>
        <w:t>n the Mackay Whitsunday region the water quality statio</w:t>
      </w:r>
      <w:r w:rsidR="007A5DAF">
        <w:t>n was moved from Daydream to Seaforth</w:t>
      </w:r>
      <w:r w:rsidR="005A0E43">
        <w:t xml:space="preserve">, </w:t>
      </w:r>
      <w:r>
        <w:t xml:space="preserve">additional </w:t>
      </w:r>
      <w:r w:rsidRPr="00EF333D">
        <w:rPr>
          <w:i/>
        </w:rPr>
        <w:t xml:space="preserve">in situ </w:t>
      </w:r>
      <w:r>
        <w:t xml:space="preserve">instrument and Niskin sampling sites </w:t>
      </w:r>
      <w:r w:rsidR="0023296B">
        <w:t xml:space="preserve">were </w:t>
      </w:r>
      <w:r>
        <w:t xml:space="preserve">located in off reef areas. </w:t>
      </w:r>
    </w:p>
    <w:p w14:paraId="0CF626D4" w14:textId="77777777" w:rsidR="00FE4FD7" w:rsidRDefault="00FE4FD7" w:rsidP="00FA06C2">
      <w:r>
        <w:t xml:space="preserve">Flood plume monitoring combined with satellite data allow flood plume exposure, chlorophyll a and total suspended sediment concentrations to be estimated for all reef sites </w:t>
      </w:r>
      <w:r w:rsidRPr="00EF333D">
        <w:rPr>
          <w:color w:val="000000" w:themeColor="text1"/>
        </w:rPr>
        <w:t>(</w:t>
      </w:r>
      <w:r w:rsidR="003C3A1E">
        <w:rPr>
          <w:color w:val="000000" w:themeColor="text1"/>
        </w:rPr>
        <w:fldChar w:fldCharType="begin"/>
      </w:r>
      <w:r w:rsidR="003C3A1E">
        <w:rPr>
          <w:color w:val="000000" w:themeColor="text1"/>
        </w:rPr>
        <w:instrText xml:space="preserve"> REF _Ref460423145 \h </w:instrText>
      </w:r>
      <w:r w:rsidR="003C3A1E">
        <w:rPr>
          <w:color w:val="000000" w:themeColor="text1"/>
        </w:rPr>
      </w:r>
      <w:r w:rsidR="003C3A1E">
        <w:rPr>
          <w:color w:val="000000" w:themeColor="text1"/>
        </w:rPr>
        <w:fldChar w:fldCharType="separate"/>
      </w:r>
      <w:r w:rsidR="00B61881">
        <w:t xml:space="preserve">Table </w:t>
      </w:r>
      <w:proofErr w:type="gramStart"/>
      <w:r w:rsidR="00B61881">
        <w:t>A</w:t>
      </w:r>
      <w:proofErr w:type="gramEnd"/>
      <w:r w:rsidR="00B61881">
        <w:t xml:space="preserve"> </w:t>
      </w:r>
      <w:r w:rsidR="00B61881">
        <w:rPr>
          <w:noProof/>
        </w:rPr>
        <w:t>4</w:t>
      </w:r>
      <w:r w:rsidR="003C3A1E">
        <w:rPr>
          <w:color w:val="000000" w:themeColor="text1"/>
        </w:rPr>
        <w:fldChar w:fldCharType="end"/>
      </w:r>
      <w:r w:rsidRPr="00EF333D">
        <w:rPr>
          <w:color w:val="000000" w:themeColor="text1"/>
        </w:rPr>
        <w:t xml:space="preserve">). </w:t>
      </w:r>
      <w:r>
        <w:t xml:space="preserve">Detailed descriptions of water quality monitoring methods can be found in the companion 2015 annual MMP Water Quality Monitoring report </w:t>
      </w:r>
      <w:r w:rsidRPr="00406BD7">
        <w:t>(</w:t>
      </w:r>
      <w:r w:rsidRPr="00406BD7">
        <w:rPr>
          <w:rFonts w:cs="Arial"/>
          <w:lang w:val="en-US"/>
        </w:rPr>
        <w:t>Lønborg</w:t>
      </w:r>
      <w:r w:rsidRPr="00406BD7">
        <w:rPr>
          <w:lang w:val="en-US"/>
        </w:rPr>
        <w:t xml:space="preserve"> </w:t>
      </w:r>
      <w:r w:rsidRPr="00406BD7">
        <w:rPr>
          <w:i/>
        </w:rPr>
        <w:t>et al.</w:t>
      </w:r>
      <w:r w:rsidR="005A0E43">
        <w:t xml:space="preserve"> 2015</w:t>
      </w:r>
      <w:r>
        <w:t>).</w:t>
      </w:r>
    </w:p>
    <w:p w14:paraId="5A3C4B10" w14:textId="77777777" w:rsidR="00FE4FD7" w:rsidRDefault="0023296B" w:rsidP="009139A2">
      <w:pPr>
        <w:pStyle w:val="Heading3"/>
      </w:pPr>
      <w:r>
        <w:t>4.3.2</w:t>
      </w:r>
      <w:r w:rsidR="00FE4FD7" w:rsidRPr="003A1EFE">
        <w:t xml:space="preserve"> Sea temperature </w:t>
      </w:r>
      <w:r>
        <w:t>s</w:t>
      </w:r>
      <w:r w:rsidR="004D2B29">
        <w:t>ampling</w:t>
      </w:r>
    </w:p>
    <w:p w14:paraId="5618798E" w14:textId="77777777" w:rsidR="00FE4FD7" w:rsidRPr="002710DB" w:rsidRDefault="00FE4FD7" w:rsidP="00FE4FD7">
      <w:pPr>
        <w:spacing w:after="100" w:afterAutospacing="1"/>
      </w:pPr>
      <w:r w:rsidRPr="003A1EFE">
        <w:t xml:space="preserve">Temperature loggers were deployed at each coral </w:t>
      </w:r>
      <w:r w:rsidRPr="002710DB">
        <w:t xml:space="preserve">monitoring reef at both 2m and 5m depths and routinely exchanged at the time of the coral surveys (i.e. every 12 or 24 months). Exceptions were Snapper South, Fitzroy East, High East, Franklands East, Dunk South, and Palms East where loggers were not deployed due to the proximity of those deployed on the western or northern aspects of these same islands. </w:t>
      </w:r>
      <w:r w:rsidRPr="002710DB">
        <w:rPr>
          <w:szCs w:val="22"/>
        </w:rPr>
        <w:t xml:space="preserve">Initially </w:t>
      </w:r>
      <w:r w:rsidRPr="002710DB">
        <w:t>Odyssey temperature loggers (</w:t>
      </w:r>
      <w:hyperlink r:id="rId37" w:tooltip="Odyssey temperature loggers " w:history="1">
        <w:r w:rsidRPr="002710DB">
          <w:rPr>
            <w:rStyle w:val="Hyperlink"/>
            <w:color w:val="auto"/>
            <w:szCs w:val="22"/>
          </w:rPr>
          <w:t>http://www.odysseydatarecording.com/</w:t>
        </w:r>
      </w:hyperlink>
      <w:r w:rsidRPr="002710DB">
        <w:rPr>
          <w:szCs w:val="22"/>
        </w:rPr>
        <w:t xml:space="preserve">) were used prior to gradual change over to </w:t>
      </w:r>
      <w:r w:rsidRPr="002710DB">
        <w:t>Sensus Ultra temperature loggers (</w:t>
      </w:r>
      <w:hyperlink r:id="rId38" w:tooltip="Sensus Ultra temperature loggers" w:history="1">
        <w:r w:rsidRPr="002710DB">
          <w:rPr>
            <w:rStyle w:val="Hyperlink"/>
            <w:color w:val="auto"/>
            <w:szCs w:val="22"/>
          </w:rPr>
          <w:t>http://reefnet.ca/products/sensus/</w:t>
        </w:r>
      </w:hyperlink>
      <w:r w:rsidRPr="002710DB">
        <w:t xml:space="preserve">). The Odyssey loggers were set to take readings every 30 minutes. The Sensus loggers were set to take readings every 10 minutes. </w:t>
      </w:r>
      <w:r w:rsidRPr="002710DB">
        <w:lastRenderedPageBreak/>
        <w:t>Loggers were calibrated against a certified reference thermometer after each deployment and were generally accurate to ± 0.2°C.</w:t>
      </w:r>
    </w:p>
    <w:p w14:paraId="03FC2723" w14:textId="77777777" w:rsidR="00FE4FD7" w:rsidRPr="002710DB" w:rsidRDefault="00525065" w:rsidP="009139A2">
      <w:pPr>
        <w:pStyle w:val="Heading3"/>
      </w:pPr>
      <w:r>
        <w:t>4.3</w:t>
      </w:r>
      <w:r w:rsidR="00FE4FD7" w:rsidRPr="002710DB">
        <w:t>.</w:t>
      </w:r>
      <w:r w:rsidR="004D2B29">
        <w:t>3</w:t>
      </w:r>
      <w:r w:rsidR="00FE4FD7" w:rsidRPr="002710DB">
        <w:t xml:space="preserve"> Sediment sampling</w:t>
      </w:r>
    </w:p>
    <w:p w14:paraId="7B76286D" w14:textId="77777777" w:rsidR="00FE4FD7" w:rsidRDefault="00FE4FD7" w:rsidP="00FE4FD7">
      <w:r>
        <w:t>Until 2014 s</w:t>
      </w:r>
      <w:r w:rsidRPr="002710DB">
        <w:t>ediment samples were c</w:t>
      </w:r>
      <w:r>
        <w:t>ollected from all reefs</w:t>
      </w:r>
      <w:r w:rsidR="00525065">
        <w:t xml:space="preserve"> at the time of coral surveys</w:t>
      </w:r>
      <w:r>
        <w:t xml:space="preserve"> </w:t>
      </w:r>
      <w:r w:rsidRPr="002710DB">
        <w:t xml:space="preserve">for analysis of grain size and proportion </w:t>
      </w:r>
      <w:r>
        <w:t xml:space="preserve">content </w:t>
      </w:r>
      <w:r w:rsidRPr="002710DB">
        <w:t xml:space="preserve">of inorganic carbon, organic carbon and nitrogen. </w:t>
      </w:r>
      <w:r>
        <w:t xml:space="preserve">At each 5m deep site five </w:t>
      </w:r>
      <w:r w:rsidRPr="002710DB">
        <w:t>60ml syringe tubes were used to collect cores of surface sediment from available deposits</w:t>
      </w:r>
      <w:r w:rsidRPr="002710DB" w:rsidDel="00B75830">
        <w:t xml:space="preserve"> </w:t>
      </w:r>
      <w:r w:rsidRPr="002710DB">
        <w:t xml:space="preserve">along the 120m length of the site. </w:t>
      </w:r>
      <w:r>
        <w:t xml:space="preserve">The end of the syringe tube was cut away to produce a uniform cylinder. Sediment was collected by pushing the tube into the sediment being careful not to suck sediment and pore-water into the tube with the plunger. A rubber stopper was then inserted to trap the sediment plug. </w:t>
      </w:r>
      <w:r w:rsidRPr="002710DB">
        <w:t xml:space="preserve">On the boat, the excess sediment was removed to leave 10mm in each syringe, which represented the top centimetre of surface sediment. This sediment </w:t>
      </w:r>
      <w:r>
        <w:t xml:space="preserve">from each of the five tubes was combined in a single sample jar. </w:t>
      </w:r>
      <w:r w:rsidRPr="002710DB">
        <w:t>The sample jars were stored in an ice box with ice packs to minimise bacterial decomposition and volatilisation of the organic compounds until transferred to a freezer on the night of collection and kept frozen until analysis.</w:t>
      </w:r>
    </w:p>
    <w:p w14:paraId="7EF9DF12" w14:textId="77777777" w:rsidR="00FE4FD7" w:rsidRPr="002710DB" w:rsidRDefault="00FE4FD7" w:rsidP="00FE4FD7">
      <w:r>
        <w:t xml:space="preserve">For the purpose of this report only the grainsize of sediments are of consequence as these form a proxy for the hydrodynamic setting of the coral sites </w:t>
      </w:r>
      <w:r w:rsidRPr="00FC48F0">
        <w:rPr>
          <w:color w:val="000000" w:themeColor="text1"/>
        </w:rPr>
        <w:t>(</w:t>
      </w:r>
      <w:r w:rsidR="00CA29DC">
        <w:rPr>
          <w:color w:val="000000" w:themeColor="text1"/>
        </w:rPr>
        <w:fldChar w:fldCharType="begin"/>
      </w:r>
      <w:r w:rsidR="00CA29DC">
        <w:rPr>
          <w:color w:val="000000" w:themeColor="text1"/>
        </w:rPr>
        <w:instrText xml:space="preserve"> REF _Ref460423145 \h </w:instrText>
      </w:r>
      <w:r w:rsidR="00CA29DC">
        <w:rPr>
          <w:color w:val="000000" w:themeColor="text1"/>
        </w:rPr>
      </w:r>
      <w:r w:rsidR="00CA29DC">
        <w:rPr>
          <w:color w:val="000000" w:themeColor="text1"/>
        </w:rPr>
        <w:fldChar w:fldCharType="separate"/>
      </w:r>
      <w:r w:rsidR="00B61881">
        <w:t xml:space="preserve">Table </w:t>
      </w:r>
      <w:proofErr w:type="gramStart"/>
      <w:r w:rsidR="00B61881">
        <w:t>A</w:t>
      </w:r>
      <w:proofErr w:type="gramEnd"/>
      <w:r w:rsidR="00B61881">
        <w:t xml:space="preserve"> </w:t>
      </w:r>
      <w:r w:rsidR="00B61881">
        <w:rPr>
          <w:noProof/>
        </w:rPr>
        <w:t>4</w:t>
      </w:r>
      <w:r w:rsidR="00CA29DC">
        <w:rPr>
          <w:color w:val="000000" w:themeColor="text1"/>
        </w:rPr>
        <w:fldChar w:fldCharType="end"/>
      </w:r>
      <w:r w:rsidRPr="00FC48F0">
        <w:rPr>
          <w:color w:val="000000" w:themeColor="text1"/>
        </w:rPr>
        <w:t xml:space="preserve">). </w:t>
      </w:r>
      <w:r>
        <w:t xml:space="preserve">A full description of nutrient analysis and tends in sediment compositions can be found in Thompson </w:t>
      </w:r>
      <w:r w:rsidRPr="004C6289">
        <w:rPr>
          <w:i/>
        </w:rPr>
        <w:t>et al.</w:t>
      </w:r>
      <w:r w:rsidRPr="004C6289">
        <w:t xml:space="preserve"> </w:t>
      </w:r>
      <w:r>
        <w:t>2014b.</w:t>
      </w:r>
    </w:p>
    <w:p w14:paraId="52EFB0F2" w14:textId="77777777" w:rsidR="00FE4FD7" w:rsidRDefault="00FE4FD7" w:rsidP="00FE4FD7">
      <w:r w:rsidRPr="002710DB">
        <w:t>Grain size fractions were estimated by sieving two size fractions (1.0 -1.4mm, &gt;2.0mm) from each sample followed by MALVERN laser analysis of smaller fractions (&lt;1.0mm). Sieving and laser analysis was carried out by the School of Earth Sciences, James Cook University for samples collected in 2005-2009 and subsequently by Geoscience Austra</w:t>
      </w:r>
      <w:r>
        <w:t>lia. The mean proportion of sediments constituting grain-sizes of less than 63</w:t>
      </w:r>
      <w:r>
        <w:rPr>
          <w:rFonts w:cs="Arial"/>
        </w:rPr>
        <w:t>µ</w:t>
      </w:r>
      <w:r>
        <w:t>m (clay and silt) from all samples collected between 2006 and 2014 for the “clay and silt” covariate used in coral community analysis. For LTMP sites the clay and silt content of sediments was estimated by interpolating between MMP reefs with similar exposure to the SE as the predominant direction of wave energy in the GBR. Estimated sediment composition was verified by visually checking images including sediment from photo transects against images from MMP reefs with similar exposure.</w:t>
      </w:r>
    </w:p>
    <w:p w14:paraId="5064140C" w14:textId="77777777" w:rsidR="00FE4FD7" w:rsidRDefault="00FE4FD7" w:rsidP="00FE4FD7">
      <w:pPr>
        <w:rPr>
          <w:rFonts w:eastAsiaTheme="majorEastAsia" w:cstheme="majorBidi"/>
          <w:b/>
          <w:bCs/>
          <w:sz w:val="26"/>
          <w:szCs w:val="26"/>
        </w:rPr>
      </w:pPr>
      <w:r>
        <w:rPr>
          <w:rFonts w:eastAsiaTheme="majorEastAsia" w:cstheme="majorBidi"/>
          <w:b/>
          <w:bCs/>
          <w:sz w:val="26"/>
          <w:szCs w:val="26"/>
        </w:rPr>
        <w:br w:type="page"/>
      </w:r>
    </w:p>
    <w:p w14:paraId="2A61EBEC" w14:textId="77777777" w:rsidR="00944204" w:rsidRPr="002710DB" w:rsidRDefault="00B815F5" w:rsidP="00FA06C2">
      <w:pPr>
        <w:pStyle w:val="Heading2"/>
      </w:pPr>
      <w:bookmarkStart w:id="86" w:name="_Toc460490658"/>
      <w:r>
        <w:lastRenderedPageBreak/>
        <w:t>4.</w:t>
      </w:r>
      <w:r w:rsidR="001252BF">
        <w:t>4</w:t>
      </w:r>
      <w:r w:rsidR="00944204" w:rsidRPr="002710DB">
        <w:t xml:space="preserve"> Coral reef data analysis and presentation</w:t>
      </w:r>
      <w:bookmarkEnd w:id="86"/>
    </w:p>
    <w:p w14:paraId="09A4953A" w14:textId="77777777" w:rsidR="00944204" w:rsidRPr="002710DB" w:rsidRDefault="00944204" w:rsidP="00944204">
      <w:r>
        <w:t>Previous</w:t>
      </w:r>
      <w:r w:rsidRPr="002710DB">
        <w:t xml:space="preserve"> MMP reports presented comprehensive statistical analyses of spatial patterns in the inshore coral reef data and identified both regional differences in community attributes as well as the relationships between both univariate and multivariate community attributes and key environmental parameters such as water column particulates and sediment quality (Schaffelke </w:t>
      </w:r>
      <w:r w:rsidRPr="002819E0">
        <w:rPr>
          <w:i/>
        </w:rPr>
        <w:t>et al</w:t>
      </w:r>
      <w:r w:rsidRPr="002710DB">
        <w:rPr>
          <w:i/>
        </w:rPr>
        <w:t>.</w:t>
      </w:r>
      <w:r w:rsidRPr="002710DB">
        <w:t xml:space="preserve"> 2008, Thompson </w:t>
      </w:r>
      <w:r w:rsidRPr="002819E0">
        <w:rPr>
          <w:i/>
        </w:rPr>
        <w:t>et al</w:t>
      </w:r>
      <w:r w:rsidRPr="002710DB">
        <w:rPr>
          <w:i/>
        </w:rPr>
        <w:t>.</w:t>
      </w:r>
      <w:r w:rsidRPr="002710DB">
        <w:t xml:space="preserve"> 2010</w:t>
      </w:r>
      <w:r>
        <w:t>a</w:t>
      </w:r>
      <w:r w:rsidRPr="002710DB">
        <w:t xml:space="preserve">). Statistical analysis of spatial relationships between coral communities and their environmental setting are not repeated here. </w:t>
      </w:r>
    </w:p>
    <w:p w14:paraId="09FD9968" w14:textId="77777777" w:rsidR="00944204" w:rsidRPr="002710DB" w:rsidRDefault="00944204" w:rsidP="00944204">
      <w:pPr>
        <w:rPr>
          <w:rFonts w:eastAsia="MS Mincho"/>
        </w:rPr>
      </w:pPr>
      <w:r w:rsidRPr="002710DB">
        <w:t xml:space="preserve">In this report results are presented to reveal temporal changes in coral community </w:t>
      </w:r>
      <w:r w:rsidR="00B815F5">
        <w:t xml:space="preserve">indicators, metrics and the coral index, as well as trends in </w:t>
      </w:r>
      <w:r w:rsidRPr="002710DB">
        <w:t xml:space="preserve">key </w:t>
      </w:r>
      <w:r w:rsidR="00646DCA">
        <w:t>water qua</w:t>
      </w:r>
      <w:r w:rsidR="004304DE">
        <w:t>lity parameters of chlorophyll;</w:t>
      </w:r>
      <w:r w:rsidR="00646DCA">
        <w:t xml:space="preserve"> as a general proxy for nutrient availability, and turbidity. These two water quality parameters were chosen as they are data rich as a result of being monitored by in-situ data loggers compared </w:t>
      </w:r>
      <w:r w:rsidR="009B773D">
        <w:t xml:space="preserve">to the </w:t>
      </w:r>
      <w:r w:rsidR="00646DCA">
        <w:t xml:space="preserve">parameters measured by Niskin bottle sampling. We do however include a range of additional water quality </w:t>
      </w:r>
      <w:r w:rsidR="00A024A1">
        <w:t>parameters</w:t>
      </w:r>
      <w:r w:rsidR="00646DCA">
        <w:t xml:space="preserve"> in the Appendix and point the reader to </w:t>
      </w:r>
      <w:r w:rsidR="00646DCA" w:rsidRPr="00406BD7">
        <w:rPr>
          <w:rFonts w:cs="Arial"/>
          <w:lang w:val="en-US"/>
        </w:rPr>
        <w:t>Lønborg</w:t>
      </w:r>
      <w:r w:rsidR="00646DCA" w:rsidRPr="00406BD7">
        <w:rPr>
          <w:lang w:val="en-US"/>
        </w:rPr>
        <w:t xml:space="preserve"> </w:t>
      </w:r>
      <w:r w:rsidR="00646DCA" w:rsidRPr="00406BD7">
        <w:rPr>
          <w:i/>
        </w:rPr>
        <w:t>et al.</w:t>
      </w:r>
      <w:r w:rsidR="00646DCA">
        <w:t xml:space="preserve"> (2015) for detailed reporting of these data</w:t>
      </w:r>
      <w:r w:rsidRPr="002710DB">
        <w:t>. Generalized additive mixed models (</w:t>
      </w:r>
      <w:r w:rsidRPr="002710DB">
        <w:rPr>
          <w:bCs/>
        </w:rPr>
        <w:t>GAMM</w:t>
      </w:r>
      <w:r>
        <w:rPr>
          <w:bCs/>
        </w:rPr>
        <w:t>s,</w:t>
      </w:r>
      <w:r w:rsidRPr="008244BC">
        <w:t xml:space="preserve"> </w:t>
      </w:r>
      <w:r w:rsidRPr="00857875">
        <w:t>Wood 2006</w:t>
      </w:r>
      <w:r w:rsidRPr="002710DB">
        <w:t xml:space="preserve">) were fitted to community attributes and environmental variables separately for each NRM region. </w:t>
      </w:r>
      <w:r w:rsidRPr="002710DB">
        <w:rPr>
          <w:rFonts w:eastAsia="MS Mincho"/>
        </w:rPr>
        <w:t xml:space="preserve">The analyses were carried out using the R statistical package (R_Development_Core_Team 2011). </w:t>
      </w:r>
      <w:r w:rsidRPr="002710DB">
        <w:t xml:space="preserve">In these analyses we were interested in identifying the presence and consistency of trends. To this end, observations for each variable were averaged to the reef level for each year and individual reefs treated as random factors. To allow flexibility in their form, trends are modelled as natural cubic splines. A log link function was used as we were explicitly interested in identifying the consistency of proportional changes in a given variable among reefs, acknowledging that the absolute levels of that variable may differ between reefs. </w:t>
      </w:r>
    </w:p>
    <w:p w14:paraId="60F2DB42" w14:textId="77777777" w:rsidR="009139A2" w:rsidRDefault="00944204" w:rsidP="00B64AEB">
      <w:r w:rsidRPr="002710DB">
        <w:t xml:space="preserve">The results of these analyses are graphically presented in a consistent format for both, environmental variables and biological variables: Predicted trends were plotted as bold blue lines, the confidence intervals of these trends delimited by blue shading; the observed trends at each survey reef were plotted in the background as thin grey lines. A point to note is that in some instances it appears that the predicted trends are slightly offset to the observed changes, which is due to the inclusion in the analysis of </w:t>
      </w:r>
      <w:r w:rsidR="000E6D75">
        <w:t xml:space="preserve">reefs sampled at </w:t>
      </w:r>
      <w:r w:rsidRPr="002710DB">
        <w:t xml:space="preserve">both </w:t>
      </w:r>
      <w:r w:rsidR="006B6D8C">
        <w:t>annual and biennial</w:t>
      </w:r>
      <w:r w:rsidR="000E6D75">
        <w:t xml:space="preserve"> frequencies</w:t>
      </w:r>
      <w:r w:rsidRPr="002710DB">
        <w:t xml:space="preserve"> Changes occurring on </w:t>
      </w:r>
      <w:r w:rsidR="000E6D75">
        <w:t xml:space="preserve">a reef sampled </w:t>
      </w:r>
      <w:r w:rsidR="00457EB1">
        <w:t>biennially</w:t>
      </w:r>
      <w:r w:rsidR="000E6D75">
        <w:t xml:space="preserve"> will </w:t>
      </w:r>
      <w:r w:rsidRPr="002710DB">
        <w:t>be perceived as having occurred in the survey year</w:t>
      </w:r>
      <w:r w:rsidR="000E6D75">
        <w:t xml:space="preserve"> when they may have occurred in the previous (un</w:t>
      </w:r>
      <w:r w:rsidR="009B773D">
        <w:t>-</w:t>
      </w:r>
      <w:r w:rsidR="000E6D75">
        <w:t>sampled) year</w:t>
      </w:r>
      <w:r w:rsidRPr="002710DB">
        <w:t>.</w:t>
      </w:r>
      <w:r w:rsidR="000E6D75">
        <w:t xml:space="preserve"> </w:t>
      </w:r>
      <w:r w:rsidR="000E6D75">
        <w:rPr>
          <w:lang w:val="en-US"/>
        </w:rPr>
        <w:t xml:space="preserve">Results presented for chlorophyll </w:t>
      </w:r>
      <w:r w:rsidR="000E6D75">
        <w:rPr>
          <w:i/>
          <w:lang w:val="en-US"/>
        </w:rPr>
        <w:t xml:space="preserve">a </w:t>
      </w:r>
      <w:r w:rsidR="000E6D75">
        <w:rPr>
          <w:lang w:val="en-US"/>
        </w:rPr>
        <w:t xml:space="preserve">use data derived from both FLNTU loggers and niskin grab samples. NTU is derived solely from logger data. The data are </w:t>
      </w:r>
      <w:r w:rsidR="000E6D75">
        <w:rPr>
          <w:lang w:val="en-AU"/>
        </w:rPr>
        <w:t>analysed</w:t>
      </w:r>
      <w:r w:rsidR="000E6D75">
        <w:rPr>
          <w:lang w:val="en-US"/>
        </w:rPr>
        <w:t xml:space="preserve"> to generate trend </w:t>
      </w:r>
      <w:r w:rsidR="000E6D75">
        <w:t>predictions from thin-plate splines fitted via Generalised Additive Mixed Models (GAMM's). These models also incorporated seasonal cyclical cubic splines with sample location set as the random effect.</w:t>
      </w:r>
      <w:r w:rsidR="000E6D75">
        <w:br/>
      </w:r>
    </w:p>
    <w:p w14:paraId="5FD260D2" w14:textId="77777777" w:rsidR="007601C0" w:rsidRPr="008D19E0" w:rsidRDefault="00B64AEB" w:rsidP="00B64AEB">
      <w:pPr>
        <w:rPr>
          <w:rFonts w:cs="Arial"/>
        </w:rPr>
      </w:pPr>
      <w:r>
        <w:t xml:space="preserve">Multimetric indices are used to summarise both the water quality and coral community data. The </w:t>
      </w:r>
      <w:r w:rsidR="006305E9">
        <w:rPr>
          <w:lang w:val="en-US"/>
        </w:rPr>
        <w:t>water quality index is based on comparisons with existing water quality guidelines (DERM 2009,</w:t>
      </w:r>
      <w:r w:rsidR="0001199E">
        <w:rPr>
          <w:lang w:val="en-US"/>
        </w:rPr>
        <w:t xml:space="preserve"> </w:t>
      </w:r>
      <w:r w:rsidR="006305E9">
        <w:rPr>
          <w:lang w:val="en-US"/>
        </w:rPr>
        <w:t xml:space="preserve">GBRMPA 2010), </w:t>
      </w:r>
      <w:r w:rsidR="006305E9">
        <w:t>to generate</w:t>
      </w:r>
      <w:r w:rsidR="006305E9">
        <w:rPr>
          <w:lang w:val="en-US"/>
        </w:rPr>
        <w:t xml:space="preserve"> an overall assessment of water quality for each of the 6 (sub)</w:t>
      </w:r>
      <w:r w:rsidR="009A16C8">
        <w:rPr>
          <w:lang w:val="en-US"/>
        </w:rPr>
        <w:t>-</w:t>
      </w:r>
      <w:r w:rsidR="006305E9">
        <w:rPr>
          <w:lang w:val="en-US"/>
        </w:rPr>
        <w:t xml:space="preserve">regions. </w:t>
      </w:r>
      <w:r w:rsidR="007601C0" w:rsidRPr="008D19E0">
        <w:t xml:space="preserve">The Water Quality Index is derived from the aggregated </w:t>
      </w:r>
      <w:r>
        <w:t xml:space="preserve">metric </w:t>
      </w:r>
      <w:r w:rsidR="007601C0" w:rsidRPr="008D19E0">
        <w:t>sc</w:t>
      </w:r>
      <w:r w:rsidR="00A024A1">
        <w:t>ores of a suite of</w:t>
      </w:r>
      <w:r w:rsidR="007601C0" w:rsidRPr="008D19E0">
        <w:t xml:space="preserve"> indicators:</w:t>
      </w:r>
    </w:p>
    <w:p w14:paraId="24D93D12" w14:textId="77777777" w:rsidR="007601C0" w:rsidRPr="008D19E0" w:rsidRDefault="007601C0" w:rsidP="007601C0">
      <w:pPr>
        <w:pStyle w:val="ListParagraph"/>
        <w:numPr>
          <w:ilvl w:val="1"/>
          <w:numId w:val="16"/>
        </w:numPr>
        <w:ind w:left="568" w:hanging="284"/>
        <w:rPr>
          <w:rFonts w:cs="Arial"/>
        </w:rPr>
      </w:pPr>
      <w:r w:rsidRPr="008D19E0">
        <w:t xml:space="preserve">Suspended </w:t>
      </w:r>
      <w:r w:rsidRPr="008D19E0">
        <w:rPr>
          <w:rFonts w:cs="Arial"/>
        </w:rPr>
        <w:t xml:space="preserve">solids concentration (TSS) in water samples, Secchi depth, and turbidity measurements </w:t>
      </w:r>
      <w:r>
        <w:rPr>
          <w:rFonts w:cs="Arial"/>
        </w:rPr>
        <w:t xml:space="preserve">(NTU) </w:t>
      </w:r>
      <w:r w:rsidRPr="008D19E0">
        <w:rPr>
          <w:rFonts w:cs="Arial"/>
        </w:rPr>
        <w:t xml:space="preserve">by FLNTUSB instruments, where available. These are </w:t>
      </w:r>
      <w:r>
        <w:rPr>
          <w:rFonts w:cs="Arial"/>
        </w:rPr>
        <w:t xml:space="preserve">three indicators are often </w:t>
      </w:r>
      <w:r w:rsidRPr="008D19E0">
        <w:rPr>
          <w:rFonts w:cs="Arial"/>
        </w:rPr>
        <w:t>collectively referred to a</w:t>
      </w:r>
      <w:r>
        <w:rPr>
          <w:rFonts w:cs="Arial"/>
        </w:rPr>
        <w:t>s</w:t>
      </w:r>
      <w:r w:rsidRPr="008D19E0">
        <w:rPr>
          <w:rFonts w:cs="Arial"/>
        </w:rPr>
        <w:t xml:space="preserve"> turbidity</w:t>
      </w:r>
      <w:r>
        <w:rPr>
          <w:rFonts w:cs="Arial"/>
        </w:rPr>
        <w:t>;</w:t>
      </w:r>
    </w:p>
    <w:p w14:paraId="3D089AC7" w14:textId="77777777" w:rsidR="007601C0" w:rsidRPr="008D19E0" w:rsidRDefault="007601C0" w:rsidP="007601C0">
      <w:pPr>
        <w:pStyle w:val="ListParagraph"/>
        <w:numPr>
          <w:ilvl w:val="1"/>
          <w:numId w:val="16"/>
        </w:numPr>
        <w:ind w:left="568" w:hanging="284"/>
        <w:rPr>
          <w:rFonts w:cs="Arial"/>
        </w:rPr>
      </w:pPr>
      <w:r w:rsidRPr="008D19E0">
        <w:rPr>
          <w:rFonts w:cs="Arial"/>
        </w:rPr>
        <w:t xml:space="preserve">Chlorophyll </w:t>
      </w:r>
      <w:r w:rsidRPr="008D19E0">
        <w:rPr>
          <w:rFonts w:cs="Arial"/>
          <w:i/>
        </w:rPr>
        <w:t>a</w:t>
      </w:r>
      <w:r w:rsidRPr="008D19E0">
        <w:rPr>
          <w:rFonts w:cs="Arial"/>
        </w:rPr>
        <w:t xml:space="preserve"> (Chl </w:t>
      </w:r>
      <w:r w:rsidRPr="008D19E0">
        <w:rPr>
          <w:rFonts w:cs="Arial"/>
          <w:i/>
        </w:rPr>
        <w:t>a</w:t>
      </w:r>
      <w:r w:rsidRPr="008D19E0">
        <w:rPr>
          <w:rFonts w:cs="Arial"/>
        </w:rPr>
        <w:t>) concentration in water samples;</w:t>
      </w:r>
    </w:p>
    <w:p w14:paraId="0E26A9D3" w14:textId="77777777" w:rsidR="007601C0" w:rsidRPr="008D19E0" w:rsidRDefault="007601C0" w:rsidP="007601C0">
      <w:pPr>
        <w:pStyle w:val="ListParagraph"/>
        <w:numPr>
          <w:ilvl w:val="1"/>
          <w:numId w:val="16"/>
        </w:numPr>
        <w:ind w:left="568" w:hanging="284"/>
        <w:rPr>
          <w:rFonts w:cs="Arial"/>
        </w:rPr>
      </w:pPr>
      <w:r w:rsidRPr="008D19E0">
        <w:rPr>
          <w:rFonts w:cs="Arial"/>
        </w:rPr>
        <w:t>Oxidised nitrogen (nitrate, nitrite) referred to here as NOx</w:t>
      </w:r>
      <w:r>
        <w:rPr>
          <w:rFonts w:cs="Arial"/>
        </w:rPr>
        <w:t>;</w:t>
      </w:r>
    </w:p>
    <w:p w14:paraId="7C4DBBD8" w14:textId="77777777" w:rsidR="007601C0" w:rsidRPr="008D19E0" w:rsidRDefault="007601C0" w:rsidP="007601C0">
      <w:pPr>
        <w:pStyle w:val="ListParagraph"/>
        <w:numPr>
          <w:ilvl w:val="1"/>
          <w:numId w:val="16"/>
        </w:numPr>
        <w:ind w:left="568" w:hanging="284"/>
        <w:rPr>
          <w:rFonts w:cs="Arial"/>
        </w:rPr>
      </w:pPr>
      <w:r w:rsidRPr="008D19E0">
        <w:rPr>
          <w:rFonts w:cs="Arial"/>
        </w:rPr>
        <w:t>Particulate nitrogen (PN) concentrations in water samples;</w:t>
      </w:r>
    </w:p>
    <w:p w14:paraId="4D2C5683" w14:textId="77777777" w:rsidR="007601C0" w:rsidRPr="008D19E0" w:rsidRDefault="007601C0" w:rsidP="007601C0">
      <w:pPr>
        <w:pStyle w:val="ListParagraph"/>
        <w:numPr>
          <w:ilvl w:val="1"/>
          <w:numId w:val="16"/>
        </w:numPr>
        <w:ind w:left="568" w:hanging="284"/>
        <w:rPr>
          <w:rFonts w:cs="Arial"/>
        </w:rPr>
      </w:pPr>
      <w:r w:rsidRPr="008D19E0">
        <w:rPr>
          <w:rFonts w:cs="Arial"/>
        </w:rPr>
        <w:t>Particulate phosphorus (PP) concentrations in water samples.</w:t>
      </w:r>
    </w:p>
    <w:p w14:paraId="38FFC1F9" w14:textId="77777777" w:rsidR="00B64AEB" w:rsidRDefault="00B64AEB" w:rsidP="00B202AC">
      <w:r>
        <w:t xml:space="preserve">Detailed description of the methods used to calculate the water quality index along with interpretation of the trends can be found in the companion report </w:t>
      </w:r>
      <w:r w:rsidRPr="00406BD7">
        <w:rPr>
          <w:rFonts w:cs="Arial"/>
          <w:lang w:val="en-US"/>
        </w:rPr>
        <w:t>Lønborg</w:t>
      </w:r>
      <w:r w:rsidRPr="00406BD7">
        <w:rPr>
          <w:lang w:val="en-US"/>
        </w:rPr>
        <w:t xml:space="preserve"> </w:t>
      </w:r>
      <w:r w:rsidRPr="00406BD7">
        <w:rPr>
          <w:i/>
        </w:rPr>
        <w:t>et al.</w:t>
      </w:r>
      <w:r>
        <w:t xml:space="preserve"> (2015). </w:t>
      </w:r>
      <w:r w:rsidR="009A16C8">
        <w:t xml:space="preserve">An important point to note is that within each region the mean Water Quality Index score will reflect the location of sampling sites relative to the strong gradient of improving water quality </w:t>
      </w:r>
      <w:r w:rsidR="00A024A1">
        <w:t xml:space="preserve">with distance </w:t>
      </w:r>
      <w:r w:rsidR="009A16C8">
        <w:t xml:space="preserve">from the coast. As such, it is the trend in this index, or any of the constituent </w:t>
      </w:r>
      <w:r w:rsidR="00A024A1">
        <w:t>parameters that</w:t>
      </w:r>
      <w:r w:rsidR="009A16C8">
        <w:t xml:space="preserve"> is </w:t>
      </w:r>
      <w:r w:rsidR="009A16C8">
        <w:lastRenderedPageBreak/>
        <w:t>most relevant to coral communities as this will reflect increased or decreased exposure th</w:t>
      </w:r>
      <w:r w:rsidR="00162AE6">
        <w:t>r</w:t>
      </w:r>
      <w:r w:rsidR="009A16C8">
        <w:t>ough time.</w:t>
      </w:r>
    </w:p>
    <w:p w14:paraId="46C133E4" w14:textId="77777777" w:rsidR="008C2B87" w:rsidRDefault="006305E9" w:rsidP="00B202AC">
      <w:pPr>
        <w:rPr>
          <w:lang w:val="en-US"/>
        </w:rPr>
      </w:pPr>
      <w:r>
        <w:t>The coral index</w:t>
      </w:r>
      <w:r w:rsidR="00B64AEB">
        <w:t xml:space="preserve"> </w:t>
      </w:r>
      <w:r w:rsidR="00FE4691">
        <w:t xml:space="preserve">is </w:t>
      </w:r>
      <w:r w:rsidR="00B64AEB">
        <w:t xml:space="preserve">formulated around the concept of community resilience. </w:t>
      </w:r>
      <w:r>
        <w:t xml:space="preserve"> The underlying assumption is that a ‘</w:t>
      </w:r>
      <w:r w:rsidR="00B64AEB">
        <w:t>resilient</w:t>
      </w:r>
      <w:r>
        <w:t xml:space="preserve">’ community should show clear signs of recovery after inevitable acute disturbances, such as cyclones and coral bleaching events, or, in the absence of disturbance, maintain a high cover of corals and successful recruitment </w:t>
      </w:r>
      <w:r w:rsidR="00B64AEB">
        <w:t>processes</w:t>
      </w:r>
      <w:r>
        <w:t xml:space="preserve">. Below is a brief outline of methods used to calculate </w:t>
      </w:r>
      <w:r w:rsidR="007601C0">
        <w:t xml:space="preserve">metric </w:t>
      </w:r>
      <w:r>
        <w:t xml:space="preserve">scores for the </w:t>
      </w:r>
      <w:r w:rsidR="00A77C75">
        <w:t xml:space="preserve">five </w:t>
      </w:r>
      <w:r>
        <w:t xml:space="preserve">indicators </w:t>
      </w:r>
      <w:r w:rsidR="009E3F08">
        <w:t>used to determine</w:t>
      </w:r>
      <w:r>
        <w:t xml:space="preserve"> the coral index. </w:t>
      </w:r>
      <w:r w:rsidR="00B64AEB">
        <w:t>D</w:t>
      </w:r>
      <w:r>
        <w:t>ata for each indicator</w:t>
      </w:r>
      <w:r>
        <w:rPr>
          <w:lang w:val="en-US"/>
        </w:rPr>
        <w:t xml:space="preserve"> are derived from LTMP and MMP point intercept transects and juvenile coral belt transects.</w:t>
      </w:r>
      <w:r>
        <w:t xml:space="preserve"> </w:t>
      </w:r>
      <w:r w:rsidR="007601C0">
        <w:t xml:space="preserve">The coral index was revised for this report and a detailed description </w:t>
      </w:r>
      <w:r>
        <w:t xml:space="preserve">including the reasoning behind threshold selection and </w:t>
      </w:r>
      <w:r w:rsidR="00406BD7">
        <w:t>methods</w:t>
      </w:r>
      <w:r w:rsidR="00406BD7">
        <w:rPr>
          <w:lang w:val="en-US"/>
        </w:rPr>
        <w:t xml:space="preserve"> </w:t>
      </w:r>
      <w:r>
        <w:rPr>
          <w:lang w:val="en-US"/>
        </w:rPr>
        <w:t>used for the calculation of the coral</w:t>
      </w:r>
      <w:r w:rsidR="00C02559">
        <w:rPr>
          <w:lang w:val="en-US"/>
        </w:rPr>
        <w:t xml:space="preserve"> index is presented </w:t>
      </w:r>
      <w:r w:rsidR="007601C0">
        <w:rPr>
          <w:lang w:val="en-US"/>
        </w:rPr>
        <w:t>as section 6</w:t>
      </w:r>
      <w:r w:rsidR="002A32AE">
        <w:rPr>
          <w:lang w:val="en-US"/>
        </w:rPr>
        <w:t>.3</w:t>
      </w:r>
      <w:r w:rsidR="007601C0">
        <w:rPr>
          <w:lang w:val="en-US"/>
        </w:rPr>
        <w:t xml:space="preserve"> of this report.</w:t>
      </w:r>
      <w:r>
        <w:rPr>
          <w:lang w:val="en-US"/>
        </w:rPr>
        <w:t xml:space="preserve"> </w:t>
      </w:r>
    </w:p>
    <w:p w14:paraId="7CF081C6" w14:textId="77777777" w:rsidR="006305E9" w:rsidRDefault="00F352CD" w:rsidP="009139A2">
      <w:pPr>
        <w:pStyle w:val="Heading3"/>
        <w:rPr>
          <w:lang w:val="en-US"/>
        </w:rPr>
      </w:pPr>
      <w:r>
        <w:rPr>
          <w:lang w:val="en-US"/>
        </w:rPr>
        <w:t>4</w:t>
      </w:r>
      <w:r w:rsidR="006305E9">
        <w:rPr>
          <w:lang w:val="en-US"/>
        </w:rPr>
        <w:t>.</w:t>
      </w:r>
      <w:r w:rsidR="001252BF">
        <w:rPr>
          <w:lang w:val="en-US"/>
        </w:rPr>
        <w:t>4</w:t>
      </w:r>
      <w:r w:rsidR="006305E9">
        <w:rPr>
          <w:lang w:val="en-US"/>
        </w:rPr>
        <w:t>.1 Coral cover</w:t>
      </w:r>
      <w:r w:rsidR="00B64AEB">
        <w:rPr>
          <w:lang w:val="en-US"/>
        </w:rPr>
        <w:t xml:space="preserve"> metric</w:t>
      </w:r>
    </w:p>
    <w:p w14:paraId="31AF81DD" w14:textId="77777777" w:rsidR="006305E9" w:rsidRDefault="009E6E09" w:rsidP="00406BD7">
      <w:r>
        <w:rPr>
          <w:lang w:val="en-US"/>
        </w:rPr>
        <w:t xml:space="preserve">High coral cover is a highly desirable state for coral reefs both in providing essential ecological goods and services related to habitat complexity by also from a purely aesthetic perspective with clear socio economic advantages. In terms of reef resilience although low cover may be expected following severe disturbance events, high cover implies a degree of resilience to any chronic pressures influencing the reef. </w:t>
      </w:r>
      <w:r w:rsidR="000355B6">
        <w:rPr>
          <w:lang w:val="en-US"/>
        </w:rPr>
        <w:t xml:space="preserve">This metric simply scores reefs based on the level of coral cover. </w:t>
      </w:r>
      <w:r w:rsidR="006305E9">
        <w:rPr>
          <w:lang w:val="en-US"/>
        </w:rPr>
        <w:t xml:space="preserve">For each reef the proportional cover </w:t>
      </w:r>
      <w:r w:rsidR="006305E9">
        <w:t>of all genera of hard (order Scleractinia) and soft (subclass Octocorallia) corals are combined into two groups, “HC” and “SC” respectively. The coral cover indicator is then calculated as;</w:t>
      </w:r>
    </w:p>
    <w:p w14:paraId="3515DBB8" w14:textId="77777777" w:rsidR="00FE4691" w:rsidRDefault="00A966BF" w:rsidP="00FE4691">
      <w:pPr>
        <w:jc w:val="center"/>
        <w:rPr>
          <w:rFonts w:eastAsiaTheme="minorEastAsia"/>
          <w:szCs w:val="22"/>
        </w:rPr>
      </w:pPr>
      <m:oMath>
        <m:sSub>
          <m:sSubPr>
            <m:ctrlPr>
              <w:rPr>
                <w:rFonts w:ascii="Cambria Math" w:eastAsiaTheme="minorEastAsia" w:hAnsi="Cambria Math"/>
                <w:i/>
                <w:szCs w:val="22"/>
              </w:rPr>
            </m:ctrlPr>
          </m:sSubPr>
          <m:e>
            <m:r>
              <w:rPr>
                <w:rFonts w:ascii="Cambria Math" w:eastAsiaTheme="minorEastAsia" w:hAnsi="Cambria Math"/>
              </w:rPr>
              <m:t>Coral cover</m:t>
            </m:r>
          </m:e>
          <m:sub>
            <m:r>
              <w:rPr>
                <w:rFonts w:ascii="Cambria Math" w:eastAsiaTheme="minorEastAsia" w:hAnsi="Cambria Math"/>
              </w:rPr>
              <m:t>ij</m:t>
            </m:r>
          </m:sub>
        </m:sSub>
      </m:oMath>
      <w:r w:rsidR="006305E9">
        <w:rPr>
          <w:rFonts w:eastAsiaTheme="minorEastAsia"/>
        </w:rPr>
        <w:t xml:space="preserve"> = </w:t>
      </w:r>
      <m:oMath>
        <m:sSub>
          <m:sSubPr>
            <m:ctrlPr>
              <w:rPr>
                <w:rFonts w:ascii="Cambria Math" w:hAnsi="Cambria Math"/>
                <w:i/>
                <w:szCs w:val="22"/>
              </w:rPr>
            </m:ctrlPr>
          </m:sSubPr>
          <m:e>
            <m:r>
              <w:rPr>
                <w:rFonts w:ascii="Cambria Math" w:hAnsi="Cambria Math"/>
              </w:rPr>
              <m:t>HC</m:t>
            </m:r>
          </m:e>
          <m:sub>
            <m:r>
              <w:rPr>
                <w:rFonts w:ascii="Cambria Math" w:hAnsi="Cambria Math"/>
              </w:rPr>
              <m:t>ij</m:t>
            </m:r>
          </m:sub>
        </m:sSub>
      </m:oMath>
      <w:r w:rsidR="006305E9">
        <w:rPr>
          <w:rFonts w:eastAsiaTheme="minorEastAsia"/>
        </w:rPr>
        <w:t xml:space="preserve"> + </w:t>
      </w:r>
      <m:oMath>
        <m:sSub>
          <m:sSubPr>
            <m:ctrlPr>
              <w:rPr>
                <w:rFonts w:ascii="Cambria Math" w:hAnsi="Cambria Math"/>
                <w:i/>
                <w:szCs w:val="22"/>
              </w:rPr>
            </m:ctrlPr>
          </m:sSubPr>
          <m:e>
            <m:r>
              <w:rPr>
                <w:rFonts w:ascii="Cambria Math" w:hAnsi="Cambria Math"/>
              </w:rPr>
              <m:t>SC</m:t>
            </m:r>
          </m:e>
          <m:sub>
            <m:r>
              <w:rPr>
                <w:rFonts w:ascii="Cambria Math" w:hAnsi="Cambria Math"/>
              </w:rPr>
              <m:t>ij</m:t>
            </m:r>
          </m:sub>
        </m:sSub>
      </m:oMath>
      <w:r w:rsidR="006305E9">
        <w:rPr>
          <w:rFonts w:eastAsiaTheme="minorEastAsia"/>
          <w:szCs w:val="22"/>
        </w:rPr>
        <w:t xml:space="preserve"> </w:t>
      </w:r>
    </w:p>
    <w:p w14:paraId="229AF2EB" w14:textId="77777777" w:rsidR="00EA753F" w:rsidRPr="00EA753F" w:rsidRDefault="00FE4691" w:rsidP="00FE4691">
      <w:pPr>
        <w:jc w:val="left"/>
      </w:pPr>
      <w:r>
        <w:rPr>
          <w:rFonts w:eastAsiaTheme="minorEastAsia"/>
          <w:szCs w:val="22"/>
        </w:rPr>
        <w:t>Where</w:t>
      </w:r>
      <w:r w:rsidR="006305E9">
        <w:rPr>
          <w:rFonts w:eastAsiaTheme="minorEastAsia"/>
          <w:szCs w:val="22"/>
        </w:rPr>
        <w:t xml:space="preserve"> </w:t>
      </w:r>
      <m:oMath>
        <m:r>
          <w:rPr>
            <w:rFonts w:ascii="Cambria Math" w:hAnsi="Cambria Math"/>
          </w:rPr>
          <m:t>i</m:t>
        </m:r>
      </m:oMath>
      <w:r w:rsidR="006305E9">
        <w:rPr>
          <w:rFonts w:eastAsiaTheme="minorEastAsia"/>
        </w:rPr>
        <w:t xml:space="preserve"> </w:t>
      </w:r>
      <w:r w:rsidR="006305E9">
        <w:t xml:space="preserve">= reef and </w:t>
      </w:r>
      <m:oMath>
        <m:r>
          <w:rPr>
            <w:rFonts w:ascii="Cambria Math" w:hAnsi="Cambria Math"/>
          </w:rPr>
          <m:t>j</m:t>
        </m:r>
      </m:oMath>
      <w:r w:rsidR="006305E9">
        <w:t xml:space="preserve"> = time.</w:t>
      </w:r>
    </w:p>
    <w:p w14:paraId="2D65E961" w14:textId="77777777" w:rsidR="006305E9" w:rsidRDefault="006305E9" w:rsidP="00406BD7">
      <w:r>
        <w:t>The resulting value for coral cover is then scaled linearly from zero (when cover is 0%) through to 1 (when cover is at or above the threshold of 75%).</w:t>
      </w:r>
    </w:p>
    <w:p w14:paraId="39B6F712" w14:textId="77777777" w:rsidR="00EA753F" w:rsidRPr="00EA753F" w:rsidRDefault="00F352CD" w:rsidP="009139A2">
      <w:pPr>
        <w:pStyle w:val="Heading3"/>
      </w:pPr>
      <w:r>
        <w:t>4</w:t>
      </w:r>
      <w:r w:rsidR="00EA753F" w:rsidRPr="00EA753F">
        <w:t>.</w:t>
      </w:r>
      <w:r w:rsidR="001252BF">
        <w:t>4</w:t>
      </w:r>
      <w:r w:rsidR="00EA753F" w:rsidRPr="00EA753F">
        <w:t>.2 Macroalgae cover</w:t>
      </w:r>
      <w:r w:rsidR="00B64AEB">
        <w:t xml:space="preserve"> metric</w:t>
      </w:r>
    </w:p>
    <w:p w14:paraId="3B31364C" w14:textId="77777777" w:rsidR="006305E9" w:rsidRDefault="009E6E09" w:rsidP="00406BD7">
      <w:r>
        <w:t xml:space="preserve">In contrast to coral cover high macroalgal cover </w:t>
      </w:r>
      <w:r w:rsidR="000355B6">
        <w:t>on coral reefs is widely accepted as representing a degraded state.</w:t>
      </w:r>
      <w:r w:rsidR="00132B90" w:rsidRPr="00132B90">
        <w:t xml:space="preserve"> </w:t>
      </w:r>
      <w:r w:rsidR="00132B90" w:rsidRPr="002A5249">
        <w:t xml:space="preserve">As opportunistic colonisers, macroalgae generally out-compete corals, recovering more quickly following physical disturbances. In order to consolidate their presence within the reef habitat, macroalgae have been documented to suppress coral fecundity (Foster </w:t>
      </w:r>
      <w:r w:rsidR="00132B90" w:rsidRPr="002A5249">
        <w:rPr>
          <w:i/>
        </w:rPr>
        <w:t>et al</w:t>
      </w:r>
      <w:r w:rsidR="00132B90" w:rsidRPr="002A5249">
        <w:t xml:space="preserve">. 2008), reduce recruitment of hard corals (Birrell </w:t>
      </w:r>
      <w:r w:rsidR="00132B90" w:rsidRPr="002A5249">
        <w:rPr>
          <w:i/>
        </w:rPr>
        <w:t>et al</w:t>
      </w:r>
      <w:r w:rsidR="00132B90" w:rsidRPr="002A5249">
        <w:t xml:space="preserve">. 2008b, Diaz-Pulido </w:t>
      </w:r>
      <w:r w:rsidR="00132B90" w:rsidRPr="002A5249">
        <w:rPr>
          <w:i/>
        </w:rPr>
        <w:t>et al.</w:t>
      </w:r>
      <w:r w:rsidR="00132B90" w:rsidRPr="002A5249">
        <w:t xml:space="preserve"> 2010)</w:t>
      </w:r>
      <w:r w:rsidR="00132B90">
        <w:t xml:space="preserve"> and</w:t>
      </w:r>
      <w:r w:rsidR="00132B90" w:rsidRPr="002A5249">
        <w:t xml:space="preserve"> diminish the capacity of growth among local coral communities (Fabricius 2005)</w:t>
      </w:r>
      <w:r w:rsidR="00132B90">
        <w:t xml:space="preserve">. </w:t>
      </w:r>
      <w:r w:rsidR="00132B90" w:rsidRPr="002A5249">
        <w:t xml:space="preserve"> </w:t>
      </w:r>
      <w:r w:rsidR="006305E9">
        <w:t>Until and including 2014 the response variable for this indicator was simply the percent cover of macroalgae as recorded from point intercept transects. This was revised in 2015 to be the percent cover of macroalgae as a proportion of the total cover of all algal forms, and is calculated as;</w:t>
      </w:r>
    </w:p>
    <w:p w14:paraId="69FCC365" w14:textId="77777777" w:rsidR="006305E9" w:rsidRDefault="00A966BF" w:rsidP="00FE4691">
      <w:pPr>
        <w:jc w:val="center"/>
        <w:rPr>
          <w:rFonts w:eastAsiaTheme="minorEastAsia"/>
          <w:szCs w:val="22"/>
        </w:rPr>
      </w:pPr>
      <m:oMath>
        <m:sSub>
          <m:sSubPr>
            <m:ctrlPr>
              <w:rPr>
                <w:rFonts w:ascii="Cambria Math" w:eastAsiaTheme="minorEastAsia" w:hAnsi="Cambria Math"/>
                <w:i/>
                <w:szCs w:val="22"/>
              </w:rPr>
            </m:ctrlPr>
          </m:sSubPr>
          <m:e>
            <m:r>
              <w:rPr>
                <w:rFonts w:ascii="Cambria Math" w:eastAsiaTheme="minorEastAsia" w:hAnsi="Cambria Math"/>
              </w:rPr>
              <m:t>MAproportion</m:t>
            </m:r>
          </m:e>
          <m:sub>
            <m:r>
              <w:rPr>
                <w:rFonts w:ascii="Cambria Math" w:eastAsiaTheme="minorEastAsia" w:hAnsi="Cambria Math"/>
              </w:rPr>
              <m:t>ij</m:t>
            </m:r>
          </m:sub>
        </m:sSub>
      </m:oMath>
      <w:r w:rsidR="006305E9">
        <w:rPr>
          <w:rFonts w:eastAsiaTheme="minorEastAsia"/>
        </w:rPr>
        <w:t xml:space="preserve"> = </w:t>
      </w:r>
      <m:oMath>
        <m:sSub>
          <m:sSubPr>
            <m:ctrlPr>
              <w:rPr>
                <w:rFonts w:ascii="Cambria Math" w:hAnsi="Cambria Math"/>
                <w:i/>
                <w:szCs w:val="22"/>
              </w:rPr>
            </m:ctrlPr>
          </m:sSubPr>
          <m:e>
            <m:r>
              <w:rPr>
                <w:rFonts w:ascii="Cambria Math" w:hAnsi="Cambria Math"/>
              </w:rPr>
              <m:t>MA</m:t>
            </m:r>
          </m:e>
          <m:sub>
            <m:r>
              <w:rPr>
                <w:rFonts w:ascii="Cambria Math" w:hAnsi="Cambria Math"/>
              </w:rPr>
              <m:t>ij</m:t>
            </m:r>
          </m:sub>
        </m:sSub>
      </m:oMath>
      <w:r w:rsidR="006305E9">
        <w:rPr>
          <w:rFonts w:eastAsiaTheme="minorEastAsia"/>
        </w:rPr>
        <w:t xml:space="preserve"> / </w:t>
      </w:r>
      <m:oMath>
        <m:sSub>
          <m:sSubPr>
            <m:ctrlPr>
              <w:rPr>
                <w:rFonts w:ascii="Cambria Math" w:hAnsi="Cambria Math"/>
                <w:i/>
                <w:szCs w:val="22"/>
              </w:rPr>
            </m:ctrlPr>
          </m:sSubPr>
          <m:e>
            <m:r>
              <w:rPr>
                <w:rFonts w:ascii="Cambria Math" w:hAnsi="Cambria Math"/>
              </w:rPr>
              <m:t>A</m:t>
            </m:r>
          </m:e>
          <m:sub>
            <m:r>
              <w:rPr>
                <w:rFonts w:ascii="Cambria Math" w:hAnsi="Cambria Math"/>
              </w:rPr>
              <m:t>ij</m:t>
            </m:r>
          </m:sub>
        </m:sSub>
      </m:oMath>
    </w:p>
    <w:p w14:paraId="20E0E5F7" w14:textId="77777777" w:rsidR="006305E9" w:rsidRDefault="009E3F08" w:rsidP="00406BD7">
      <w:r>
        <w:rPr>
          <w:rFonts w:eastAsiaTheme="minorEastAsia"/>
          <w:szCs w:val="22"/>
        </w:rPr>
        <w:t>Where</w:t>
      </w:r>
      <w:r w:rsidR="006305E9">
        <w:rPr>
          <w:rFonts w:eastAsiaTheme="minorEastAsia"/>
          <w:szCs w:val="22"/>
        </w:rPr>
        <w:t xml:space="preserve"> </w:t>
      </w:r>
      <m:oMath>
        <m:r>
          <w:rPr>
            <w:rFonts w:ascii="Cambria Math" w:hAnsi="Cambria Math"/>
          </w:rPr>
          <m:t>A</m:t>
        </m:r>
      </m:oMath>
      <w:r w:rsidR="006305E9">
        <w:t xml:space="preserve">= percent cover of all algae, </w:t>
      </w:r>
      <m:oMath>
        <m:r>
          <w:rPr>
            <w:rFonts w:ascii="Cambria Math" w:hAnsi="Cambria Math"/>
          </w:rPr>
          <m:t>i</m:t>
        </m:r>
      </m:oMath>
      <w:r w:rsidR="006305E9">
        <w:t xml:space="preserve"> = reef, </w:t>
      </w:r>
      <m:oMath>
        <m:r>
          <w:rPr>
            <w:rFonts w:ascii="Cambria Math" w:hAnsi="Cambria Math"/>
          </w:rPr>
          <m:t>j</m:t>
        </m:r>
      </m:oMath>
      <w:r w:rsidR="006305E9">
        <w:t xml:space="preserve"> = time and </w:t>
      </w:r>
      <m:oMath>
        <m:r>
          <w:rPr>
            <w:rFonts w:ascii="Cambria Math" w:hAnsi="Cambria Math"/>
          </w:rPr>
          <m:t>MA</m:t>
        </m:r>
      </m:oMath>
      <w:r w:rsidR="006305E9">
        <w:t xml:space="preserve"> = percent cover of macroalgae.</w:t>
      </w:r>
    </w:p>
    <w:p w14:paraId="6EE2FA43" w14:textId="77777777" w:rsidR="00EA753F" w:rsidRPr="00EA753F" w:rsidRDefault="000355B6" w:rsidP="00406BD7">
      <w:pPr>
        <w:rPr>
          <w:color w:val="000000"/>
        </w:rPr>
      </w:pPr>
      <w:r>
        <w:t xml:space="preserve">The change to consider the proportional representation of macroalgae serves to decouple the coral cover and macroalgae cover metrics. </w:t>
      </w:r>
      <w:r w:rsidR="006305E9">
        <w:t xml:space="preserve">In addition separate upper and lower thresholds were estimated for each reef and </w:t>
      </w:r>
      <w:r w:rsidR="008C2B87">
        <w:t xml:space="preserve">depth, based on the long-term mean chlorophyll concentrations </w:t>
      </w:r>
      <w:r w:rsidR="006305E9">
        <w:t>at each reef (see</w:t>
      </w:r>
      <w:r w:rsidR="008C2B87">
        <w:t xml:space="preserve"> section </w:t>
      </w:r>
      <w:r w:rsidR="008C2B87">
        <w:fldChar w:fldCharType="begin"/>
      </w:r>
      <w:r w:rsidR="008C2B87">
        <w:instrText xml:space="preserve"> REF _Ref437429092 \r \h </w:instrText>
      </w:r>
      <w:r w:rsidR="008C2B87">
        <w:fldChar w:fldCharType="separate"/>
      </w:r>
      <w:r w:rsidR="00B61881">
        <w:t>6</w:t>
      </w:r>
      <w:r w:rsidR="008C2B87">
        <w:fldChar w:fldCharType="end"/>
      </w:r>
      <w:r w:rsidR="008C2B87">
        <w:t xml:space="preserve"> </w:t>
      </w:r>
      <w:r w:rsidR="006305E9">
        <w:t>for detail).</w:t>
      </w:r>
      <w:r>
        <w:t xml:space="preserve"> </w:t>
      </w:r>
      <w:r w:rsidR="006305E9">
        <w:t xml:space="preserve">Scores for this indicator were </w:t>
      </w:r>
      <w:r w:rsidR="006305E9">
        <w:rPr>
          <w:color w:val="000000"/>
        </w:rPr>
        <w:t xml:space="preserve">scaled linearly from 0 when </w:t>
      </w:r>
      <w:r w:rsidR="006305E9">
        <w:rPr>
          <w:i/>
        </w:rPr>
        <w:t>MAproportion</w:t>
      </w:r>
      <w:r w:rsidR="006305E9">
        <w:rPr>
          <w:color w:val="000000"/>
        </w:rPr>
        <w:t xml:space="preserve"> is at or above the upper threshold through to 1 when </w:t>
      </w:r>
      <w:r w:rsidR="006305E9">
        <w:rPr>
          <w:i/>
        </w:rPr>
        <w:t>MAproportion</w:t>
      </w:r>
      <w:r w:rsidR="006305E9">
        <w:rPr>
          <w:color w:val="000000"/>
        </w:rPr>
        <w:t xml:space="preserve"> is at or below the lower threshold.</w:t>
      </w:r>
    </w:p>
    <w:p w14:paraId="14A7CBC3" w14:textId="77777777" w:rsidR="00EA753F" w:rsidRPr="009E3F08" w:rsidRDefault="00F352CD" w:rsidP="009139A2">
      <w:pPr>
        <w:pStyle w:val="Heading3"/>
      </w:pPr>
      <w:r>
        <w:t>4</w:t>
      </w:r>
      <w:r w:rsidR="00EA753F" w:rsidRPr="00EA753F">
        <w:t>.</w:t>
      </w:r>
      <w:r w:rsidR="001252BF">
        <w:t>4</w:t>
      </w:r>
      <w:r w:rsidR="00EA753F" w:rsidRPr="00EA753F">
        <w:t>.3 Density of juvenile hard corals</w:t>
      </w:r>
      <w:r w:rsidR="000355B6">
        <w:t xml:space="preserve"> </w:t>
      </w:r>
      <w:r w:rsidR="00B64AEB">
        <w:t>metric</w:t>
      </w:r>
    </w:p>
    <w:p w14:paraId="0440AF37" w14:textId="77777777" w:rsidR="006305E9" w:rsidRDefault="000355B6" w:rsidP="00406BD7">
      <w:r>
        <w:t>For coral communities to recover rapidly from disturbance events requires adequate recruitment of new corals into the population. This metric score</w:t>
      </w:r>
      <w:r w:rsidR="00F460AB">
        <w:t>s the important recruitment process by targeting corals that have survived the early life stages.</w:t>
      </w:r>
      <w:r>
        <w:t xml:space="preserve"> </w:t>
      </w:r>
      <w:r w:rsidR="006305E9">
        <w:t xml:space="preserve">With the inclusion of LTMP data into the coral index juvenile count data were subset to only include colonies up to 5cm in diameter as this size class </w:t>
      </w:r>
      <w:r w:rsidR="006305E9">
        <w:lastRenderedPageBreak/>
        <w:t>was common to both MMP and LTMP sampling. Counts of juvenile hard corals were converted to density per m</w:t>
      </w:r>
      <w:r w:rsidR="006305E9">
        <w:rPr>
          <w:vertAlign w:val="superscript"/>
        </w:rPr>
        <w:t>2</w:t>
      </w:r>
      <w:r w:rsidR="006305E9">
        <w:t xml:space="preserve"> of space available to settlement as;</w:t>
      </w:r>
    </w:p>
    <w:p w14:paraId="408E8D5F" w14:textId="77777777" w:rsidR="009E3F08" w:rsidRDefault="00A966BF" w:rsidP="00FE4691">
      <w:pPr>
        <w:jc w:val="center"/>
        <w:rPr>
          <w:rFonts w:eastAsiaTheme="minorEastAsia"/>
          <w:szCs w:val="22"/>
        </w:rPr>
      </w:pPr>
      <m:oMath>
        <m:sSub>
          <m:sSubPr>
            <m:ctrlPr>
              <w:rPr>
                <w:rFonts w:ascii="Cambria Math" w:eastAsiaTheme="minorEastAsia" w:hAnsi="Cambria Math"/>
                <w:i/>
                <w:szCs w:val="22"/>
              </w:rPr>
            </m:ctrlPr>
          </m:sSubPr>
          <m:e>
            <m:r>
              <w:rPr>
                <w:rFonts w:ascii="Cambria Math" w:eastAsiaTheme="minorEastAsia" w:hAnsi="Cambria Math"/>
              </w:rPr>
              <m:t>Juvenile density</m:t>
            </m:r>
          </m:e>
          <m:sub>
            <m:r>
              <w:rPr>
                <w:rFonts w:ascii="Cambria Math" w:eastAsiaTheme="minorEastAsia" w:hAnsi="Cambria Math"/>
              </w:rPr>
              <m:t>ij</m:t>
            </m:r>
          </m:sub>
        </m:sSub>
      </m:oMath>
      <w:r w:rsidR="006305E9">
        <w:rPr>
          <w:rFonts w:eastAsiaTheme="minorEastAsia"/>
        </w:rPr>
        <w:t xml:space="preserve"> = </w:t>
      </w:r>
      <m:oMath>
        <m:sSub>
          <m:sSubPr>
            <m:ctrlPr>
              <w:rPr>
                <w:rFonts w:ascii="Cambria Math" w:hAnsi="Cambria Math"/>
                <w:i/>
                <w:szCs w:val="22"/>
              </w:rPr>
            </m:ctrlPr>
          </m:sSubPr>
          <m:e>
            <m:r>
              <w:rPr>
                <w:rFonts w:ascii="Cambria Math" w:hAnsi="Cambria Math"/>
                <w:szCs w:val="22"/>
              </w:rPr>
              <m:t>J</m:t>
            </m:r>
          </m:e>
          <m:sub>
            <m:r>
              <w:rPr>
                <w:rFonts w:ascii="Cambria Math" w:hAnsi="Cambria Math"/>
              </w:rPr>
              <m:t>ij</m:t>
            </m:r>
          </m:sub>
        </m:sSub>
      </m:oMath>
      <w:r w:rsidR="006305E9">
        <w:rPr>
          <w:rFonts w:eastAsiaTheme="minorEastAsia"/>
        </w:rPr>
        <w:t xml:space="preserve"> / </w:t>
      </w:r>
      <m:oMath>
        <m:sSub>
          <m:sSubPr>
            <m:ctrlPr>
              <w:rPr>
                <w:rFonts w:ascii="Cambria Math" w:hAnsi="Cambria Math"/>
                <w:i/>
                <w:szCs w:val="22"/>
              </w:rPr>
            </m:ctrlPr>
          </m:sSubPr>
          <m:e>
            <m:r>
              <w:rPr>
                <w:rFonts w:ascii="Cambria Math" w:hAnsi="Cambria Math"/>
              </w:rPr>
              <m:t>AS</m:t>
            </m:r>
          </m:e>
          <m:sub>
            <m:r>
              <w:rPr>
                <w:rFonts w:ascii="Cambria Math" w:hAnsi="Cambria Math"/>
              </w:rPr>
              <m:t>ij</m:t>
            </m:r>
          </m:sub>
        </m:sSub>
      </m:oMath>
    </w:p>
    <w:p w14:paraId="37D25EC9" w14:textId="77777777" w:rsidR="006305E9" w:rsidRDefault="009E3F08" w:rsidP="00406BD7">
      <w:r>
        <w:rPr>
          <w:rFonts w:eastAsiaTheme="minorEastAsia"/>
          <w:szCs w:val="22"/>
        </w:rPr>
        <w:t>Where</w:t>
      </w:r>
      <w:r w:rsidR="006305E9">
        <w:rPr>
          <w:rFonts w:eastAsiaTheme="minorEastAsia"/>
          <w:szCs w:val="22"/>
        </w:rPr>
        <w:t xml:space="preserve">, </w:t>
      </w:r>
      <m:oMath>
        <m:r>
          <w:rPr>
            <w:rFonts w:ascii="Cambria Math" w:eastAsiaTheme="minorEastAsia" w:hAnsi="Cambria Math"/>
            <w:szCs w:val="22"/>
          </w:rPr>
          <m:t>J</m:t>
        </m:r>
      </m:oMath>
      <w:r w:rsidR="006305E9">
        <w:t xml:space="preserve">= count of juvenile colonies &lt; 5cm in diameter, </w:t>
      </w:r>
      <m:oMath>
        <m:r>
          <w:rPr>
            <w:rFonts w:ascii="Cambria Math" w:hAnsi="Cambria Math"/>
          </w:rPr>
          <m:t>i</m:t>
        </m:r>
      </m:oMath>
      <w:r w:rsidR="006305E9">
        <w:t xml:space="preserve"> = reef, </w:t>
      </w:r>
      <m:oMath>
        <m:r>
          <w:rPr>
            <w:rFonts w:ascii="Cambria Math" w:hAnsi="Cambria Math"/>
          </w:rPr>
          <m:t>j</m:t>
        </m:r>
      </m:oMath>
      <w:r w:rsidR="006305E9">
        <w:t xml:space="preserve"> = time and </w:t>
      </w:r>
      <m:oMath>
        <m:r>
          <w:rPr>
            <w:rFonts w:ascii="Cambria Math" w:hAnsi="Cambria Math"/>
          </w:rPr>
          <m:t>AS</m:t>
        </m:r>
      </m:oMath>
      <w:r w:rsidR="006305E9">
        <w:t xml:space="preserve"> = area of transect occupied by algae.</w:t>
      </w:r>
    </w:p>
    <w:p w14:paraId="1C8B26BA" w14:textId="77777777" w:rsidR="00EA753F" w:rsidRPr="00EA753F" w:rsidRDefault="006305E9" w:rsidP="008C2B87">
      <w:pPr>
        <w:spacing w:after="240"/>
      </w:pPr>
      <w:r>
        <w:t>The resulting density was scaled linearly from 0 at a density of 1 or less through to 0.4 at a density of 4.6 colonies m</w:t>
      </w:r>
      <w:r>
        <w:rPr>
          <w:vertAlign w:val="superscript"/>
        </w:rPr>
        <w:t>-2</w:t>
      </w:r>
      <w:r>
        <w:t xml:space="preserve"> then linearly again (though with a reduced slope) though to a score of 1 when the density was 13 colonies per m</w:t>
      </w:r>
      <w:r>
        <w:rPr>
          <w:vertAlign w:val="superscript"/>
        </w:rPr>
        <w:t>-2</w:t>
      </w:r>
      <w:r>
        <w:t xml:space="preserve"> or above. </w:t>
      </w:r>
    </w:p>
    <w:p w14:paraId="21598204" w14:textId="77777777" w:rsidR="00EA753F" w:rsidRPr="009E3F08" w:rsidRDefault="00F352CD" w:rsidP="009139A2">
      <w:pPr>
        <w:pStyle w:val="Heading3"/>
      </w:pPr>
      <w:r>
        <w:t>4</w:t>
      </w:r>
      <w:r w:rsidR="00EA753F" w:rsidRPr="00EA753F">
        <w:t>.</w:t>
      </w:r>
      <w:r w:rsidR="001252BF">
        <w:t>4</w:t>
      </w:r>
      <w:r w:rsidR="00EA753F" w:rsidRPr="00EA753F">
        <w:t>.4 Change in coral cover</w:t>
      </w:r>
      <w:r w:rsidR="00B64AEB">
        <w:t xml:space="preserve"> metric</w:t>
      </w:r>
    </w:p>
    <w:p w14:paraId="01DDA222" w14:textId="77777777" w:rsidR="005A6626" w:rsidRDefault="00F460AB" w:rsidP="00406BD7">
      <w:pPr>
        <w:rPr>
          <w:rFonts w:cs="LMSansQuot8-Regular"/>
        </w:rPr>
      </w:pPr>
      <w:r>
        <w:t xml:space="preserve">A second avenue for recovery of coral communities is the growth of corals during periods free from acute disturbance. Chronic pressures associated with water quality may suppress the rate that coral cover increases and indicate a lack of resilience. </w:t>
      </w:r>
      <w:r w:rsidR="006305E9">
        <w:t xml:space="preserve">The change in coral cover indicator score is derived from the comparison of the observed change in coral cover between two visits and predicted change in cover derived from multi-species forms of the </w:t>
      </w:r>
      <w:r w:rsidR="006305E9">
        <w:rPr>
          <w:rFonts w:cs="LMSansQuot8-Regular"/>
        </w:rPr>
        <w:t xml:space="preserve">Gompertz growth </w:t>
      </w:r>
      <w:r w:rsidR="005A065B">
        <w:rPr>
          <w:rFonts w:cs="LMSansQuot8-Regular"/>
        </w:rPr>
        <w:t>equation (Dennis &amp; Taper 1994,</w:t>
      </w:r>
      <w:r w:rsidR="006305E9">
        <w:rPr>
          <w:rFonts w:cs="LMSansQuot8-Regular"/>
        </w:rPr>
        <w:t xml:space="preserve"> Ives</w:t>
      </w:r>
      <w:r w:rsidR="005A065B">
        <w:rPr>
          <w:rFonts w:cs="LMSansQuot8-Regular"/>
        </w:rPr>
        <w:t xml:space="preserve"> </w:t>
      </w:r>
      <w:r w:rsidR="005A065B" w:rsidRPr="005A065B">
        <w:rPr>
          <w:rFonts w:cs="LMSansQuot8-Regular"/>
          <w:i/>
        </w:rPr>
        <w:t>et al.</w:t>
      </w:r>
      <w:r w:rsidR="006305E9">
        <w:rPr>
          <w:rFonts w:cs="LMSansQuot8-Regular"/>
        </w:rPr>
        <w:t xml:space="preserve"> 2003). Due to differences in growth rates models were run separately for </w:t>
      </w:r>
      <w:r>
        <w:rPr>
          <w:rFonts w:cs="LMSansQuot8-Regular"/>
        </w:rPr>
        <w:t xml:space="preserve">the fast growing </w:t>
      </w:r>
      <w:r w:rsidR="006305E9">
        <w:rPr>
          <w:rFonts w:cs="LMSansQuot8-Regular"/>
        </w:rPr>
        <w:t xml:space="preserve">corals of the family Acroporidae and the </w:t>
      </w:r>
      <w:r>
        <w:rPr>
          <w:rFonts w:cs="LMSansQuot8-Regular"/>
        </w:rPr>
        <w:t xml:space="preserve">slower growing </w:t>
      </w:r>
      <w:r w:rsidR="006305E9">
        <w:rPr>
          <w:rFonts w:cs="LMSansQuot8-Regular"/>
        </w:rPr>
        <w:t xml:space="preserve">combined grouping of all other hard corals. A continuous scoring system was then applied by scoring observed changes in coral cover against the upper and lower 95% confidence intervals predicted by the models (for details of model including equations, and the classifications used in the scoring system see </w:t>
      </w:r>
      <w:r w:rsidR="0086604D">
        <w:rPr>
          <w:rFonts w:cs="LMSansQuot8-Regular"/>
        </w:rPr>
        <w:t>(</w:t>
      </w:r>
      <w:r w:rsidR="00FB7FD7">
        <w:rPr>
          <w:rFonts w:cs="LMSansQuot8-Regular"/>
        </w:rPr>
        <w:t xml:space="preserve">Section </w:t>
      </w:r>
      <w:r w:rsidR="00FB7FD7">
        <w:rPr>
          <w:rFonts w:cs="LMSansQuot8-Regular"/>
          <w:highlight w:val="yellow"/>
        </w:rPr>
        <w:fldChar w:fldCharType="begin"/>
      </w:r>
      <w:r w:rsidR="00FB7FD7">
        <w:rPr>
          <w:rFonts w:cs="LMSansQuot8-Regular"/>
        </w:rPr>
        <w:instrText xml:space="preserve"> REF _Ref437429200 \r \h </w:instrText>
      </w:r>
      <w:r w:rsidR="00FB7FD7">
        <w:rPr>
          <w:rFonts w:cs="LMSansQuot8-Regular"/>
          <w:highlight w:val="yellow"/>
        </w:rPr>
      </w:r>
      <w:r w:rsidR="00FB7FD7">
        <w:rPr>
          <w:rFonts w:cs="LMSansQuot8-Regular"/>
          <w:highlight w:val="yellow"/>
        </w:rPr>
        <w:fldChar w:fldCharType="separate"/>
      </w:r>
      <w:r w:rsidR="00B61881">
        <w:rPr>
          <w:rFonts w:cs="LMSansQuot8-Regular"/>
        </w:rPr>
        <w:t>6</w:t>
      </w:r>
      <w:r w:rsidR="00FB7FD7">
        <w:rPr>
          <w:rFonts w:cs="LMSansQuot8-Regular"/>
          <w:highlight w:val="yellow"/>
        </w:rPr>
        <w:fldChar w:fldCharType="end"/>
      </w:r>
      <w:r w:rsidR="0086604D">
        <w:rPr>
          <w:rFonts w:cs="LMSansQuot8-Regular"/>
        </w:rPr>
        <w:t>)</w:t>
      </w:r>
    </w:p>
    <w:p w14:paraId="2EA19B30" w14:textId="77777777" w:rsidR="00E0182E" w:rsidRPr="009E3F08" w:rsidRDefault="00F352CD" w:rsidP="009139A2">
      <w:pPr>
        <w:pStyle w:val="Heading3"/>
      </w:pPr>
      <w:r>
        <w:t>4</w:t>
      </w:r>
      <w:r w:rsidR="00E0182E">
        <w:t>.</w:t>
      </w:r>
      <w:r w:rsidR="001252BF">
        <w:t>4</w:t>
      </w:r>
      <w:r w:rsidR="00E0182E">
        <w:t>.5 Community composition</w:t>
      </w:r>
      <w:r w:rsidR="00A76024">
        <w:t xml:space="preserve"> </w:t>
      </w:r>
      <w:r w:rsidR="00B64AEB">
        <w:t>metric</w:t>
      </w:r>
    </w:p>
    <w:p w14:paraId="08CB5A0F" w14:textId="77777777" w:rsidR="00E0182E" w:rsidRDefault="00E0182E" w:rsidP="00E0182E">
      <w:pPr>
        <w:rPr>
          <w:rFonts w:cs="LMSansQuot8-Regular"/>
          <w:color w:val="000000" w:themeColor="text1"/>
        </w:rPr>
      </w:pPr>
      <w:r w:rsidRPr="00AC2B2C">
        <w:rPr>
          <w:rFonts w:cs="LMSansQuot8-Regular"/>
          <w:color w:val="000000" w:themeColor="text1"/>
        </w:rPr>
        <w:t xml:space="preserve">This metric compares the composition of hard coral communities to </w:t>
      </w:r>
      <w:r>
        <w:rPr>
          <w:rFonts w:cs="LMSansQuot8-Regular"/>
          <w:color w:val="000000" w:themeColor="text1"/>
        </w:rPr>
        <w:t xml:space="preserve">a </w:t>
      </w:r>
      <w:r w:rsidRPr="00AC2B2C">
        <w:rPr>
          <w:rFonts w:cs="LMSansQuot8-Regular"/>
          <w:color w:val="000000" w:themeColor="text1"/>
        </w:rPr>
        <w:t xml:space="preserve">baseline composition and interprets any observed change as being representative of communities expected under improved or worsened water quality. The basis of the metric is the scaling of cover for constituent genera (subset to life forms for the abundant genera </w:t>
      </w:r>
      <w:r w:rsidRPr="00AC2B2C">
        <w:rPr>
          <w:rFonts w:cs="LMSansQuot8-Regular"/>
          <w:i/>
          <w:color w:val="000000" w:themeColor="text1"/>
        </w:rPr>
        <w:t>Acropora</w:t>
      </w:r>
      <w:r w:rsidRPr="00AC2B2C">
        <w:rPr>
          <w:rFonts w:cs="LMSansQuot8-Regular"/>
          <w:color w:val="000000" w:themeColor="text1"/>
        </w:rPr>
        <w:t xml:space="preserve"> and </w:t>
      </w:r>
      <w:r w:rsidRPr="00AC2B2C">
        <w:rPr>
          <w:rFonts w:cs="LMSansQuot8-Regular"/>
          <w:i/>
          <w:color w:val="000000" w:themeColor="text1"/>
        </w:rPr>
        <w:t>Porites</w:t>
      </w:r>
      <w:r w:rsidRPr="00AC2B2C">
        <w:rPr>
          <w:rFonts w:cs="LMSansQuot8-Regular"/>
          <w:color w:val="000000" w:themeColor="text1"/>
        </w:rPr>
        <w:t>) by genus weightings that correspond to the distribution of each genus along a gradient</w:t>
      </w:r>
      <w:r w:rsidR="0031139F">
        <w:rPr>
          <w:rFonts w:cs="LMSansQuot8-Regular"/>
          <w:color w:val="000000" w:themeColor="text1"/>
        </w:rPr>
        <w:t xml:space="preserve"> of turbidity and chlorophyll concentration </w:t>
      </w:r>
      <w:r w:rsidRPr="00AC2B2C">
        <w:rPr>
          <w:rFonts w:cs="LMSansQuot8-Regular"/>
          <w:color w:val="000000" w:themeColor="text1"/>
        </w:rPr>
        <w:t xml:space="preserve"> (Thompson </w:t>
      </w:r>
      <w:r w:rsidRPr="00AC2B2C">
        <w:rPr>
          <w:rFonts w:cs="LMSansQuot8-Regular"/>
          <w:i/>
          <w:color w:val="000000" w:themeColor="text1"/>
        </w:rPr>
        <w:t>et al.</w:t>
      </w:r>
      <w:r>
        <w:rPr>
          <w:rFonts w:cs="LMSansQuot8-Regular"/>
          <w:color w:val="000000" w:themeColor="text1"/>
        </w:rPr>
        <w:t xml:space="preserve"> 2014</w:t>
      </w:r>
      <w:r w:rsidR="000450F4">
        <w:rPr>
          <w:rFonts w:cs="LMSansQuot8-Regular"/>
          <w:color w:val="000000" w:themeColor="text1"/>
        </w:rPr>
        <w:t>b, Table 6</w:t>
      </w:r>
      <w:r>
        <w:rPr>
          <w:rFonts w:cs="LMSansQuot8-Regular"/>
          <w:color w:val="000000" w:themeColor="text1"/>
        </w:rPr>
        <w:t>) as:</w:t>
      </w:r>
    </w:p>
    <w:p w14:paraId="7C4A9EDA" w14:textId="77777777" w:rsidR="00E0182E" w:rsidRDefault="00A966BF" w:rsidP="00E0182E">
      <w:pPr>
        <w:rPr>
          <w:rFonts w:cs="Arial"/>
        </w:rPr>
      </w:pPr>
      <m:oMathPara>
        <m:oMath>
          <m:sSub>
            <m:sSubPr>
              <m:ctrlPr>
                <w:rPr>
                  <w:rFonts w:ascii="Cambria Math" w:eastAsiaTheme="minorHAnsi" w:hAnsi="Cambria Math" w:cs="Arial"/>
                  <w:i/>
                  <w:szCs w:val="22"/>
                  <w:lang w:val="en-AU"/>
                </w:rPr>
              </m:ctrlPr>
            </m:sSubPr>
            <m:e>
              <m:r>
                <w:rPr>
                  <w:rFonts w:ascii="Cambria Math" w:hAnsi="Cambria Math" w:cs="Arial"/>
                </w:rPr>
                <m:t>C</m:t>
              </m:r>
            </m:e>
            <m:sub>
              <m:r>
                <w:rPr>
                  <w:rFonts w:ascii="Cambria Math" w:hAnsi="Cambria Math" w:cs="Arial"/>
                </w:rPr>
                <m:t>t</m:t>
              </m:r>
            </m:sub>
          </m:sSub>
          <m:r>
            <w:rPr>
              <w:rFonts w:ascii="Cambria Math" w:hAnsi="Cambria Math" w:cs="Arial"/>
            </w:rPr>
            <m:t xml:space="preserve">= </m:t>
          </m:r>
          <m:nary>
            <m:naryPr>
              <m:chr m:val="∑"/>
              <m:limLoc m:val="undOvr"/>
              <m:ctrlPr>
                <w:rPr>
                  <w:rFonts w:ascii="Cambria Math" w:eastAsiaTheme="minorHAnsi" w:hAnsi="Cambria Math" w:cs="Arial"/>
                  <w:i/>
                  <w:szCs w:val="22"/>
                  <w:lang w:val="en-AU"/>
                </w:rPr>
              </m:ctrlPr>
            </m:naryPr>
            <m:sub>
              <m:r>
                <w:rPr>
                  <w:rFonts w:ascii="Cambria Math" w:hAnsi="Cambria Math" w:cs="Arial"/>
                </w:rPr>
                <m:t>i=1</m:t>
              </m:r>
            </m:sub>
            <m:sup>
              <m:r>
                <w:rPr>
                  <w:rFonts w:ascii="Cambria Math" w:hAnsi="Cambria Math" w:cs="Arial"/>
                </w:rPr>
                <m:t>n</m:t>
              </m:r>
            </m:sup>
            <m:e>
              <m:sSub>
                <m:sSubPr>
                  <m:ctrlPr>
                    <w:rPr>
                      <w:rFonts w:ascii="Cambria Math" w:eastAsiaTheme="minorHAnsi" w:hAnsi="Cambria Math" w:cs="Arial"/>
                      <w:i/>
                      <w:szCs w:val="22"/>
                      <w:lang w:val="en-AU"/>
                    </w:rPr>
                  </m:ctrlPr>
                </m:sSubPr>
                <m:e>
                  <m:r>
                    <w:rPr>
                      <w:rFonts w:ascii="Cambria Math" w:hAnsi="Cambria Math" w:cs="Arial"/>
                    </w:rPr>
                    <m:t>H</m:t>
                  </m:r>
                </m:e>
                <m:sub>
                  <m:r>
                    <w:rPr>
                      <w:rFonts w:ascii="Cambria Math" w:hAnsi="Cambria Math" w:cs="Arial"/>
                    </w:rPr>
                    <m:t>it</m:t>
                  </m:r>
                </m:sub>
              </m:sSub>
              <m:r>
                <w:rPr>
                  <w:rFonts w:ascii="Cambria Math" w:hAnsi="Cambria Math" w:cs="Arial"/>
                </w:rPr>
                <m:t>*</m:t>
              </m:r>
              <m:sSub>
                <m:sSubPr>
                  <m:ctrlPr>
                    <w:rPr>
                      <w:rFonts w:ascii="Cambria Math" w:eastAsiaTheme="minorHAnsi" w:hAnsi="Cambria Math" w:cs="Arial"/>
                      <w:i/>
                      <w:szCs w:val="22"/>
                      <w:lang w:val="en-AU"/>
                    </w:rPr>
                  </m:ctrlPr>
                </m:sSubPr>
                <m:e>
                  <m:r>
                    <w:rPr>
                      <w:rFonts w:ascii="Cambria Math" w:hAnsi="Cambria Math" w:cs="Arial"/>
                    </w:rPr>
                    <m:t>G</m:t>
                  </m:r>
                </m:e>
                <m:sub>
                  <m:r>
                    <w:rPr>
                      <w:rFonts w:ascii="Cambria Math" w:hAnsi="Cambria Math" w:cs="Arial"/>
                    </w:rPr>
                    <m:t>i</m:t>
                  </m:r>
                </m:sub>
              </m:sSub>
            </m:e>
          </m:nary>
        </m:oMath>
      </m:oMathPara>
    </w:p>
    <w:p w14:paraId="55BD143E" w14:textId="77777777" w:rsidR="00E0182E" w:rsidRDefault="00E0182E" w:rsidP="00E0182E">
      <w:pPr>
        <w:rPr>
          <w:rFonts w:eastAsiaTheme="minorEastAsia" w:cs="Arial"/>
        </w:rPr>
      </w:pPr>
      <w:r>
        <w:rPr>
          <w:rFonts w:cs="Arial"/>
        </w:rPr>
        <w:t>Where</w:t>
      </w:r>
      <w:r>
        <w:rPr>
          <w:rFonts w:cs="Arial"/>
        </w:rPr>
        <w:tab/>
        <w:t xml:space="preserve"> </w:t>
      </w:r>
      <m:oMath>
        <m:sSub>
          <m:sSubPr>
            <m:ctrlPr>
              <w:rPr>
                <w:rFonts w:ascii="Cambria Math" w:eastAsiaTheme="minorHAnsi" w:hAnsi="Cambria Math" w:cs="Arial"/>
                <w:i/>
                <w:szCs w:val="22"/>
                <w:lang w:val="en-AU"/>
              </w:rPr>
            </m:ctrlPr>
          </m:sSubPr>
          <m:e>
            <m:r>
              <w:rPr>
                <w:rFonts w:ascii="Cambria Math" w:hAnsi="Cambria Math" w:cs="Arial"/>
              </w:rPr>
              <m:t>C</m:t>
            </m:r>
          </m:e>
          <m:sub>
            <m:r>
              <w:rPr>
                <w:rFonts w:ascii="Cambria Math" w:hAnsi="Cambria Math" w:cs="Arial"/>
              </w:rPr>
              <m:t>t</m:t>
            </m:r>
          </m:sub>
        </m:sSub>
      </m:oMath>
      <w:r>
        <w:rPr>
          <w:rFonts w:eastAsiaTheme="minorEastAsia" w:cs="Arial"/>
        </w:rPr>
        <w:t xml:space="preserve"> = the community composition location on along the </w:t>
      </w:r>
      <w:r w:rsidR="0031139F">
        <w:rPr>
          <w:rFonts w:eastAsiaTheme="minorEastAsia" w:cs="Arial"/>
        </w:rPr>
        <w:t xml:space="preserve">water quality </w:t>
      </w:r>
      <w:r>
        <w:rPr>
          <w:rFonts w:eastAsiaTheme="minorEastAsia" w:cs="Arial"/>
        </w:rPr>
        <w:t xml:space="preserve">gradient at </w:t>
      </w:r>
      <w:proofErr w:type="gramStart"/>
      <w:r>
        <w:rPr>
          <w:rFonts w:eastAsiaTheme="minorEastAsia" w:cs="Arial"/>
        </w:rPr>
        <w:t xml:space="preserve">time </w:t>
      </w:r>
      <w:proofErr w:type="gramEnd"/>
      <m:oMath>
        <m:r>
          <w:rPr>
            <w:rFonts w:ascii="Cambria Math" w:eastAsiaTheme="minorEastAsia" w:hAnsi="Cambria Math" w:cs="Arial"/>
          </w:rPr>
          <m:t>t</m:t>
        </m:r>
      </m:oMath>
      <w:r>
        <w:rPr>
          <w:rFonts w:eastAsiaTheme="minorEastAsia" w:cs="Arial"/>
        </w:rPr>
        <w:t xml:space="preserve">, </w:t>
      </w:r>
    </w:p>
    <w:p w14:paraId="51BE82E3" w14:textId="77777777" w:rsidR="00E0182E" w:rsidRDefault="00E0182E" w:rsidP="00E0182E">
      <w:pPr>
        <w:rPr>
          <w:rFonts w:eastAsiaTheme="minorEastAsia" w:cs="Arial"/>
        </w:rPr>
      </w:pPr>
      <w:r>
        <w:rPr>
          <w:rFonts w:eastAsiaTheme="minorEastAsia" w:cs="Arial"/>
        </w:rPr>
        <w:tab/>
      </w:r>
      <m:oMath>
        <m:sSub>
          <m:sSubPr>
            <m:ctrlPr>
              <w:rPr>
                <w:rFonts w:ascii="Cambria Math" w:eastAsiaTheme="minorEastAsia" w:hAnsi="Cambria Math" w:cs="Arial"/>
                <w:i/>
                <w:szCs w:val="22"/>
                <w:lang w:val="en-AU"/>
              </w:rPr>
            </m:ctrlPr>
          </m:sSubPr>
          <m:e>
            <m:r>
              <w:rPr>
                <w:rFonts w:ascii="Cambria Math" w:eastAsiaTheme="minorEastAsia" w:hAnsi="Cambria Math" w:cs="Arial"/>
              </w:rPr>
              <m:t>H</m:t>
            </m:r>
          </m:e>
          <m:sub>
            <m:r>
              <w:rPr>
                <w:rFonts w:ascii="Cambria Math" w:eastAsiaTheme="minorEastAsia" w:hAnsi="Cambria Math" w:cs="Arial"/>
              </w:rPr>
              <m:t>it</m:t>
            </m:r>
          </m:sub>
        </m:sSub>
      </m:oMath>
      <w:r>
        <w:rPr>
          <w:rFonts w:eastAsiaTheme="minorEastAsia" w:cs="Arial"/>
        </w:rPr>
        <w:t xml:space="preserve"> = the Hellinger transformed cover of genus </w:t>
      </w:r>
      <m:oMath>
        <m:r>
          <w:rPr>
            <w:rFonts w:ascii="Cambria Math" w:eastAsiaTheme="minorEastAsia" w:hAnsi="Cambria Math" w:cs="Arial"/>
          </w:rPr>
          <m:t>i</m:t>
        </m:r>
      </m:oMath>
      <w:r>
        <w:rPr>
          <w:rFonts w:eastAsiaTheme="minorEastAsia" w:cs="Arial"/>
        </w:rPr>
        <w:t xml:space="preserve"> at </w:t>
      </w:r>
      <w:proofErr w:type="gramStart"/>
      <w:r w:rsidR="009E3F08">
        <w:rPr>
          <w:rFonts w:eastAsiaTheme="minorEastAsia" w:cs="Arial"/>
        </w:rPr>
        <w:t xml:space="preserve">time </w:t>
      </w:r>
      <w:proofErr w:type="gramEnd"/>
      <m:oMath>
        <m:r>
          <w:rPr>
            <w:rFonts w:ascii="Cambria Math" w:eastAsiaTheme="minorEastAsia" w:hAnsi="Cambria Math" w:cs="Arial"/>
          </w:rPr>
          <m:t>t</m:t>
        </m:r>
      </m:oMath>
      <w:r>
        <w:rPr>
          <w:rFonts w:eastAsiaTheme="minorEastAsia" w:cs="Arial"/>
        </w:rPr>
        <w:t>, and</w:t>
      </w:r>
    </w:p>
    <w:p w14:paraId="14B01BAE" w14:textId="77777777" w:rsidR="00E0182E" w:rsidRDefault="00E0182E" w:rsidP="00E0182E">
      <w:pPr>
        <w:rPr>
          <w:rFonts w:eastAsiaTheme="minorEastAsia" w:cs="Arial"/>
        </w:rPr>
      </w:pPr>
      <w:r>
        <w:rPr>
          <w:rFonts w:eastAsiaTheme="minorEastAsia" w:cs="Arial"/>
        </w:rPr>
        <w:tab/>
      </w:r>
      <m:oMath>
        <m:sSub>
          <m:sSubPr>
            <m:ctrlPr>
              <w:rPr>
                <w:rFonts w:ascii="Cambria Math" w:eastAsiaTheme="minorEastAsia" w:hAnsi="Cambria Math" w:cs="Arial"/>
                <w:i/>
                <w:szCs w:val="22"/>
                <w:lang w:val="en-AU"/>
              </w:rPr>
            </m:ctrlPr>
          </m:sSubPr>
          <m:e>
            <m:r>
              <w:rPr>
                <w:rFonts w:ascii="Cambria Math" w:eastAsiaTheme="minorEastAsia" w:hAnsi="Cambria Math" w:cs="Arial"/>
              </w:rPr>
              <m:t>G</m:t>
            </m:r>
          </m:e>
          <m:sub>
            <m:r>
              <w:rPr>
                <w:rFonts w:ascii="Cambria Math" w:eastAsiaTheme="minorEastAsia" w:hAnsi="Cambria Math" w:cs="Arial"/>
              </w:rPr>
              <m:t>i</m:t>
            </m:r>
          </m:sub>
        </m:sSub>
      </m:oMath>
      <w:r>
        <w:rPr>
          <w:rFonts w:eastAsiaTheme="minorEastAsia" w:cs="Arial"/>
        </w:rPr>
        <w:t xml:space="preserve"> = the score for genus </w:t>
      </w:r>
      <m:oMath>
        <m:r>
          <w:rPr>
            <w:rFonts w:ascii="Cambria Math" w:eastAsiaTheme="minorEastAsia" w:hAnsi="Cambria Math" w:cs="Arial"/>
          </w:rPr>
          <m:t>i</m:t>
        </m:r>
      </m:oMath>
      <w:r>
        <w:rPr>
          <w:rFonts w:eastAsiaTheme="minorEastAsia" w:cs="Arial"/>
        </w:rPr>
        <w:t xml:space="preserve"> taken from </w:t>
      </w:r>
      <w:r w:rsidRPr="007F7841">
        <w:rPr>
          <w:rFonts w:eastAsiaTheme="minorEastAsia" w:cs="Arial"/>
        </w:rPr>
        <w:t xml:space="preserve">Table </w:t>
      </w:r>
      <w:r w:rsidR="000450F4">
        <w:rPr>
          <w:rFonts w:eastAsiaTheme="minorEastAsia" w:cs="Arial"/>
        </w:rPr>
        <w:t>6</w:t>
      </w:r>
      <w:r w:rsidRPr="007F7841">
        <w:rPr>
          <w:rFonts w:eastAsiaTheme="minorEastAsia" w:cs="Arial"/>
        </w:rPr>
        <w:t>.</w:t>
      </w:r>
    </w:p>
    <w:p w14:paraId="43229430" w14:textId="77777777" w:rsidR="009139A2" w:rsidRDefault="00E0182E" w:rsidP="00E0182E">
      <w:pPr>
        <w:rPr>
          <w:rFonts w:eastAsiaTheme="minorEastAsia" w:cs="Arial"/>
        </w:rPr>
      </w:pPr>
      <w:r>
        <w:rPr>
          <w:rFonts w:eastAsiaTheme="minorEastAsia" w:cs="Arial"/>
        </w:rPr>
        <w:t xml:space="preserve">Indicator metric scores are assigned based on the location of </w:t>
      </w:r>
      <m:oMath>
        <m:sSub>
          <m:sSubPr>
            <m:ctrlPr>
              <w:rPr>
                <w:rFonts w:ascii="Cambria Math" w:eastAsiaTheme="minorHAnsi" w:hAnsi="Cambria Math" w:cs="Arial"/>
                <w:i/>
                <w:szCs w:val="22"/>
                <w:lang w:val="en-AU"/>
              </w:rPr>
            </m:ctrlPr>
          </m:sSubPr>
          <m:e>
            <m:r>
              <w:rPr>
                <w:rFonts w:ascii="Cambria Math" w:hAnsi="Cambria Math" w:cs="Arial"/>
              </w:rPr>
              <m:t>C</m:t>
            </m:r>
          </m:e>
          <m:sub>
            <m:r>
              <w:rPr>
                <w:rFonts w:ascii="Cambria Math" w:hAnsi="Cambria Math" w:cs="Arial"/>
              </w:rPr>
              <m:t>t</m:t>
            </m:r>
          </m:sub>
        </m:sSub>
      </m:oMath>
      <w:r>
        <w:rPr>
          <w:rFonts w:eastAsiaTheme="minorEastAsia" w:cs="Arial"/>
        </w:rPr>
        <w:t xml:space="preserve"> for the year of interest relative to a community specific baseline. The baseline for each community is simply the 95% confidence intervals about the mean </w:t>
      </w:r>
      <m:oMath>
        <m:sSub>
          <m:sSubPr>
            <m:ctrlPr>
              <w:rPr>
                <w:rFonts w:ascii="Cambria Math" w:eastAsiaTheme="minorHAnsi" w:hAnsi="Cambria Math" w:cs="Arial"/>
                <w:i/>
                <w:szCs w:val="22"/>
                <w:lang w:val="en-AU"/>
              </w:rPr>
            </m:ctrlPr>
          </m:sSubPr>
          <m:e>
            <m:r>
              <w:rPr>
                <w:rFonts w:ascii="Cambria Math" w:hAnsi="Cambria Math" w:cs="Arial"/>
              </w:rPr>
              <m:t>C</m:t>
            </m:r>
          </m:e>
          <m:sub>
            <m:r>
              <w:rPr>
                <w:rFonts w:ascii="Cambria Math" w:hAnsi="Cambria Math" w:cs="Arial"/>
              </w:rPr>
              <m:t>t</m:t>
            </m:r>
          </m:sub>
        </m:sSub>
      </m:oMath>
      <w:r>
        <w:rPr>
          <w:rFonts w:eastAsiaTheme="minorEastAsia" w:cs="Arial"/>
        </w:rPr>
        <w:t xml:space="preserve"> from the first five years of observations of the community at each reef and depth. The scoring of the metric is categorical being 0.5 when </w:t>
      </w:r>
      <m:oMath>
        <m:sSub>
          <m:sSubPr>
            <m:ctrlPr>
              <w:rPr>
                <w:rFonts w:ascii="Cambria Math" w:eastAsiaTheme="minorHAnsi" w:hAnsi="Cambria Math" w:cs="Arial"/>
                <w:i/>
                <w:szCs w:val="22"/>
                <w:lang w:val="en-AU"/>
              </w:rPr>
            </m:ctrlPr>
          </m:sSubPr>
          <m:e>
            <m:r>
              <w:rPr>
                <w:rFonts w:ascii="Cambria Math" w:hAnsi="Cambria Math" w:cs="Arial"/>
              </w:rPr>
              <m:t>C</m:t>
            </m:r>
          </m:e>
          <m:sub>
            <m:r>
              <w:rPr>
                <w:rFonts w:ascii="Cambria Math" w:hAnsi="Cambria Math" w:cs="Arial"/>
              </w:rPr>
              <m:t>t</m:t>
            </m:r>
          </m:sub>
        </m:sSub>
      </m:oMath>
      <w:r>
        <w:rPr>
          <w:rFonts w:eastAsiaTheme="minorEastAsia" w:cs="Arial"/>
        </w:rPr>
        <w:t xml:space="preserve"> falls within the 95% confidence intervals for the location, 1 if beyond the confidence interval in a direction toward communities representative of and 0 if beyond the confidence interval in the direction of communities </w:t>
      </w:r>
      <w:r w:rsidR="009F7C80">
        <w:rPr>
          <w:rFonts w:eastAsiaTheme="minorEastAsia" w:cs="Arial"/>
        </w:rPr>
        <w:t>representative of higher turbidity and chlorophyll concentrations.</w:t>
      </w:r>
    </w:p>
    <w:p w14:paraId="209BD533" w14:textId="77777777" w:rsidR="009139A2" w:rsidRDefault="009139A2" w:rsidP="009139A2">
      <w:pPr>
        <w:rPr>
          <w:rFonts w:eastAsiaTheme="minorEastAsia"/>
        </w:rPr>
      </w:pPr>
      <w:r>
        <w:rPr>
          <w:rFonts w:eastAsiaTheme="minorEastAsia"/>
        </w:rPr>
        <w:br w:type="page"/>
      </w:r>
    </w:p>
    <w:p w14:paraId="154EBE40" w14:textId="77777777" w:rsidR="00A76024" w:rsidRDefault="00A76024" w:rsidP="009139A2">
      <w:pPr>
        <w:pStyle w:val="Heading2"/>
        <w:spacing w:before="240"/>
      </w:pPr>
      <w:bookmarkStart w:id="87" w:name="_Toc460490659"/>
      <w:r>
        <w:lastRenderedPageBreak/>
        <w:t>4.</w:t>
      </w:r>
      <w:r w:rsidR="001252BF">
        <w:t>5</w:t>
      </w:r>
      <w:r>
        <w:t xml:space="preserve"> Pressure presentation</w:t>
      </w:r>
      <w:bookmarkEnd w:id="87"/>
    </w:p>
    <w:p w14:paraId="08E563FC" w14:textId="77777777" w:rsidR="00B66D05" w:rsidRDefault="009819D7" w:rsidP="00B66D05">
      <w:r>
        <w:t xml:space="preserve">In addition to the cumulative impacts of water quality coral communities are impacted by a range of </w:t>
      </w:r>
      <w:r w:rsidR="000F6937">
        <w:t>other environmental pressures that will influence their condition.</w:t>
      </w:r>
      <w:r>
        <w:t xml:space="preserve"> </w:t>
      </w:r>
      <w:r w:rsidR="00A76024">
        <w:t xml:space="preserve">As an aid for the interpretation of tends in </w:t>
      </w:r>
      <w:r w:rsidR="004D2B29">
        <w:t>coral indicators and the coral index a panel of four figures</w:t>
      </w:r>
      <w:r w:rsidR="00B66D05">
        <w:t xml:space="preserve"> </w:t>
      </w:r>
      <w:r w:rsidR="004D2B29">
        <w:t xml:space="preserve">is included for each </w:t>
      </w:r>
      <w:r w:rsidR="00A76024">
        <w:t xml:space="preserve">reporting </w:t>
      </w:r>
      <w:r w:rsidR="00B66D05">
        <w:t xml:space="preserve">(sub) </w:t>
      </w:r>
      <w:r w:rsidR="00A76024">
        <w:t>region</w:t>
      </w:r>
      <w:r w:rsidR="004D2B29">
        <w:t xml:space="preserve"> that summarise the environmental pressures </w:t>
      </w:r>
      <w:r w:rsidR="00B66D05">
        <w:t xml:space="preserve">and disturbances </w:t>
      </w:r>
      <w:r w:rsidR="004D2B29">
        <w:t>that have influenced coral communities</w:t>
      </w:r>
      <w:r w:rsidR="00427ACC">
        <w:t>.</w:t>
      </w:r>
    </w:p>
    <w:p w14:paraId="63398001" w14:textId="77777777" w:rsidR="00B66D05" w:rsidRDefault="00B66D05" w:rsidP="00B66D05">
      <w:r>
        <w:t>For each reporting (sub) region</w:t>
      </w:r>
      <w:r w:rsidR="000F6937">
        <w:t xml:space="preserve"> there are the following figures:</w:t>
      </w:r>
    </w:p>
    <w:p w14:paraId="2FF08ED1" w14:textId="77777777" w:rsidR="00023B99" w:rsidRPr="00FA06C2" w:rsidRDefault="00A76024" w:rsidP="00FA06C2">
      <w:pPr>
        <w:pStyle w:val="ListParagraph"/>
        <w:numPr>
          <w:ilvl w:val="0"/>
          <w:numId w:val="48"/>
        </w:numPr>
        <w:ind w:left="360"/>
      </w:pPr>
      <w:r>
        <w:t>A map of coral monitoring locations</w:t>
      </w:r>
      <w:r w:rsidR="00FC1B34">
        <w:t xml:space="preserve">. This map includes a representation of the gradient in water quality expressed as </w:t>
      </w:r>
      <w:r>
        <w:t>the exposure to secondary plume-type waters</w:t>
      </w:r>
      <w:r w:rsidR="00FC1B34">
        <w:t xml:space="preserve">. </w:t>
      </w:r>
      <w:r>
        <w:t>These estimates are supplied by t</w:t>
      </w:r>
      <w:r w:rsidRPr="00023B99">
        <w:rPr>
          <w:rFonts w:cs="Arial"/>
          <w:szCs w:val="22"/>
        </w:rPr>
        <w:t xml:space="preserve">he </w:t>
      </w:r>
      <w:r w:rsidRPr="00023B99">
        <w:rPr>
          <w:rFonts w:cs="Arial"/>
          <w:szCs w:val="22"/>
          <w:lang w:val="en-AU" w:eastAsia="en-AU"/>
        </w:rPr>
        <w:t xml:space="preserve">Centre for Tropical Water and Aquatic Ecosystem Research, Catchment to Reef Research Group, James Cook University and reported in full the companion MMP water quality report (Lønborg </w:t>
      </w:r>
      <w:r w:rsidRPr="00023B99">
        <w:rPr>
          <w:rFonts w:cs="Arial"/>
          <w:i/>
          <w:szCs w:val="22"/>
          <w:lang w:val="en-AU" w:eastAsia="en-AU"/>
        </w:rPr>
        <w:t>et al</w:t>
      </w:r>
      <w:r w:rsidRPr="00023B99">
        <w:rPr>
          <w:rFonts w:cs="Arial"/>
          <w:szCs w:val="22"/>
          <w:lang w:val="en-AU" w:eastAsia="en-AU"/>
        </w:rPr>
        <w:t xml:space="preserve">. </w:t>
      </w:r>
      <w:r w:rsidR="008E6F11">
        <w:rPr>
          <w:rFonts w:cs="Arial"/>
          <w:szCs w:val="22"/>
          <w:lang w:val="en-AU" w:eastAsia="en-AU"/>
        </w:rPr>
        <w:t>2015</w:t>
      </w:r>
      <w:r w:rsidRPr="00023B99">
        <w:rPr>
          <w:rFonts w:cs="Arial"/>
          <w:szCs w:val="22"/>
          <w:lang w:val="en-AU" w:eastAsia="en-AU"/>
        </w:rPr>
        <w:t xml:space="preserve">). These </w:t>
      </w:r>
      <w:r>
        <w:t xml:space="preserve">exposure maps represent the proportion of time within the wet season (December to April, over the years 2003 to 2015 inclusive) during which the optical properties of the water were consistent with those classified as “secondary” water masses in GBR flood plumes as described by Devlin </w:t>
      </w:r>
      <w:r w:rsidRPr="00023B99">
        <w:rPr>
          <w:i/>
        </w:rPr>
        <w:t>et al.</w:t>
      </w:r>
      <w:r w:rsidR="00427ACC">
        <w:t xml:space="preserve"> (2012).</w:t>
      </w:r>
      <w:r>
        <w:t xml:space="preserve"> </w:t>
      </w:r>
      <w:r w:rsidR="00162AE6">
        <w:t xml:space="preserve">Coastal waters </w:t>
      </w:r>
      <w:r w:rsidR="00162AE6" w:rsidRPr="00023B99">
        <w:rPr>
          <w:color w:val="000000" w:themeColor="text1"/>
        </w:rPr>
        <w:t xml:space="preserve">are </w:t>
      </w:r>
      <w:r w:rsidR="00162AE6">
        <w:rPr>
          <w:rFonts w:cs="Arial"/>
          <w:color w:val="000000" w:themeColor="text1"/>
          <w:szCs w:val="22"/>
        </w:rPr>
        <w:t>grouped into plume-types</w:t>
      </w:r>
      <w:r w:rsidR="00162AE6" w:rsidRPr="00023B99">
        <w:rPr>
          <w:rFonts w:cs="Arial"/>
          <w:color w:val="000000" w:themeColor="text1"/>
          <w:szCs w:val="22"/>
        </w:rPr>
        <w:t xml:space="preserve"> based o</w:t>
      </w:r>
      <w:r w:rsidR="00162AE6">
        <w:rPr>
          <w:rFonts w:cs="Arial"/>
          <w:color w:val="000000" w:themeColor="text1"/>
          <w:szCs w:val="22"/>
        </w:rPr>
        <w:t xml:space="preserve">n three water-quality characteristics; total suspended solids (TSS), coloured dissolved organic matter (CDOM), and chlorophyll </w:t>
      </w:r>
      <w:r w:rsidR="00162AE6" w:rsidRPr="00323C6A">
        <w:rPr>
          <w:rFonts w:cs="Arial"/>
          <w:i/>
          <w:color w:val="000000" w:themeColor="text1"/>
          <w:szCs w:val="22"/>
        </w:rPr>
        <w:t>a</w:t>
      </w:r>
      <w:r w:rsidR="00162AE6">
        <w:rPr>
          <w:rFonts w:cs="Arial"/>
          <w:color w:val="000000" w:themeColor="text1"/>
          <w:szCs w:val="22"/>
        </w:rPr>
        <w:t xml:space="preserve"> </w:t>
      </w:r>
      <w:r w:rsidR="00162AE6" w:rsidRPr="00023B99">
        <w:rPr>
          <w:rFonts w:cs="Arial"/>
          <w:color w:val="000000" w:themeColor="text1"/>
          <w:szCs w:val="22"/>
        </w:rPr>
        <w:t xml:space="preserve">(chl </w:t>
      </w:r>
      <w:r w:rsidR="00162AE6" w:rsidRPr="0048664C">
        <w:rPr>
          <w:rFonts w:cs="Arial"/>
          <w:i/>
          <w:color w:val="000000" w:themeColor="text1"/>
          <w:szCs w:val="22"/>
        </w:rPr>
        <w:t>a</w:t>
      </w:r>
      <w:r w:rsidR="00162AE6" w:rsidRPr="00023B99">
        <w:rPr>
          <w:rFonts w:cs="Arial"/>
          <w:color w:val="000000" w:themeColor="text1"/>
          <w:szCs w:val="22"/>
        </w:rPr>
        <w:t>).</w:t>
      </w:r>
      <w:r w:rsidRPr="00023B99">
        <w:rPr>
          <w:rFonts w:cs="Arial"/>
          <w:color w:val="000000" w:themeColor="text1"/>
          <w:szCs w:val="22"/>
        </w:rPr>
        <w:t xml:space="preserve"> The secondary flood plume is characterised by lower levels of TSS and CDOM than occur in primary plumes (mean TSS of approximately 14 mg l</w:t>
      </w:r>
      <w:r w:rsidRPr="00217133">
        <w:rPr>
          <w:rFonts w:cs="Arial"/>
          <w:color w:val="000000" w:themeColor="text1"/>
          <w:szCs w:val="22"/>
          <w:vertAlign w:val="superscript"/>
        </w:rPr>
        <w:t>-1</w:t>
      </w:r>
      <w:r w:rsidRPr="00217133">
        <w:rPr>
          <w:rFonts w:cs="Arial"/>
          <w:color w:val="000000" w:themeColor="text1"/>
          <w:szCs w:val="22"/>
        </w:rPr>
        <w:t xml:space="preserve"> compared to 23 mg l</w:t>
      </w:r>
      <w:r w:rsidRPr="00217133">
        <w:rPr>
          <w:rFonts w:cs="Arial"/>
          <w:color w:val="000000" w:themeColor="text1"/>
          <w:szCs w:val="22"/>
          <w:vertAlign w:val="superscript"/>
        </w:rPr>
        <w:t>-1</w:t>
      </w:r>
      <w:r w:rsidRPr="00217133">
        <w:rPr>
          <w:rFonts w:cs="Arial"/>
          <w:color w:val="000000" w:themeColor="text1"/>
          <w:szCs w:val="22"/>
        </w:rPr>
        <w:t>, mean CDOM 0.26 m</w:t>
      </w:r>
      <w:r w:rsidRPr="00023B99">
        <w:rPr>
          <w:rFonts w:cs="Arial"/>
          <w:color w:val="000000" w:themeColor="text1"/>
          <w:szCs w:val="22"/>
          <w:vertAlign w:val="superscript"/>
        </w:rPr>
        <w:t>-1</w:t>
      </w:r>
      <w:r w:rsidRPr="00023B99">
        <w:rPr>
          <w:rFonts w:cs="Arial"/>
          <w:color w:val="000000" w:themeColor="text1"/>
          <w:szCs w:val="22"/>
        </w:rPr>
        <w:t xml:space="preserve"> compared to 0.36 m</w:t>
      </w:r>
      <w:r w:rsidRPr="00023B99">
        <w:rPr>
          <w:rFonts w:cs="Arial"/>
          <w:color w:val="000000" w:themeColor="text1"/>
          <w:szCs w:val="22"/>
          <w:vertAlign w:val="superscript"/>
        </w:rPr>
        <w:t>-1</w:t>
      </w:r>
      <w:r w:rsidRPr="00023B99">
        <w:rPr>
          <w:rFonts w:cs="Arial"/>
          <w:color w:val="000000" w:themeColor="text1"/>
          <w:szCs w:val="22"/>
        </w:rPr>
        <w:t xml:space="preserve">. In contrast </w:t>
      </w:r>
      <w:r w:rsidR="009109BA">
        <w:rPr>
          <w:rFonts w:cs="Arial"/>
          <w:color w:val="000000" w:themeColor="text1"/>
          <w:szCs w:val="22"/>
        </w:rPr>
        <w:t xml:space="preserve">chlorophyll </w:t>
      </w:r>
      <w:r w:rsidRPr="00023B99">
        <w:rPr>
          <w:rFonts w:cs="Arial"/>
          <w:color w:val="000000" w:themeColor="text1"/>
          <w:szCs w:val="22"/>
        </w:rPr>
        <w:t>a concentrations are higher in secondary plumes (1.4 vs. 1.1 µg l</w:t>
      </w:r>
      <w:r w:rsidRPr="00023B99">
        <w:rPr>
          <w:rFonts w:cs="Arial"/>
          <w:color w:val="000000" w:themeColor="text1"/>
          <w:szCs w:val="22"/>
          <w:vertAlign w:val="superscript"/>
        </w:rPr>
        <w:t>-1</w:t>
      </w:r>
      <w:r w:rsidRPr="00023B99">
        <w:rPr>
          <w:rFonts w:cs="Arial"/>
          <w:color w:val="000000" w:themeColor="text1"/>
          <w:szCs w:val="22"/>
        </w:rPr>
        <w:t xml:space="preserve">) (Devlin </w:t>
      </w:r>
      <w:r w:rsidRPr="00023B99">
        <w:rPr>
          <w:rFonts w:cs="Arial"/>
          <w:i/>
          <w:color w:val="000000" w:themeColor="text1"/>
          <w:szCs w:val="22"/>
        </w:rPr>
        <w:t>et al.</w:t>
      </w:r>
      <w:r w:rsidRPr="00023B99">
        <w:rPr>
          <w:rFonts w:cs="Arial"/>
          <w:color w:val="000000" w:themeColor="text1"/>
          <w:szCs w:val="22"/>
        </w:rPr>
        <w:t xml:space="preserve"> 2012). The plume types therefore represent different degrees of exposure to stressors on coral such as decreased light availability and nutrient levels. </w:t>
      </w:r>
      <w:r w:rsidRPr="00023B99">
        <w:rPr>
          <w:color w:val="000000" w:themeColor="text1"/>
        </w:rPr>
        <w:t xml:space="preserve">In brief, the estimates of exposure were derived following the methodology of Alvarez Romero </w:t>
      </w:r>
      <w:r w:rsidRPr="00023B99">
        <w:rPr>
          <w:i/>
          <w:color w:val="000000" w:themeColor="text1"/>
        </w:rPr>
        <w:t>et al.</w:t>
      </w:r>
      <w:r w:rsidRPr="00023B99">
        <w:rPr>
          <w:color w:val="000000" w:themeColor="text1"/>
        </w:rPr>
        <w:t xml:space="preserve"> (2013) wherein water type was classified on the basis of two ocean-colour products (nLw667 and adg443, see Alvarez Romero </w:t>
      </w:r>
      <w:r w:rsidRPr="00023B99">
        <w:rPr>
          <w:i/>
          <w:color w:val="000000" w:themeColor="text1"/>
        </w:rPr>
        <w:t>et al</w:t>
      </w:r>
      <w:r w:rsidRPr="00023B99">
        <w:rPr>
          <w:color w:val="000000" w:themeColor="text1"/>
        </w:rPr>
        <w:t>. 2013 for further detail) applied to data derived from the satellite-</w:t>
      </w:r>
      <w:r w:rsidRPr="00023B99">
        <w:rPr>
          <w:rFonts w:cs="Arial"/>
          <w:color w:val="000000" w:themeColor="text1"/>
          <w:szCs w:val="22"/>
        </w:rPr>
        <w:t xml:space="preserve">mounted </w:t>
      </w:r>
      <w:r w:rsidRPr="00023B99">
        <w:rPr>
          <w:rFonts w:cs="Arial"/>
          <w:color w:val="000000" w:themeColor="text1"/>
          <w:szCs w:val="22"/>
          <w:lang w:val="en-AU" w:eastAsia="en-AU"/>
        </w:rPr>
        <w:t>Moderate Resolution Imaging spectroradiometer (MODIS) Aqua sensor.</w:t>
      </w:r>
      <w:r w:rsidR="00956827" w:rsidRPr="00023B99">
        <w:rPr>
          <w:rFonts w:cs="Arial"/>
          <w:color w:val="000000" w:themeColor="text1"/>
          <w:szCs w:val="22"/>
          <w:lang w:val="en-AU" w:eastAsia="en-AU"/>
        </w:rPr>
        <w:t xml:space="preserve"> The secondary plume-type was chosen over primary plume-type waters this gradient provides greater distinction across the reefs sampled – Primary plume exposure tends to be limited to a</w:t>
      </w:r>
      <w:r w:rsidR="009B773D">
        <w:rPr>
          <w:rFonts w:cs="Arial"/>
          <w:color w:val="000000" w:themeColor="text1"/>
          <w:szCs w:val="22"/>
          <w:lang w:val="en-AU" w:eastAsia="en-AU"/>
        </w:rPr>
        <w:t>reas closer inshore than the</w:t>
      </w:r>
      <w:r w:rsidR="00956827" w:rsidRPr="00023B99">
        <w:rPr>
          <w:rFonts w:cs="Arial"/>
          <w:color w:val="000000" w:themeColor="text1"/>
          <w:szCs w:val="22"/>
          <w:lang w:val="en-AU" w:eastAsia="en-AU"/>
        </w:rPr>
        <w:t xml:space="preserve"> reefs sampled (</w:t>
      </w:r>
      <w:r w:rsidR="006A31B8">
        <w:rPr>
          <w:rFonts w:cs="Arial"/>
          <w:color w:val="000000" w:themeColor="text1"/>
          <w:szCs w:val="22"/>
          <w:lang w:val="en-AU" w:eastAsia="en-AU"/>
        </w:rPr>
        <w:fldChar w:fldCharType="begin"/>
      </w:r>
      <w:r w:rsidR="006A31B8">
        <w:rPr>
          <w:rFonts w:cs="Arial"/>
          <w:color w:val="000000" w:themeColor="text1"/>
          <w:szCs w:val="22"/>
          <w:lang w:val="en-AU" w:eastAsia="en-AU"/>
        </w:rPr>
        <w:instrText xml:space="preserve"> REF _Ref460491734 \h </w:instrText>
      </w:r>
      <w:r w:rsidR="006A31B8">
        <w:rPr>
          <w:rFonts w:cs="Arial"/>
          <w:color w:val="000000" w:themeColor="text1"/>
          <w:szCs w:val="22"/>
          <w:lang w:val="en-AU" w:eastAsia="en-AU"/>
        </w:rPr>
      </w:r>
      <w:r w:rsidR="006A31B8">
        <w:rPr>
          <w:rFonts w:cs="Arial"/>
          <w:color w:val="000000" w:themeColor="text1"/>
          <w:szCs w:val="22"/>
          <w:lang w:val="en-AU" w:eastAsia="en-AU"/>
        </w:rPr>
        <w:fldChar w:fldCharType="separate"/>
      </w:r>
      <w:r w:rsidR="00B61881">
        <w:t xml:space="preserve">Figure </w:t>
      </w:r>
      <w:proofErr w:type="gramStart"/>
      <w:r w:rsidR="00B61881">
        <w:t>A</w:t>
      </w:r>
      <w:proofErr w:type="gramEnd"/>
      <w:r w:rsidR="00B61881">
        <w:t xml:space="preserve"> </w:t>
      </w:r>
      <w:r w:rsidR="00B61881">
        <w:rPr>
          <w:noProof/>
        </w:rPr>
        <w:t>9</w:t>
      </w:r>
      <w:r w:rsidR="006A31B8">
        <w:rPr>
          <w:rFonts w:cs="Arial"/>
          <w:color w:val="000000" w:themeColor="text1"/>
          <w:szCs w:val="22"/>
          <w:lang w:val="en-AU" w:eastAsia="en-AU"/>
        </w:rPr>
        <w:fldChar w:fldCharType="end"/>
      </w:r>
      <w:r w:rsidR="00956827" w:rsidRPr="00023B99">
        <w:rPr>
          <w:rFonts w:cs="Arial"/>
          <w:color w:val="000000" w:themeColor="text1"/>
          <w:szCs w:val="22"/>
          <w:lang w:val="en-AU" w:eastAsia="en-AU"/>
        </w:rPr>
        <w:t xml:space="preserve">). </w:t>
      </w:r>
      <w:r w:rsidR="009B773D">
        <w:rPr>
          <w:rFonts w:cs="Arial"/>
          <w:color w:val="000000" w:themeColor="text1"/>
          <w:szCs w:val="22"/>
          <w:lang w:val="en-AU" w:eastAsia="en-AU"/>
        </w:rPr>
        <w:t>It is important to note that the classifications for plume types are mutually exclusive and as such there appears to be a decline in exposure to secondary plume ty</w:t>
      </w:r>
      <w:r w:rsidR="004304DE">
        <w:rPr>
          <w:rFonts w:cs="Arial"/>
          <w:color w:val="000000" w:themeColor="text1"/>
          <w:szCs w:val="22"/>
          <w:lang w:val="en-AU" w:eastAsia="en-AU"/>
        </w:rPr>
        <w:t>pe waters toward the coast;</w:t>
      </w:r>
      <w:r w:rsidR="009B773D">
        <w:rPr>
          <w:rFonts w:cs="Arial"/>
          <w:color w:val="000000" w:themeColor="text1"/>
          <w:szCs w:val="22"/>
          <w:lang w:val="en-AU" w:eastAsia="en-AU"/>
        </w:rPr>
        <w:t xml:space="preserve"> this is an artefact of those waters being classified as primary plume type waters for much of the wet season.  </w:t>
      </w:r>
    </w:p>
    <w:p w14:paraId="3AA3A358" w14:textId="77777777" w:rsidR="001252BF" w:rsidRDefault="00C56729" w:rsidP="00FA06C2">
      <w:pPr>
        <w:pStyle w:val="ListParagraph"/>
        <w:numPr>
          <w:ilvl w:val="0"/>
          <w:numId w:val="48"/>
        </w:numPr>
        <w:ind w:left="360"/>
      </w:pPr>
      <w:r>
        <w:t xml:space="preserve">A breakdown of disturbance history. Loss of coral cover can result from a range of disturbances or pressures making the disturbance history of a location important background for interpreting observed </w:t>
      </w:r>
      <w:r w:rsidR="00DE2118">
        <w:t>coral index scores</w:t>
      </w:r>
      <w:r>
        <w:t xml:space="preserve">. Disturbance histories are </w:t>
      </w:r>
      <w:r w:rsidR="00A76024">
        <w:t xml:space="preserve">presented as pie charts that aggregate disturbances observed </w:t>
      </w:r>
      <w:r w:rsidR="00427ACC">
        <w:t>at 2m and 5m depths separately.</w:t>
      </w:r>
      <w:r w:rsidR="00A76024">
        <w:t xml:space="preserve"> For each observation of hard coral cover at a reef and depth the observation was categorised by any disturbance that had impacted the reef since the previous observation and the proportion of cover lost calculated as: </w:t>
      </w:r>
    </w:p>
    <w:p w14:paraId="32BE4262" w14:textId="77777777" w:rsidR="00023B99" w:rsidRDefault="00A76024" w:rsidP="001252BF">
      <w:pPr>
        <w:pStyle w:val="ListParagraph"/>
        <w:ind w:left="360"/>
      </w:pPr>
      <w:r>
        <w:br/>
      </w:r>
      <w:r>
        <w:br/>
      </w:r>
      <m:oMathPara>
        <m:oMath>
          <m:r>
            <w:rPr>
              <w:rFonts w:ascii="Cambria Math" w:hAnsi="Cambria Math"/>
            </w:rPr>
            <m:t>Loss</m:t>
          </m:r>
          <m:r>
            <m:rPr>
              <m:sty m:val="p"/>
            </m:rPr>
            <w:rPr>
              <w:rFonts w:ascii="Cambria Math" w:hAnsi="Cambria Math"/>
            </w:rPr>
            <m:t xml:space="preserve">= </m:t>
          </m:r>
          <m:f>
            <m:fPr>
              <m:ctrlPr>
                <w:rPr>
                  <w:rFonts w:ascii="Cambria Math" w:hAnsi="Cambria Math"/>
                </w:rPr>
              </m:ctrlPr>
            </m:fPr>
            <m:num>
              <m:r>
                <w:rPr>
                  <w:rFonts w:ascii="Cambria Math" w:hAnsi="Cambria Math"/>
                </w:rPr>
                <m:t>observed</m:t>
              </m:r>
              <m:r>
                <m:rPr>
                  <m:sty m:val="p"/>
                </m:rPr>
                <w:rPr>
                  <w:rFonts w:ascii="Cambria Math" w:hAnsi="Cambria Math"/>
                </w:rPr>
                <m:t>-</m:t>
              </m:r>
              <m:r>
                <w:rPr>
                  <w:rFonts w:ascii="Cambria Math" w:hAnsi="Cambria Math"/>
                </w:rPr>
                <m:t>predicted</m:t>
              </m:r>
            </m:num>
            <m:den>
              <m:r>
                <w:rPr>
                  <w:rFonts w:ascii="Cambria Math" w:hAnsi="Cambria Math"/>
                </w:rPr>
                <m:t>predicted</m:t>
              </m:r>
            </m:den>
          </m:f>
          <m:r>
            <m:rPr>
              <m:sty m:val="p"/>
            </m:rPr>
            <w:rPr>
              <w:rFonts w:ascii="Cambria Math" w:hAnsi="Cambria Math"/>
            </w:rPr>
            <w:br/>
          </m:r>
        </m:oMath>
        <m:oMath>
          <m:r>
            <m:rPr>
              <m:sty m:val="p"/>
            </m:rPr>
            <w:rPr>
              <w:rFonts w:ascii="Cambria Math" w:hAnsi="Cambria Math"/>
            </w:rPr>
            <w:br/>
          </m:r>
          <m:r>
            <m:rPr>
              <m:sty m:val="p"/>
            </m:rPr>
            <w:rPr>
              <w:rFonts w:ascii="Cambria Math" w:hAnsi="Cambria Math"/>
            </w:rPr>
            <m:t>w</m:t>
          </m:r>
        </m:oMath>
      </m:oMathPara>
      <w:proofErr w:type="gramStart"/>
      <w:r>
        <w:t>here</w:t>
      </w:r>
      <w:proofErr w:type="gramEnd"/>
      <w:r>
        <w:t xml:space="preserve">, </w:t>
      </w:r>
      <w:r w:rsidRPr="00023B99">
        <w:rPr>
          <w:i/>
        </w:rPr>
        <w:t>observed</w:t>
      </w:r>
      <w:r>
        <w:t xml:space="preserve"> was the hard coral cover observed, and </w:t>
      </w:r>
      <w:r w:rsidRPr="00023B99">
        <w:rPr>
          <w:i/>
        </w:rPr>
        <w:t>predicted</w:t>
      </w:r>
      <w:r>
        <w:t xml:space="preserve"> was the coral cover predict</w:t>
      </w:r>
      <w:r w:rsidR="00C56729">
        <w:t>ed from the application of the c</w:t>
      </w:r>
      <w:r>
        <w:t xml:space="preserve">oral growth model described in detail in </w:t>
      </w:r>
      <w:r w:rsidR="002A32AE">
        <w:t>Section 6</w:t>
      </w:r>
      <w:r w:rsidR="00427ACC">
        <w:t xml:space="preserve">. </w:t>
      </w:r>
      <w:r>
        <w:t xml:space="preserve">The mean cover lost per year per reef was calculated from the aggregation of </w:t>
      </w:r>
      <w:r w:rsidRPr="00023B99">
        <w:rPr>
          <w:i/>
        </w:rPr>
        <w:t>Loss</w:t>
      </w:r>
      <w:r>
        <w:t xml:space="preserve"> for each disturbance type. </w:t>
      </w:r>
      <w:r w:rsidR="00C56729">
        <w:t>Within the time-series for coral cover on inshore reefs six disturbance categories were applied</w:t>
      </w:r>
      <w:r w:rsidR="00023B99">
        <w:t xml:space="preserve"> (Table </w:t>
      </w:r>
      <w:r w:rsidR="000450F4">
        <w:t>3</w:t>
      </w:r>
      <w:r w:rsidR="00023B99">
        <w:t xml:space="preserve">). </w:t>
      </w:r>
      <w:r w:rsidR="009102AB">
        <w:t xml:space="preserve">It is important to note that for each loss attributed to a specific disturbance any cumulative impact of water </w:t>
      </w:r>
      <w:r w:rsidR="00427ACC">
        <w:t>quality is implicitly included.</w:t>
      </w:r>
      <w:r>
        <w:t xml:space="preserve"> For reference among regions the size of the pies were scaled to the maximum rate of hard coral cover loss observed across regions of 16% per reef per year at 2m depth in the Herbert – Tully sub-region.</w:t>
      </w:r>
    </w:p>
    <w:p w14:paraId="48057428" w14:textId="77777777" w:rsidR="00023B99" w:rsidRDefault="0026052F" w:rsidP="0026052F">
      <w:pPr>
        <w:pStyle w:val="Caption"/>
      </w:pPr>
      <w:bookmarkStart w:id="88" w:name="_Toc453855050"/>
      <w:r>
        <w:lastRenderedPageBreak/>
        <w:t xml:space="preserve">Table </w:t>
      </w:r>
      <w:r w:rsidR="005D2F9F">
        <w:fldChar w:fldCharType="begin"/>
      </w:r>
      <w:r w:rsidR="005D2F9F">
        <w:instrText xml:space="preserve"> SEQ Table \* ARABIC </w:instrText>
      </w:r>
      <w:r w:rsidR="005D2F9F">
        <w:fldChar w:fldCharType="separate"/>
      </w:r>
      <w:r w:rsidR="00B61881">
        <w:rPr>
          <w:noProof/>
        </w:rPr>
        <w:t>3</w:t>
      </w:r>
      <w:r w:rsidR="005D2F9F">
        <w:rPr>
          <w:noProof/>
        </w:rPr>
        <w:fldChar w:fldCharType="end"/>
      </w:r>
      <w:r>
        <w:t>:</w:t>
      </w:r>
      <w:r w:rsidR="00F42F2D">
        <w:t xml:space="preserve"> Categorisation of dist</w:t>
      </w:r>
      <w:r w:rsidR="00BA3C71">
        <w:t>u</w:t>
      </w:r>
      <w:r w:rsidR="00F42F2D">
        <w:t>rbances</w:t>
      </w:r>
      <w:bookmarkEnd w:id="88"/>
    </w:p>
    <w:tbl>
      <w:tblPr>
        <w:tblStyle w:val="TableGrid"/>
        <w:tblW w:w="0" w:type="auto"/>
        <w:tblInd w:w="360" w:type="dxa"/>
        <w:tblLook w:val="04A0" w:firstRow="1" w:lastRow="0" w:firstColumn="1" w:lastColumn="0" w:noHBand="0" w:noVBand="1"/>
        <w:tblCaption w:val="Table 3: Categorisation of disturbances"/>
        <w:tblDescription w:val="The main disturbances are categorised here. They include:Bleaching, COTS, disease, flood, storm, and 'combination'. "/>
      </w:tblPr>
      <w:tblGrid>
        <w:gridCol w:w="2300"/>
        <w:gridCol w:w="7195"/>
      </w:tblGrid>
      <w:tr w:rsidR="00023B99" w14:paraId="0E4C2B72" w14:textId="77777777" w:rsidTr="00505C03">
        <w:trPr>
          <w:trHeight w:val="286"/>
          <w:tblHeader/>
        </w:trPr>
        <w:tc>
          <w:tcPr>
            <w:tcW w:w="2300" w:type="dxa"/>
          </w:tcPr>
          <w:p w14:paraId="1445F21C" w14:textId="77777777" w:rsidR="00023B99" w:rsidRDefault="00F42F2D" w:rsidP="00023B99">
            <w:pPr>
              <w:pStyle w:val="ListParagraph"/>
              <w:ind w:left="0"/>
            </w:pPr>
            <w:r>
              <w:t>Bleaching</w:t>
            </w:r>
          </w:p>
        </w:tc>
        <w:tc>
          <w:tcPr>
            <w:tcW w:w="7195" w:type="dxa"/>
          </w:tcPr>
          <w:p w14:paraId="5A65CBE6" w14:textId="77777777" w:rsidR="00023B99" w:rsidRDefault="00F42F2D" w:rsidP="00F42F2D">
            <w:pPr>
              <w:pStyle w:val="ListParagraph"/>
              <w:ind w:left="0"/>
            </w:pPr>
            <w:r>
              <w:t>Greater than 60 degree heating days (see temperature figure description below) in the region during the preceding summer with observations of coral bleaching also considered.</w:t>
            </w:r>
          </w:p>
        </w:tc>
      </w:tr>
      <w:tr w:rsidR="00023B99" w14:paraId="70548EC5" w14:textId="77777777" w:rsidTr="00FA06C2">
        <w:tc>
          <w:tcPr>
            <w:tcW w:w="2300" w:type="dxa"/>
          </w:tcPr>
          <w:p w14:paraId="1B2B75AE" w14:textId="77777777" w:rsidR="00023B99" w:rsidRDefault="00F42F2D" w:rsidP="00023B99">
            <w:pPr>
              <w:pStyle w:val="ListParagraph"/>
              <w:ind w:left="0"/>
            </w:pPr>
            <w:r>
              <w:t>COTS</w:t>
            </w:r>
          </w:p>
        </w:tc>
        <w:tc>
          <w:tcPr>
            <w:tcW w:w="7195" w:type="dxa"/>
          </w:tcPr>
          <w:p w14:paraId="6D4E4FB4" w14:textId="77777777" w:rsidR="00023B99" w:rsidRDefault="0057143E" w:rsidP="0057143E">
            <w:pPr>
              <w:pStyle w:val="ListParagraph"/>
              <w:ind w:left="0"/>
            </w:pPr>
            <w:r>
              <w:t>SCUBA search revealing &gt; 40 ha</w:t>
            </w:r>
            <w:r w:rsidRPr="00280D54">
              <w:rPr>
                <w:vertAlign w:val="superscript"/>
              </w:rPr>
              <w:t>-1</w:t>
            </w:r>
            <w:r w:rsidR="00F42F2D">
              <w:t xml:space="preserve"> </w:t>
            </w:r>
            <w:r>
              <w:t xml:space="preserve">density </w:t>
            </w:r>
            <w:r w:rsidR="00F42F2D">
              <w:t>of crown-of-thorns during present or previous survey</w:t>
            </w:r>
            <w:r>
              <w:t xml:space="preserve"> of the reef</w:t>
            </w:r>
          </w:p>
        </w:tc>
      </w:tr>
      <w:tr w:rsidR="00023B99" w14:paraId="5D97F3B4" w14:textId="77777777" w:rsidTr="00FA06C2">
        <w:tc>
          <w:tcPr>
            <w:tcW w:w="2300" w:type="dxa"/>
          </w:tcPr>
          <w:p w14:paraId="76F6086F" w14:textId="77777777" w:rsidR="00023B99" w:rsidRDefault="0057143E" w:rsidP="00023B99">
            <w:pPr>
              <w:pStyle w:val="ListParagraph"/>
              <w:ind w:left="0"/>
            </w:pPr>
            <w:r>
              <w:t>Disease</w:t>
            </w:r>
          </w:p>
        </w:tc>
        <w:tc>
          <w:tcPr>
            <w:tcW w:w="7195" w:type="dxa"/>
          </w:tcPr>
          <w:p w14:paraId="57AE87AE" w14:textId="77777777" w:rsidR="00023B99" w:rsidRDefault="0057143E" w:rsidP="0057143E">
            <w:pPr>
              <w:pStyle w:val="ListParagraph"/>
              <w:ind w:left="0"/>
            </w:pPr>
            <w:r>
              <w:t>SCUBA search revealing above median incidence of coral disease during present or previous survey of the reef coinciding with decline in coral cover</w:t>
            </w:r>
          </w:p>
        </w:tc>
      </w:tr>
      <w:tr w:rsidR="00023B99" w14:paraId="335C1018" w14:textId="77777777" w:rsidTr="00FA06C2">
        <w:tc>
          <w:tcPr>
            <w:tcW w:w="2300" w:type="dxa"/>
          </w:tcPr>
          <w:p w14:paraId="296D23E6" w14:textId="77777777" w:rsidR="00023B99" w:rsidRDefault="0057143E" w:rsidP="00023B99">
            <w:pPr>
              <w:pStyle w:val="ListParagraph"/>
              <w:ind w:left="0"/>
            </w:pPr>
            <w:r>
              <w:t>Flood</w:t>
            </w:r>
          </w:p>
        </w:tc>
        <w:tc>
          <w:tcPr>
            <w:tcW w:w="7195" w:type="dxa"/>
          </w:tcPr>
          <w:p w14:paraId="5B06EA6C" w14:textId="77777777" w:rsidR="00023B99" w:rsidRDefault="0057143E" w:rsidP="006B0144">
            <w:pPr>
              <w:pStyle w:val="ListParagraph"/>
              <w:ind w:left="0"/>
            </w:pPr>
            <w:r>
              <w:t xml:space="preserve">Loss of cover coinciding with flooding in the preceding summer. Reserved for instances where exposure to low salinity can reasonably be inferred. An exception was classification of a flood effect in the Whitsundays region based on high levels of sediment deposition to corals. This classification has been retained </w:t>
            </w:r>
            <w:r w:rsidR="006B0144">
              <w:t>for historical reasons and would not be classified as a flood effect under the current criteria</w:t>
            </w:r>
          </w:p>
        </w:tc>
      </w:tr>
      <w:tr w:rsidR="00023B99" w14:paraId="2142488F" w14:textId="77777777" w:rsidTr="00FA06C2">
        <w:tc>
          <w:tcPr>
            <w:tcW w:w="2300" w:type="dxa"/>
          </w:tcPr>
          <w:p w14:paraId="6DE240E8" w14:textId="77777777" w:rsidR="00023B99" w:rsidRDefault="006B0144" w:rsidP="00023B99">
            <w:pPr>
              <w:pStyle w:val="ListParagraph"/>
              <w:ind w:left="0"/>
            </w:pPr>
            <w:r>
              <w:t>Storm</w:t>
            </w:r>
          </w:p>
        </w:tc>
        <w:tc>
          <w:tcPr>
            <w:tcW w:w="7195" w:type="dxa"/>
          </w:tcPr>
          <w:p w14:paraId="1BE0FC78" w14:textId="77777777" w:rsidR="00023B99" w:rsidRDefault="006B0144" w:rsidP="00886358">
            <w:pPr>
              <w:pStyle w:val="ListParagraph"/>
              <w:ind w:left="0"/>
            </w:pPr>
            <w:r>
              <w:t xml:space="preserve">Observations of physical damage to corals </w:t>
            </w:r>
            <w:r w:rsidR="00886358">
              <w:t xml:space="preserve">during survey that can </w:t>
            </w:r>
            <w:r>
              <w:t xml:space="preserve">reasonably </w:t>
            </w:r>
            <w:r w:rsidR="00886358">
              <w:t xml:space="preserve">be </w:t>
            </w:r>
            <w:r>
              <w:t xml:space="preserve">attributable to a storm or cyclone event based </w:t>
            </w:r>
            <w:r w:rsidR="00886358">
              <w:t xml:space="preserve">nature of damage and the </w:t>
            </w:r>
            <w:r>
              <w:t>proximity of the reef to storm or cyclone path</w:t>
            </w:r>
            <w:r w:rsidR="00886358">
              <w:t>s</w:t>
            </w:r>
            <w:r>
              <w:t>.</w:t>
            </w:r>
          </w:p>
        </w:tc>
      </w:tr>
      <w:tr w:rsidR="00886358" w14:paraId="141CD774" w14:textId="77777777" w:rsidTr="00FA06C2">
        <w:tc>
          <w:tcPr>
            <w:tcW w:w="2300" w:type="dxa"/>
          </w:tcPr>
          <w:p w14:paraId="06E65BF0" w14:textId="77777777" w:rsidR="00886358" w:rsidRDefault="00886358" w:rsidP="00023B99">
            <w:pPr>
              <w:pStyle w:val="ListParagraph"/>
              <w:ind w:left="0"/>
            </w:pPr>
            <w:r>
              <w:t>Multiple</w:t>
            </w:r>
          </w:p>
        </w:tc>
        <w:tc>
          <w:tcPr>
            <w:tcW w:w="7195" w:type="dxa"/>
          </w:tcPr>
          <w:p w14:paraId="4E61AC53" w14:textId="77777777" w:rsidR="00886358" w:rsidRDefault="00886358" w:rsidP="006B0144">
            <w:pPr>
              <w:pStyle w:val="ListParagraph"/>
              <w:ind w:left="0"/>
            </w:pPr>
            <w:r>
              <w:t>When a combination of the above occur</w:t>
            </w:r>
          </w:p>
        </w:tc>
      </w:tr>
      <w:tr w:rsidR="00886358" w14:paraId="4E3A88CE" w14:textId="77777777" w:rsidTr="00FA06C2">
        <w:tc>
          <w:tcPr>
            <w:tcW w:w="2300" w:type="dxa"/>
          </w:tcPr>
          <w:p w14:paraId="318234D0" w14:textId="77777777" w:rsidR="00886358" w:rsidRDefault="00886358" w:rsidP="00023B99">
            <w:pPr>
              <w:pStyle w:val="ListParagraph"/>
              <w:ind w:left="0"/>
            </w:pPr>
            <w:r>
              <w:t>None</w:t>
            </w:r>
          </w:p>
        </w:tc>
        <w:tc>
          <w:tcPr>
            <w:tcW w:w="7195" w:type="dxa"/>
          </w:tcPr>
          <w:p w14:paraId="6B30E7D3" w14:textId="77777777" w:rsidR="00886358" w:rsidRDefault="00886358" w:rsidP="00023B99">
            <w:pPr>
              <w:pStyle w:val="ListParagraph"/>
              <w:ind w:left="0"/>
            </w:pPr>
            <w:r>
              <w:t xml:space="preserve">In years that no acute disturbance was recorded a </w:t>
            </w:r>
            <w:r w:rsidRPr="00023B99">
              <w:rPr>
                <w:i/>
              </w:rPr>
              <w:t>Loss</w:t>
            </w:r>
            <w:r>
              <w:t xml:space="preserve"> was recorded when </w:t>
            </w:r>
            <w:r w:rsidRPr="00023B99">
              <w:rPr>
                <w:i/>
              </w:rPr>
              <w:t>observed</w:t>
            </w:r>
            <w:r>
              <w:t xml:space="preserve"> hard coral cover fell below the </w:t>
            </w:r>
            <w:r w:rsidRPr="00023B99">
              <w:rPr>
                <w:i/>
              </w:rPr>
              <w:t>predicted</w:t>
            </w:r>
            <w:r>
              <w:t xml:space="preserve"> cover and these losses classified as disturbance type ‘None’. This categorisation will include the cumulative impacts of minor exposure to any of the above disturbances along with chronic environmental conditions.</w:t>
            </w:r>
            <w:r w:rsidR="00BA3C71">
              <w:t xml:space="preserve"> Importantly as estimates for each disturbance are a mean and the disturbance categorisation none includes all non-disturbance observations any proportion of </w:t>
            </w:r>
            <w:r w:rsidR="00FA06C2">
              <w:t>loss attributed</w:t>
            </w:r>
            <w:r w:rsidR="00BA3C71">
              <w:t xml:space="preserve"> to this category represents a mean under performance in rate of cover increase overall yeas for which reefs were not subject to an acute disturbance.</w:t>
            </w:r>
          </w:p>
        </w:tc>
      </w:tr>
      <w:tr w:rsidR="00886358" w14:paraId="3CA00BEE" w14:textId="77777777" w:rsidTr="00FA06C2">
        <w:tc>
          <w:tcPr>
            <w:tcW w:w="2300" w:type="dxa"/>
          </w:tcPr>
          <w:p w14:paraId="369F2A1E" w14:textId="77777777" w:rsidR="00886358" w:rsidRDefault="00DD4164" w:rsidP="00023B99">
            <w:pPr>
              <w:pStyle w:val="ListParagraph"/>
              <w:ind w:left="0"/>
            </w:pPr>
            <w:r>
              <w:t>“Water Quality”</w:t>
            </w:r>
          </w:p>
        </w:tc>
        <w:tc>
          <w:tcPr>
            <w:tcW w:w="7195" w:type="dxa"/>
          </w:tcPr>
          <w:p w14:paraId="131F8E3A" w14:textId="77777777" w:rsidR="00886358" w:rsidRDefault="00DD4164" w:rsidP="009F7C80">
            <w:pPr>
              <w:pStyle w:val="ListParagraph"/>
              <w:ind w:left="0"/>
            </w:pPr>
            <w:r>
              <w:t>The impact of water quality cannot be directly measured, however</w:t>
            </w:r>
            <w:r w:rsidR="009F7C80">
              <w:t>,</w:t>
            </w:r>
            <w:r>
              <w:t xml:space="preserve"> as a  generalisation the combined loss of cover attributed to “None” and “Disease” can be assumed to represent reduced rates of coral cover increase as a result of </w:t>
            </w:r>
            <w:r w:rsidR="004469BD">
              <w:t>chronic environmental pressures including poor water quality.</w:t>
            </w:r>
          </w:p>
        </w:tc>
      </w:tr>
    </w:tbl>
    <w:p w14:paraId="62F68087" w14:textId="77777777" w:rsidR="00023B99" w:rsidRDefault="00023B99" w:rsidP="00FA06C2">
      <w:pPr>
        <w:pStyle w:val="ListParagraph"/>
        <w:ind w:left="360"/>
      </w:pPr>
    </w:p>
    <w:p w14:paraId="25AD976E" w14:textId="77777777" w:rsidR="00FA06C2" w:rsidRPr="00FA06C2" w:rsidRDefault="00217133" w:rsidP="00FA06C2">
      <w:pPr>
        <w:pStyle w:val="ListParagraph"/>
        <w:numPr>
          <w:ilvl w:val="0"/>
          <w:numId w:val="48"/>
        </w:numPr>
        <w:ind w:left="360"/>
      </w:pPr>
      <w:r>
        <w:t>Temperature</w:t>
      </w:r>
      <w:r w:rsidR="00A76024">
        <w:t xml:space="preserve"> records</w:t>
      </w:r>
      <w:r>
        <w:t xml:space="preserve">. Data from temperature loggers </w:t>
      </w:r>
      <w:r w:rsidR="00A76024">
        <w:t>deployed at the monitoring locations with</w:t>
      </w:r>
      <w:r w:rsidR="00886358">
        <w:t>in</w:t>
      </w:r>
      <w:r w:rsidR="00A76024">
        <w:t xml:space="preserve"> the </w:t>
      </w:r>
      <w:r w:rsidR="00886358">
        <w:t>(</w:t>
      </w:r>
      <w:r w:rsidR="00A76024">
        <w:t>sub</w:t>
      </w:r>
      <w:r w:rsidR="00886358">
        <w:t>) region w</w:t>
      </w:r>
      <w:r w:rsidR="00A76024">
        <w:t xml:space="preserve">ere averaged to derive a mean daily temperature estimates. Time series analyses were applied to these estimates over the period 2005-2015 to describe a </w:t>
      </w:r>
      <w:r w:rsidR="00886358">
        <w:t>season</w:t>
      </w:r>
      <w:r w:rsidR="00A76024">
        <w:t xml:space="preserve"> temperature profile. Data are presented as deviations of mean regional daily temperature from the seasonal baseline. </w:t>
      </w:r>
      <w:r w:rsidR="00886358" w:rsidRPr="002710DB">
        <w:t xml:space="preserve">This presentation of the data allows the easy visualisation of a-seasonally high or low temperatures and so the identification of periods likely to have resulted in thermal stress to coral communities. </w:t>
      </w:r>
      <w:r w:rsidR="004D2B29">
        <w:t xml:space="preserve">Additionally, </w:t>
      </w:r>
      <w:r w:rsidR="004D2B29" w:rsidRPr="00FA06C2">
        <w:rPr>
          <w:rFonts w:eastAsia="SimSun" w:cs="Arial"/>
          <w:bCs/>
          <w:color w:val="000000" w:themeColor="text1"/>
          <w:szCs w:val="22"/>
        </w:rPr>
        <w:t>Degree Heating Days (DHD) for each summer w</w:t>
      </w:r>
      <w:r w:rsidR="00886358" w:rsidRPr="00FA06C2">
        <w:rPr>
          <w:rFonts w:eastAsia="SimSun" w:cs="Arial"/>
          <w:bCs/>
          <w:color w:val="000000" w:themeColor="text1"/>
          <w:szCs w:val="22"/>
        </w:rPr>
        <w:t>ere</w:t>
      </w:r>
      <w:r w:rsidR="004D2B29" w:rsidRPr="00FA06C2">
        <w:rPr>
          <w:rFonts w:eastAsia="SimSun" w:cs="Arial"/>
          <w:bCs/>
          <w:color w:val="000000" w:themeColor="text1"/>
          <w:szCs w:val="22"/>
        </w:rPr>
        <w:t xml:space="preserve"> calculated as the sum of daily positive deviations of (sub) regional mean temperature from the long-term seasonal average – a one degree exceedance for one day equates to one degree heating day. DHD values for each location and summer season (December 1</w:t>
      </w:r>
      <w:r w:rsidR="004D2B29" w:rsidRPr="00FA06C2">
        <w:rPr>
          <w:rFonts w:eastAsia="SimSun" w:cs="Arial"/>
          <w:bCs/>
          <w:color w:val="000000" w:themeColor="text1"/>
          <w:szCs w:val="22"/>
          <w:vertAlign w:val="superscript"/>
        </w:rPr>
        <w:t>st</w:t>
      </w:r>
      <w:r w:rsidR="004D2B29" w:rsidRPr="00FA06C2">
        <w:rPr>
          <w:rFonts w:eastAsia="SimSun" w:cs="Arial"/>
          <w:bCs/>
          <w:color w:val="000000" w:themeColor="text1"/>
          <w:szCs w:val="22"/>
        </w:rPr>
        <w:t xml:space="preserve"> to March 31</w:t>
      </w:r>
      <w:r w:rsidR="004D2B29" w:rsidRPr="00FA06C2">
        <w:rPr>
          <w:rFonts w:eastAsia="SimSun" w:cs="Arial"/>
          <w:bCs/>
          <w:color w:val="000000" w:themeColor="text1"/>
          <w:szCs w:val="22"/>
          <w:vertAlign w:val="superscript"/>
        </w:rPr>
        <w:t>st</w:t>
      </w:r>
      <w:r w:rsidR="004D2B29" w:rsidRPr="00FA06C2">
        <w:rPr>
          <w:rFonts w:eastAsia="SimSun" w:cs="Arial"/>
          <w:bCs/>
          <w:color w:val="000000" w:themeColor="text1"/>
          <w:szCs w:val="22"/>
        </w:rPr>
        <w:t xml:space="preserve">) were derived from the Bureau of </w:t>
      </w:r>
      <w:r w:rsidR="005C258D" w:rsidRPr="00FA06C2">
        <w:rPr>
          <w:rFonts w:eastAsia="SimSun" w:cs="Arial"/>
          <w:bCs/>
          <w:color w:val="000000" w:themeColor="text1"/>
          <w:szCs w:val="22"/>
        </w:rPr>
        <w:t>Meteorology</w:t>
      </w:r>
      <w:r w:rsidR="004D2B29" w:rsidRPr="00FA06C2">
        <w:rPr>
          <w:rFonts w:eastAsia="SimSun" w:cs="Arial"/>
          <w:bCs/>
          <w:color w:val="000000" w:themeColor="text1"/>
          <w:szCs w:val="22"/>
        </w:rPr>
        <w:t xml:space="preserve"> satellite-based interactive website </w:t>
      </w:r>
      <w:r w:rsidR="004D2B29">
        <w:t>ReefTemp Next Generation</w:t>
      </w:r>
      <w:r w:rsidR="005C258D">
        <w:t xml:space="preserve"> and based on 14 day IMOS climatology. ReefTemp Next Generation was</w:t>
      </w:r>
      <w:r w:rsidR="004D2B29">
        <w:t xml:space="preserve"> </w:t>
      </w:r>
      <w:r w:rsidR="004D2B29" w:rsidRPr="003E4B14">
        <w:t>developed through</w:t>
      </w:r>
      <w:r w:rsidR="004D2B29">
        <w:t xml:space="preserve"> the </w:t>
      </w:r>
      <w:r w:rsidR="004D2B29" w:rsidRPr="003E4B14">
        <w:t>Centre for Australian Weather and Climate Research (CAWCR) – a partnership between CSIRO and the Bureau of Meteorology</w:t>
      </w:r>
      <w:r w:rsidR="004D2B29">
        <w:t xml:space="preserve"> (</w:t>
      </w:r>
      <w:r w:rsidR="004D2B29" w:rsidRPr="003E4B14">
        <w:t xml:space="preserve">Garde </w:t>
      </w:r>
      <w:r w:rsidR="004D2B29" w:rsidRPr="00FA06C2">
        <w:rPr>
          <w:i/>
        </w:rPr>
        <w:t>et al.</w:t>
      </w:r>
      <w:r w:rsidR="004D2B29">
        <w:t xml:space="preserve"> </w:t>
      </w:r>
      <w:r w:rsidR="004D2B29" w:rsidRPr="003E4B14">
        <w:t>2014)</w:t>
      </w:r>
      <w:r w:rsidR="004D2B29">
        <w:t xml:space="preserve">. </w:t>
      </w:r>
      <w:r w:rsidR="004D2B29" w:rsidRPr="00FA06C2">
        <w:rPr>
          <w:rFonts w:eastAsia="SimSun" w:cs="Arial"/>
          <w:bCs/>
          <w:color w:val="000000" w:themeColor="text1"/>
          <w:szCs w:val="22"/>
        </w:rPr>
        <w:t xml:space="preserve">For DHD calculations in this report, the average DHD among nine 1km square pixels adjacent to each reef location within a (sub) region was used. </w:t>
      </w:r>
    </w:p>
    <w:p w14:paraId="0F972F61" w14:textId="77777777" w:rsidR="00FA06C2" w:rsidRDefault="00FA06C2" w:rsidP="00FA06C2">
      <w:pPr>
        <w:pStyle w:val="ListParagraph"/>
        <w:ind w:left="360"/>
      </w:pPr>
    </w:p>
    <w:p w14:paraId="36015C9A" w14:textId="77777777" w:rsidR="000176B0" w:rsidRPr="00FA06C2" w:rsidRDefault="00217133" w:rsidP="00FA06C2">
      <w:pPr>
        <w:pStyle w:val="ListParagraph"/>
        <w:numPr>
          <w:ilvl w:val="0"/>
          <w:numId w:val="48"/>
        </w:numPr>
        <w:ind w:left="360"/>
      </w:pPr>
      <w:r w:rsidRPr="00FA06C2">
        <w:t>River discharge. D</w:t>
      </w:r>
      <w:r w:rsidR="00A76024" w:rsidRPr="00FA06C2">
        <w:t xml:space="preserve">aily and annual records of river discharge </w:t>
      </w:r>
      <w:r w:rsidRPr="00FA06C2">
        <w:t xml:space="preserve">were </w:t>
      </w:r>
      <w:r w:rsidR="00A76024" w:rsidRPr="00FA06C2">
        <w:t xml:space="preserve">obtained from </w:t>
      </w:r>
      <w:r w:rsidRPr="00FA06C2">
        <w:t xml:space="preserve">Queensland Government Department of Natural Resources and Mines </w:t>
      </w:r>
      <w:r w:rsidR="00A76024" w:rsidRPr="00FA06C2">
        <w:t xml:space="preserve">river gauge stations </w:t>
      </w:r>
      <w:r w:rsidRPr="00FA06C2">
        <w:t xml:space="preserve">for </w:t>
      </w:r>
      <w:r w:rsidR="00A76024" w:rsidRPr="00FA06C2">
        <w:t xml:space="preserve">the </w:t>
      </w:r>
      <w:r w:rsidRPr="00FA06C2">
        <w:t xml:space="preserve">major rivers draining to the Reef. </w:t>
      </w:r>
      <w:r w:rsidR="00A76024" w:rsidRPr="00FA06C2">
        <w:t>A time series of these records are displayed with reference to the long-term median discharge for a particular river calculated over the 1970 to 2000 period. Total annual discharge for each water year, 1</w:t>
      </w:r>
      <w:r w:rsidR="00A76024" w:rsidRPr="00FA06C2">
        <w:rPr>
          <w:vertAlign w:val="superscript"/>
        </w:rPr>
        <w:t>st</w:t>
      </w:r>
      <w:r w:rsidR="00A76024" w:rsidRPr="00FA06C2">
        <w:t xml:space="preserve"> October to 30</w:t>
      </w:r>
      <w:r w:rsidR="00A76024" w:rsidRPr="00FA06C2">
        <w:rPr>
          <w:vertAlign w:val="superscript"/>
        </w:rPr>
        <w:t>th</w:t>
      </w:r>
      <w:r w:rsidR="00A76024" w:rsidRPr="00FA06C2">
        <w:t xml:space="preserve"> September, are </w:t>
      </w:r>
      <w:r w:rsidRPr="00FA06C2">
        <w:t xml:space="preserve">also </w:t>
      </w:r>
      <w:r w:rsidR="00A76024" w:rsidRPr="00FA06C2">
        <w:t>included.</w:t>
      </w:r>
    </w:p>
    <w:p w14:paraId="6D4A5AE8" w14:textId="77777777" w:rsidR="000C31DB" w:rsidRPr="000C31DB" w:rsidRDefault="000C31DB"/>
    <w:p w14:paraId="588E63C0" w14:textId="77777777" w:rsidR="0001199E" w:rsidRPr="0075225D" w:rsidRDefault="0001199E" w:rsidP="006D0A76">
      <w:pPr>
        <w:pStyle w:val="Heading1"/>
      </w:pPr>
      <w:bookmarkStart w:id="89" w:name="_Toc437424405"/>
      <w:bookmarkStart w:id="90" w:name="_Toc437424529"/>
      <w:bookmarkStart w:id="91" w:name="_Toc437432460"/>
      <w:bookmarkStart w:id="92" w:name="_Toc437432533"/>
      <w:bookmarkStart w:id="93" w:name="_Toc460490660"/>
      <w:r w:rsidRPr="0075225D">
        <w:lastRenderedPageBreak/>
        <w:t>Results and discussion</w:t>
      </w:r>
      <w:bookmarkEnd w:id="89"/>
      <w:bookmarkEnd w:id="90"/>
      <w:bookmarkEnd w:id="91"/>
      <w:bookmarkEnd w:id="92"/>
      <w:bookmarkEnd w:id="93"/>
    </w:p>
    <w:p w14:paraId="6995A51F" w14:textId="77777777" w:rsidR="0001199E" w:rsidRPr="00A17777" w:rsidRDefault="0001199E" w:rsidP="000176B0">
      <w:r w:rsidRPr="00A17777">
        <w:t>This section provides detailed trend analysis of</w:t>
      </w:r>
      <w:r>
        <w:t xml:space="preserve"> coral community condition indicators along with key water quality constituents and other </w:t>
      </w:r>
      <w:r w:rsidRPr="00A17777">
        <w:t>environmental drivers</w:t>
      </w:r>
      <w:r>
        <w:t xml:space="preserve"> of coral condition </w:t>
      </w:r>
      <w:r w:rsidRPr="00A17777">
        <w:t xml:space="preserve">within each region. For the Wet Tropics Region, data are presented for sub-regions corresponding to major catchments. </w:t>
      </w:r>
    </w:p>
    <w:p w14:paraId="2CEC9771" w14:textId="77777777" w:rsidR="00CD2E2F" w:rsidRDefault="0001199E" w:rsidP="000D268E">
      <w:pPr>
        <w:rPr>
          <w:color w:val="000000" w:themeColor="text1"/>
        </w:rPr>
      </w:pPr>
      <w:r w:rsidRPr="00A17777">
        <w:t xml:space="preserve">Specifically, the information provided here is focused on identification and interpretation of temporal trends observed in the </w:t>
      </w:r>
      <w:r>
        <w:t>coral</w:t>
      </w:r>
      <w:r w:rsidRPr="00A17777">
        <w:t xml:space="preserve"> community attributes monitored. For each region </w:t>
      </w:r>
      <w:r>
        <w:t xml:space="preserve">two panels of figures are presented. </w:t>
      </w:r>
      <w:r w:rsidRPr="00955667">
        <w:rPr>
          <w:color w:val="000000" w:themeColor="text1"/>
        </w:rPr>
        <w:t>The first summarises the environmental conditions and disturbance events experienced at the coral monitoring locations</w:t>
      </w:r>
      <w:r w:rsidR="009F7C80">
        <w:rPr>
          <w:color w:val="000000" w:themeColor="text1"/>
        </w:rPr>
        <w:t xml:space="preserve">. Collectively these environmental data summarise the key pressures that have influenced coral communities in the region and must be considered in the interpretation of trends in the coral index, the index’s constituent indicators and observed trends in turbidity and chlorophyll concentrations that are presented as a second panel. </w:t>
      </w:r>
    </w:p>
    <w:p w14:paraId="0B7A8339" w14:textId="77777777" w:rsidR="0001199E" w:rsidRPr="00A17777" w:rsidRDefault="0001199E" w:rsidP="000176B0">
      <w:pPr>
        <w:rPr>
          <w:color w:val="000000" w:themeColor="text1"/>
        </w:rPr>
      </w:pPr>
      <w:r w:rsidRPr="00A17777">
        <w:rPr>
          <w:color w:val="000000" w:themeColor="text1"/>
        </w:rPr>
        <w:t xml:space="preserve">Site-specific data and additional information tables are presented in Appendix </w:t>
      </w:r>
      <w:r w:rsidR="000D268E">
        <w:rPr>
          <w:color w:val="000000" w:themeColor="text1"/>
        </w:rPr>
        <w:t>1</w:t>
      </w:r>
      <w:r w:rsidR="000D268E" w:rsidRPr="00A17777">
        <w:rPr>
          <w:color w:val="000000" w:themeColor="text1"/>
        </w:rPr>
        <w:t xml:space="preserve"> </w:t>
      </w:r>
      <w:r w:rsidRPr="00A17777">
        <w:rPr>
          <w:color w:val="000000" w:themeColor="text1"/>
        </w:rPr>
        <w:t>(referred to by Figure and Table numbers prefixed “</w:t>
      </w:r>
      <w:r w:rsidR="002A32AE" w:rsidRPr="00A17777">
        <w:rPr>
          <w:color w:val="000000" w:themeColor="text1"/>
        </w:rPr>
        <w:t>A</w:t>
      </w:r>
      <w:r w:rsidRPr="00A17777">
        <w:rPr>
          <w:color w:val="000000" w:themeColor="text1"/>
        </w:rPr>
        <w:t>”) and may be referred to where specific detail is required. These more detailed data summaries include:</w:t>
      </w:r>
    </w:p>
    <w:p w14:paraId="7608EBE2" w14:textId="77777777" w:rsidR="0001199E" w:rsidRPr="005B6DEB" w:rsidRDefault="00CA29DC" w:rsidP="005B6DEB">
      <w:pPr>
        <w:pStyle w:val="ListParagraph"/>
        <w:numPr>
          <w:ilvl w:val="0"/>
          <w:numId w:val="35"/>
        </w:numPr>
        <w:rPr>
          <w:rFonts w:cs="Arial"/>
          <w:color w:val="000000" w:themeColor="text1"/>
          <w:szCs w:val="22"/>
        </w:rPr>
      </w:pPr>
      <w:r>
        <w:rPr>
          <w:rFonts w:cs="Arial"/>
          <w:color w:val="000000" w:themeColor="text1"/>
          <w:szCs w:val="22"/>
        </w:rPr>
        <w:fldChar w:fldCharType="begin"/>
      </w:r>
      <w:r>
        <w:rPr>
          <w:rStyle w:val="Heading6Char"/>
          <w:rFonts w:cs="Arial"/>
          <w:color w:val="000000" w:themeColor="text1"/>
          <w:sz w:val="22"/>
          <w:szCs w:val="22"/>
        </w:rPr>
        <w:instrText xml:space="preserve"> REF _Ref460423784 \h </w:instrText>
      </w:r>
      <w:r>
        <w:rPr>
          <w:rFonts w:cs="Arial"/>
          <w:color w:val="000000" w:themeColor="text1"/>
          <w:szCs w:val="22"/>
        </w:rPr>
      </w:r>
      <w:r>
        <w:rPr>
          <w:rFonts w:cs="Arial"/>
          <w:color w:val="000000" w:themeColor="text1"/>
          <w:szCs w:val="22"/>
        </w:rPr>
        <w:fldChar w:fldCharType="separate"/>
      </w:r>
      <w:r w:rsidR="00B61881">
        <w:t xml:space="preserve">Table A </w:t>
      </w:r>
      <w:r w:rsidR="00B61881">
        <w:rPr>
          <w:noProof/>
        </w:rPr>
        <w:t>1</w:t>
      </w:r>
      <w:r>
        <w:rPr>
          <w:rFonts w:cs="Arial"/>
          <w:color w:val="000000" w:themeColor="text1"/>
          <w:szCs w:val="22"/>
        </w:rPr>
        <w:fldChar w:fldCharType="end"/>
      </w:r>
      <w:r>
        <w:rPr>
          <w:rFonts w:cs="Arial"/>
          <w:color w:val="000000" w:themeColor="text1"/>
          <w:szCs w:val="22"/>
        </w:rPr>
        <w:t xml:space="preserve">: </w:t>
      </w:r>
      <w:r w:rsidR="0001199E" w:rsidRPr="005B6DEB">
        <w:rPr>
          <w:rStyle w:val="Heading6Char"/>
          <w:rFonts w:cs="Arial"/>
          <w:color w:val="000000" w:themeColor="text1"/>
          <w:sz w:val="22"/>
          <w:szCs w:val="22"/>
        </w:rPr>
        <w:t>Annual freshwater discharge for the major Reef Catchments</w:t>
      </w:r>
      <w:r w:rsidR="0001199E" w:rsidRPr="005B6DEB">
        <w:rPr>
          <w:rFonts w:cs="Arial"/>
          <w:color w:val="000000" w:themeColor="text1"/>
          <w:szCs w:val="22"/>
        </w:rPr>
        <w:t xml:space="preserve"> relative to long term medians</w:t>
      </w:r>
    </w:p>
    <w:p w14:paraId="4F4E368F" w14:textId="77777777" w:rsidR="0001199E" w:rsidRPr="005B6DEB" w:rsidRDefault="00CA29DC" w:rsidP="005B6DEB">
      <w:pPr>
        <w:pStyle w:val="ListParagraph"/>
        <w:numPr>
          <w:ilvl w:val="0"/>
          <w:numId w:val="35"/>
        </w:numPr>
        <w:rPr>
          <w:color w:val="000000" w:themeColor="text1"/>
        </w:rPr>
      </w:pPr>
      <w:r w:rsidRPr="00CA29DC">
        <w:fldChar w:fldCharType="begin"/>
      </w:r>
      <w:r w:rsidRPr="00CA29DC">
        <w:instrText xml:space="preserve"> REF _Ref460423821 \h </w:instrText>
      </w:r>
      <w:r>
        <w:instrText xml:space="preserve"> \* MERGEFORMAT </w:instrText>
      </w:r>
      <w:r w:rsidRPr="00CA29DC">
        <w:fldChar w:fldCharType="separate"/>
      </w:r>
      <w:r w:rsidR="00B61881" w:rsidRPr="00B61881">
        <w:rPr>
          <w:rFonts w:eastAsia="SimSun"/>
        </w:rPr>
        <w:t>Table A 2</w:t>
      </w:r>
      <w:r w:rsidRPr="00CA29DC">
        <w:fldChar w:fldCharType="end"/>
      </w:r>
      <w:r>
        <w:rPr>
          <w:color w:val="000000" w:themeColor="text1"/>
        </w:rPr>
        <w:t xml:space="preserve">: </w:t>
      </w:r>
      <w:r w:rsidR="0001199E" w:rsidRPr="005B6DEB">
        <w:rPr>
          <w:color w:val="000000" w:themeColor="text1"/>
        </w:rPr>
        <w:t>Chronology of disturbance to coral communities at each monitoring location.</w:t>
      </w:r>
    </w:p>
    <w:p w14:paraId="068FF6BA" w14:textId="77777777" w:rsidR="0001199E" w:rsidRPr="005B6DEB" w:rsidRDefault="00CA29DC" w:rsidP="005B6DEB">
      <w:pPr>
        <w:pStyle w:val="ListParagraph"/>
        <w:numPr>
          <w:ilvl w:val="0"/>
          <w:numId w:val="35"/>
        </w:numPr>
        <w:rPr>
          <w:color w:val="000000" w:themeColor="text1"/>
        </w:rPr>
      </w:pPr>
      <w:r w:rsidRPr="00CA29DC">
        <w:fldChar w:fldCharType="begin"/>
      </w:r>
      <w:r w:rsidRPr="00CA29DC">
        <w:instrText xml:space="preserve"> REF _Ref460423845 \h </w:instrText>
      </w:r>
      <w:r>
        <w:instrText xml:space="preserve"> \* MERGEFORMAT </w:instrText>
      </w:r>
      <w:r w:rsidRPr="00CA29DC">
        <w:fldChar w:fldCharType="separate"/>
      </w:r>
      <w:r w:rsidR="00B61881" w:rsidRPr="00B61881">
        <w:rPr>
          <w:rFonts w:eastAsia="SimSun"/>
        </w:rPr>
        <w:t>Table A 3</w:t>
      </w:r>
      <w:r w:rsidRPr="00CA29DC">
        <w:fldChar w:fldCharType="end"/>
      </w:r>
      <w:r w:rsidRPr="00CA29DC">
        <w:t xml:space="preserve">: </w:t>
      </w:r>
      <w:r w:rsidR="0001199E" w:rsidRPr="005B6DEB">
        <w:rPr>
          <w:color w:val="000000" w:themeColor="text1"/>
        </w:rPr>
        <w:t>Report card metric scores for coral communities at each monitoring location.</w:t>
      </w:r>
    </w:p>
    <w:p w14:paraId="5BF8EAD3" w14:textId="77777777" w:rsidR="0001199E" w:rsidRPr="006D3890" w:rsidRDefault="00CA29DC" w:rsidP="005B6DEB">
      <w:pPr>
        <w:pStyle w:val="ListParagraph"/>
        <w:numPr>
          <w:ilvl w:val="0"/>
          <w:numId w:val="35"/>
        </w:numPr>
      </w:pPr>
      <w:r>
        <w:fldChar w:fldCharType="begin"/>
      </w:r>
      <w:r>
        <w:instrText xml:space="preserve"> REF _Ref460423145 \h </w:instrText>
      </w:r>
      <w:r>
        <w:fldChar w:fldCharType="separate"/>
      </w:r>
      <w:r w:rsidR="00B61881">
        <w:t xml:space="preserve">Table A </w:t>
      </w:r>
      <w:r w:rsidR="00B61881">
        <w:rPr>
          <w:noProof/>
        </w:rPr>
        <w:t>4</w:t>
      </w:r>
      <w:r>
        <w:fldChar w:fldCharType="end"/>
      </w:r>
      <w:r>
        <w:t xml:space="preserve">: </w:t>
      </w:r>
      <w:r w:rsidR="0001199E" w:rsidRPr="006D3890">
        <w:t xml:space="preserve">Mean environmental conditions experienced at reef locations </w:t>
      </w:r>
    </w:p>
    <w:p w14:paraId="775595C3" w14:textId="77777777" w:rsidR="0001199E" w:rsidRPr="006D3890" w:rsidRDefault="00CA29DC" w:rsidP="005B6DEB">
      <w:pPr>
        <w:pStyle w:val="ListParagraph"/>
        <w:numPr>
          <w:ilvl w:val="0"/>
          <w:numId w:val="35"/>
        </w:numPr>
      </w:pPr>
      <w:r w:rsidRPr="00CA29DC">
        <w:fldChar w:fldCharType="begin"/>
      </w:r>
      <w:r w:rsidRPr="00CA29DC">
        <w:instrText xml:space="preserve"> REF _Ref460423873 \h </w:instrText>
      </w:r>
      <w:r>
        <w:instrText xml:space="preserve"> \* MERGEFORMAT </w:instrText>
      </w:r>
      <w:r w:rsidRPr="00CA29DC">
        <w:fldChar w:fldCharType="separate"/>
      </w:r>
      <w:r w:rsidR="00B61881" w:rsidRPr="00B61881">
        <w:rPr>
          <w:rFonts w:eastAsia="SimSun"/>
        </w:rPr>
        <w:t>Table A 5</w:t>
      </w:r>
      <w:r w:rsidRPr="00CA29DC">
        <w:fldChar w:fldCharType="end"/>
      </w:r>
      <w:r w:rsidRPr="00CA29DC">
        <w:t xml:space="preserve">: </w:t>
      </w:r>
      <w:r w:rsidR="0001199E" w:rsidRPr="006D3890">
        <w:t>Taxonomic composition of hard coral communities</w:t>
      </w:r>
    </w:p>
    <w:p w14:paraId="295F565F" w14:textId="77777777" w:rsidR="0001199E" w:rsidRPr="006D3890" w:rsidRDefault="00CA29DC" w:rsidP="005B6DEB">
      <w:pPr>
        <w:pStyle w:val="ListParagraph"/>
        <w:numPr>
          <w:ilvl w:val="0"/>
          <w:numId w:val="35"/>
        </w:numPr>
      </w:pPr>
      <w:r w:rsidRPr="00CA29DC">
        <w:fldChar w:fldCharType="begin"/>
      </w:r>
      <w:r w:rsidRPr="00CA29DC">
        <w:instrText xml:space="preserve"> REF _Ref460423891 \h </w:instrText>
      </w:r>
      <w:r>
        <w:instrText xml:space="preserve"> \* MERGEFORMAT </w:instrText>
      </w:r>
      <w:r w:rsidRPr="00CA29DC">
        <w:fldChar w:fldCharType="separate"/>
      </w:r>
      <w:r w:rsidR="00B61881" w:rsidRPr="00B61881">
        <w:rPr>
          <w:rFonts w:eastAsia="SimSun"/>
        </w:rPr>
        <w:t>Table A 6</w:t>
      </w:r>
      <w:r w:rsidRPr="00CA29DC">
        <w:fldChar w:fldCharType="end"/>
      </w:r>
      <w:r w:rsidRPr="00CA29DC">
        <w:t>:</w:t>
      </w:r>
      <w:r>
        <w:t xml:space="preserve"> </w:t>
      </w:r>
      <w:r w:rsidR="0001199E" w:rsidRPr="006D3890">
        <w:t>Taxonomic composition of soft coral communities</w:t>
      </w:r>
    </w:p>
    <w:p w14:paraId="49815028" w14:textId="77777777" w:rsidR="0001199E" w:rsidRPr="006D3890" w:rsidRDefault="00CA29DC" w:rsidP="005B6DEB">
      <w:pPr>
        <w:pStyle w:val="ListParagraph"/>
        <w:numPr>
          <w:ilvl w:val="0"/>
          <w:numId w:val="35"/>
        </w:numPr>
      </w:pPr>
      <w:r w:rsidRPr="00CA29DC">
        <w:fldChar w:fldCharType="begin"/>
      </w:r>
      <w:r w:rsidRPr="00CA29DC">
        <w:instrText xml:space="preserve"> REF _Ref460423904 \h </w:instrText>
      </w:r>
      <w:r>
        <w:instrText xml:space="preserve"> \* MERGEFORMAT </w:instrText>
      </w:r>
      <w:r w:rsidRPr="00CA29DC">
        <w:fldChar w:fldCharType="separate"/>
      </w:r>
      <w:r w:rsidR="00B61881" w:rsidRPr="00B61881">
        <w:rPr>
          <w:rFonts w:eastAsia="SimSun"/>
        </w:rPr>
        <w:t>Table A 7</w:t>
      </w:r>
      <w:r w:rsidRPr="00CA29DC">
        <w:fldChar w:fldCharType="end"/>
      </w:r>
      <w:r w:rsidRPr="00CA29DC">
        <w:t xml:space="preserve">: </w:t>
      </w:r>
      <w:r w:rsidR="0001199E" w:rsidRPr="006D3890">
        <w:t xml:space="preserve">Taxonomic composition of algal communities  </w:t>
      </w:r>
    </w:p>
    <w:p w14:paraId="00ECD99D" w14:textId="77777777" w:rsidR="0001199E" w:rsidRPr="005B6DEB" w:rsidRDefault="00CA29DC" w:rsidP="005B6DEB">
      <w:pPr>
        <w:pStyle w:val="ListParagraph"/>
        <w:numPr>
          <w:ilvl w:val="0"/>
          <w:numId w:val="35"/>
        </w:numPr>
        <w:rPr>
          <w:color w:val="000000" w:themeColor="text1"/>
        </w:rPr>
      </w:pPr>
      <w:r>
        <w:rPr>
          <w:color w:val="000000" w:themeColor="text1"/>
        </w:rPr>
        <w:fldChar w:fldCharType="begin"/>
      </w:r>
      <w:r>
        <w:rPr>
          <w:color w:val="000000" w:themeColor="text1"/>
        </w:rPr>
        <w:instrText xml:space="preserve"> REF _Ref460423943 \h </w:instrText>
      </w:r>
      <w:r>
        <w:rPr>
          <w:color w:val="000000" w:themeColor="text1"/>
        </w:rPr>
      </w:r>
      <w:r>
        <w:rPr>
          <w:color w:val="000000" w:themeColor="text1"/>
        </w:rPr>
        <w:fldChar w:fldCharType="separate"/>
      </w:r>
      <w:r w:rsidR="00B61881">
        <w:t xml:space="preserve">Figure </w:t>
      </w:r>
      <w:proofErr w:type="gramStart"/>
      <w:r w:rsidR="00B61881">
        <w:t>A</w:t>
      </w:r>
      <w:proofErr w:type="gramEnd"/>
      <w:r w:rsidR="00B61881">
        <w:t xml:space="preserve"> </w:t>
      </w:r>
      <w:r w:rsidR="00B61881">
        <w:rPr>
          <w:noProof/>
        </w:rPr>
        <w:t>1</w:t>
      </w:r>
      <w:r>
        <w:rPr>
          <w:color w:val="000000" w:themeColor="text1"/>
        </w:rPr>
        <w:fldChar w:fldCharType="end"/>
      </w:r>
      <w:r>
        <w:rPr>
          <w:color w:val="000000" w:themeColor="text1"/>
        </w:rPr>
        <w:t xml:space="preserve"> </w:t>
      </w:r>
      <w:r w:rsidR="0001199E" w:rsidRPr="005B6DEB">
        <w:rPr>
          <w:color w:val="000000" w:themeColor="text1"/>
        </w:rPr>
        <w:t xml:space="preserve">to </w:t>
      </w:r>
      <w:r>
        <w:rPr>
          <w:color w:val="000000" w:themeColor="text1"/>
        </w:rPr>
        <w:fldChar w:fldCharType="begin"/>
      </w:r>
      <w:r>
        <w:rPr>
          <w:color w:val="000000" w:themeColor="text1"/>
        </w:rPr>
        <w:instrText xml:space="preserve"> REF _Ref460423959 \h </w:instrText>
      </w:r>
      <w:r>
        <w:rPr>
          <w:color w:val="000000" w:themeColor="text1"/>
        </w:rPr>
      </w:r>
      <w:r>
        <w:rPr>
          <w:color w:val="000000" w:themeColor="text1"/>
        </w:rPr>
        <w:fldChar w:fldCharType="separate"/>
      </w:r>
      <w:r w:rsidR="00B61881">
        <w:t xml:space="preserve">Figure A </w:t>
      </w:r>
      <w:r w:rsidR="00B61881">
        <w:rPr>
          <w:noProof/>
        </w:rPr>
        <w:t>6</w:t>
      </w:r>
      <w:r>
        <w:rPr>
          <w:color w:val="000000" w:themeColor="text1"/>
        </w:rPr>
        <w:fldChar w:fldCharType="end"/>
      </w:r>
      <w:r>
        <w:rPr>
          <w:color w:val="000000" w:themeColor="text1"/>
        </w:rPr>
        <w:t xml:space="preserve">: </w:t>
      </w:r>
      <w:r w:rsidR="0001199E" w:rsidRPr="005B6DEB">
        <w:rPr>
          <w:color w:val="000000" w:themeColor="text1"/>
        </w:rPr>
        <w:t>Time series of coral community composition for both cover and juvenile observations for each reporting region.</w:t>
      </w:r>
    </w:p>
    <w:p w14:paraId="19650FAA" w14:textId="77777777" w:rsidR="00FE78AB" w:rsidRPr="005B6DEB" w:rsidRDefault="00CA29DC" w:rsidP="005B6DEB">
      <w:pPr>
        <w:pStyle w:val="ListParagraph"/>
        <w:numPr>
          <w:ilvl w:val="0"/>
          <w:numId w:val="35"/>
        </w:numPr>
        <w:rPr>
          <w:color w:val="000000" w:themeColor="text1"/>
        </w:rPr>
      </w:pPr>
      <w:r>
        <w:rPr>
          <w:color w:val="000000" w:themeColor="text1"/>
        </w:rPr>
        <w:fldChar w:fldCharType="begin"/>
      </w:r>
      <w:r>
        <w:rPr>
          <w:color w:val="000000" w:themeColor="text1"/>
        </w:rPr>
        <w:instrText xml:space="preserve"> REF _Ref460423979 \h </w:instrText>
      </w:r>
      <w:r>
        <w:rPr>
          <w:color w:val="000000" w:themeColor="text1"/>
        </w:rPr>
      </w:r>
      <w:r>
        <w:rPr>
          <w:color w:val="000000" w:themeColor="text1"/>
        </w:rPr>
        <w:fldChar w:fldCharType="separate"/>
      </w:r>
      <w:r w:rsidR="00B61881">
        <w:t xml:space="preserve">Figure A </w:t>
      </w:r>
      <w:r w:rsidR="00B61881">
        <w:rPr>
          <w:noProof/>
        </w:rPr>
        <w:t>7</w:t>
      </w:r>
      <w:r>
        <w:rPr>
          <w:color w:val="000000" w:themeColor="text1"/>
        </w:rPr>
        <w:fldChar w:fldCharType="end"/>
      </w:r>
      <w:r>
        <w:rPr>
          <w:color w:val="000000" w:themeColor="text1"/>
        </w:rPr>
        <w:t xml:space="preserve">: </w:t>
      </w:r>
      <w:r w:rsidR="00B31F10" w:rsidRPr="005B6DEB">
        <w:rPr>
          <w:color w:val="000000" w:themeColor="text1"/>
        </w:rPr>
        <w:t>T</w:t>
      </w:r>
      <w:r w:rsidR="00FE78AB" w:rsidRPr="005B6DEB">
        <w:rPr>
          <w:color w:val="000000" w:themeColor="text1"/>
        </w:rPr>
        <w:t xml:space="preserve">imes series of disease in each </w:t>
      </w:r>
      <w:r w:rsidR="00B31F10" w:rsidRPr="005B6DEB">
        <w:rPr>
          <w:color w:val="000000" w:themeColor="text1"/>
        </w:rPr>
        <w:t>reporting region</w:t>
      </w:r>
    </w:p>
    <w:p w14:paraId="5516A601" w14:textId="77777777" w:rsidR="0001199E" w:rsidRPr="005B6DEB" w:rsidRDefault="00CA29DC" w:rsidP="005B6DEB">
      <w:pPr>
        <w:pStyle w:val="ListParagraph"/>
        <w:numPr>
          <w:ilvl w:val="0"/>
          <w:numId w:val="35"/>
        </w:numPr>
        <w:rPr>
          <w:color w:val="000000" w:themeColor="text1"/>
        </w:rPr>
      </w:pPr>
      <w:r>
        <w:rPr>
          <w:color w:val="000000" w:themeColor="text1"/>
        </w:rPr>
        <w:fldChar w:fldCharType="begin"/>
      </w:r>
      <w:r>
        <w:rPr>
          <w:color w:val="000000" w:themeColor="text1"/>
        </w:rPr>
        <w:instrText xml:space="preserve"> REF _Ref460423998 \h </w:instrText>
      </w:r>
      <w:r>
        <w:rPr>
          <w:color w:val="000000" w:themeColor="text1"/>
        </w:rPr>
      </w:r>
      <w:r>
        <w:rPr>
          <w:color w:val="000000" w:themeColor="text1"/>
        </w:rPr>
        <w:fldChar w:fldCharType="separate"/>
      </w:r>
      <w:r w:rsidR="00B61881">
        <w:t xml:space="preserve">Figure </w:t>
      </w:r>
      <w:proofErr w:type="gramStart"/>
      <w:r w:rsidR="00B61881">
        <w:t>A</w:t>
      </w:r>
      <w:proofErr w:type="gramEnd"/>
      <w:r w:rsidR="00B61881">
        <w:t xml:space="preserve"> </w:t>
      </w:r>
      <w:r w:rsidR="00B61881">
        <w:rPr>
          <w:noProof/>
        </w:rPr>
        <w:t>10</w:t>
      </w:r>
      <w:r>
        <w:rPr>
          <w:color w:val="000000" w:themeColor="text1"/>
        </w:rPr>
        <w:fldChar w:fldCharType="end"/>
      </w:r>
      <w:r>
        <w:rPr>
          <w:color w:val="000000" w:themeColor="text1"/>
        </w:rPr>
        <w:t xml:space="preserve"> </w:t>
      </w:r>
      <w:r w:rsidR="00B31F10" w:rsidRPr="005B6DEB">
        <w:rPr>
          <w:color w:val="000000" w:themeColor="text1"/>
        </w:rPr>
        <w:t xml:space="preserve">to </w:t>
      </w:r>
      <w:r>
        <w:rPr>
          <w:color w:val="000000" w:themeColor="text1"/>
        </w:rPr>
        <w:fldChar w:fldCharType="begin"/>
      </w:r>
      <w:r>
        <w:rPr>
          <w:color w:val="000000" w:themeColor="text1"/>
        </w:rPr>
        <w:instrText xml:space="preserve"> REF _Ref460424013 \h </w:instrText>
      </w:r>
      <w:r>
        <w:rPr>
          <w:color w:val="000000" w:themeColor="text1"/>
        </w:rPr>
      </w:r>
      <w:r>
        <w:rPr>
          <w:color w:val="000000" w:themeColor="text1"/>
        </w:rPr>
        <w:fldChar w:fldCharType="separate"/>
      </w:r>
      <w:r w:rsidR="00B61881">
        <w:t xml:space="preserve">Figure A </w:t>
      </w:r>
      <w:r w:rsidR="00B61881">
        <w:rPr>
          <w:noProof/>
        </w:rPr>
        <w:t>15</w:t>
      </w:r>
      <w:r>
        <w:rPr>
          <w:color w:val="000000" w:themeColor="text1"/>
        </w:rPr>
        <w:fldChar w:fldCharType="end"/>
      </w:r>
      <w:r>
        <w:rPr>
          <w:color w:val="000000" w:themeColor="text1"/>
        </w:rPr>
        <w:t xml:space="preserve">: </w:t>
      </w:r>
      <w:r w:rsidR="0001199E" w:rsidRPr="005B6DEB">
        <w:rPr>
          <w:color w:val="000000" w:themeColor="text1"/>
        </w:rPr>
        <w:t xml:space="preserve">Time series of </w:t>
      </w:r>
      <w:r w:rsidR="00B31F10" w:rsidRPr="005B6DEB">
        <w:rPr>
          <w:color w:val="000000" w:themeColor="text1"/>
        </w:rPr>
        <w:t>water quality parameters</w:t>
      </w:r>
      <w:r w:rsidR="0001199E" w:rsidRPr="005B6DEB">
        <w:rPr>
          <w:color w:val="000000" w:themeColor="text1"/>
        </w:rPr>
        <w:t xml:space="preserve"> in each reporting region.</w:t>
      </w:r>
    </w:p>
    <w:p w14:paraId="60EB5103" w14:textId="77777777" w:rsidR="008A1A24" w:rsidRPr="00C27327" w:rsidRDefault="008A1A24" w:rsidP="000176B0"/>
    <w:p w14:paraId="3E8FBDC0" w14:textId="77777777" w:rsidR="008A1A24" w:rsidRPr="00C27327" w:rsidRDefault="008A1A24" w:rsidP="000176B0">
      <w:pPr>
        <w:rPr>
          <w:rFonts w:eastAsiaTheme="majorEastAsia" w:cstheme="majorBidi"/>
          <w:b/>
          <w:bCs/>
          <w:sz w:val="26"/>
          <w:szCs w:val="26"/>
        </w:rPr>
      </w:pPr>
      <w:r w:rsidRPr="00C27327">
        <w:br w:type="page"/>
      </w:r>
    </w:p>
    <w:p w14:paraId="2B6F4A8A" w14:textId="77777777" w:rsidR="00EA753F" w:rsidRPr="00EA753F" w:rsidRDefault="00F352CD" w:rsidP="00F352CD">
      <w:pPr>
        <w:pStyle w:val="Heading2"/>
      </w:pPr>
      <w:bookmarkStart w:id="94" w:name="_Toc437424406"/>
      <w:bookmarkStart w:id="95" w:name="_Toc437424530"/>
      <w:bookmarkStart w:id="96" w:name="_Toc437432461"/>
      <w:bookmarkStart w:id="97" w:name="_Toc437432534"/>
      <w:bookmarkStart w:id="98" w:name="_Toc460490661"/>
      <w:r>
        <w:lastRenderedPageBreak/>
        <w:t>5</w:t>
      </w:r>
      <w:r w:rsidR="002A28EE">
        <w:t>.</w:t>
      </w:r>
      <w:r w:rsidR="00EA753F" w:rsidRPr="00EA753F">
        <w:t>1</w:t>
      </w:r>
      <w:r w:rsidR="00EA753F" w:rsidRPr="00EA753F">
        <w:tab/>
        <w:t>Wet Tropics Region: Barron Daintree sub-region</w:t>
      </w:r>
      <w:bookmarkEnd w:id="94"/>
      <w:bookmarkEnd w:id="95"/>
      <w:bookmarkEnd w:id="96"/>
      <w:bookmarkEnd w:id="97"/>
      <w:bookmarkEnd w:id="98"/>
    </w:p>
    <w:p w14:paraId="678B572A" w14:textId="77777777" w:rsidR="00EA753F" w:rsidRPr="00EA753F" w:rsidRDefault="00EA753F" w:rsidP="00FB7FD7">
      <w:pPr>
        <w:spacing w:after="240"/>
      </w:pPr>
      <w:r w:rsidRPr="00EA753F">
        <w:t xml:space="preserve">Catchments in the Barron Daintree sub-region are characterised by a high proportion of tropical forest and National Park reserves. Outside of these areas, the primary agricultural land use is grazing (Brodie </w:t>
      </w:r>
      <w:r w:rsidRPr="00EA753F">
        <w:rPr>
          <w:i/>
        </w:rPr>
        <w:t>et al.</w:t>
      </w:r>
      <w:r w:rsidRPr="00EA753F">
        <w:t xml:space="preserve"> 2003, GBRMPA 2012). Coral monitoring sites in this sub-region are exposed to discharge from several rivers, predominately the Daintree and Barron rivers.</w:t>
      </w:r>
    </w:p>
    <w:p w14:paraId="679BC796" w14:textId="77777777" w:rsidR="00C02559" w:rsidRDefault="00523D87" w:rsidP="00C02559">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right="232"/>
      </w:pPr>
      <w:r>
        <w:rPr>
          <w:noProof/>
          <w:lang w:val="en-AU" w:eastAsia="en-AU"/>
        </w:rPr>
        <w:drawing>
          <wp:inline distT="0" distB="0" distL="0" distR="0" wp14:anchorId="7E6E4F1E" wp14:editId="68DE1E3E">
            <wp:extent cx="6120765" cy="6120765"/>
            <wp:effectExtent l="0" t="0" r="0" b="0"/>
            <wp:docPr id="14" name="Picture 14" descr="Figure 4: Barron Daintree sub-region reef locations, environmental conditions and disturbances.  A composite figure with four panels of information:&#10;a) Location of monitoring sites red symbols MMP, black symbols LTMP, mean exposure to secondary plume type waters (Álvarez-Romero et al. 2013) during the wet season: December to March, over the period 2003-2015 indicated by colour. b) break-down and level of disturbances causing loss of hard coral cover over the period 2005-2015, level of disturbance is scaled to the maximum disturbance rate of 16% reduction in hard coral per year that occurred in the Tully Herbert sub-region (outer black ring), loss due to disturbance type ‘none’ reflects a short fall in rate of cover increase during years free from acute disturbances. c) Seasonally adjusted temperature deviation, timing of cyclones and storms indicated by black arrows, accumulated degree heating days over the summer period (1st of December - 31st March) indicated by black symbols d) Combined daily (blue) and annual (red) discharge for the Barron and Daintree rivers, red dashed line represents long-term median discharge (1970-2000).&#10;" title="Figure 4: Barron Daintree sub-region reef locations, environmental conditions and disturban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env_Barron_Daintree.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5E44C3D2" w14:textId="77777777" w:rsidR="00EA753F" w:rsidRPr="006B3B22" w:rsidRDefault="006B3B22" w:rsidP="0026052F">
      <w:pPr>
        <w:pStyle w:val="Caption"/>
        <w:rPr>
          <w:vanish/>
        </w:rPr>
      </w:pPr>
      <w:bookmarkStart w:id="99" w:name="_Ref438119398"/>
      <w:bookmarkStart w:id="100" w:name="_Toc437423849"/>
      <w:bookmarkStart w:id="101" w:name="_Toc437424028"/>
      <w:bookmarkStart w:id="102" w:name="_Toc437424294"/>
      <w:bookmarkStart w:id="103" w:name="_Toc437597628"/>
      <w:bookmarkStart w:id="104" w:name="_Toc460490773"/>
      <w:r>
        <w:t xml:space="preserve">Figure </w:t>
      </w:r>
      <w:r w:rsidR="005D2F9F">
        <w:fldChar w:fldCharType="begin"/>
      </w:r>
      <w:r w:rsidR="005D2F9F">
        <w:instrText xml:space="preserve"> SEQ Figure \* ARABIC </w:instrText>
      </w:r>
      <w:r w:rsidR="005D2F9F">
        <w:fldChar w:fldCharType="separate"/>
      </w:r>
      <w:r w:rsidR="00B61881">
        <w:rPr>
          <w:noProof/>
        </w:rPr>
        <w:t>4</w:t>
      </w:r>
      <w:r w:rsidR="005D2F9F">
        <w:rPr>
          <w:noProof/>
        </w:rPr>
        <w:fldChar w:fldCharType="end"/>
      </w:r>
      <w:bookmarkEnd w:id="99"/>
      <w:r>
        <w:t xml:space="preserve">: </w:t>
      </w:r>
      <w:r w:rsidR="00C02559" w:rsidRPr="00C02559">
        <w:t>Barron Daintree sub-region reef locations, environmental conditions and disturbances.</w:t>
      </w:r>
      <w:bookmarkEnd w:id="100"/>
      <w:bookmarkEnd w:id="101"/>
      <w:bookmarkEnd w:id="102"/>
      <w:bookmarkEnd w:id="103"/>
      <w:bookmarkEnd w:id="104"/>
      <w:r w:rsidR="00C02559" w:rsidRPr="00C02559">
        <w:t xml:space="preserve"> </w:t>
      </w:r>
    </w:p>
    <w:p w14:paraId="0F193293" w14:textId="77777777" w:rsidR="00EA753F" w:rsidRDefault="00C02559" w:rsidP="0026052F">
      <w:pPr>
        <w:pStyle w:val="AppendixFigures"/>
        <w:rPr>
          <w:rStyle w:val="IntenseReference"/>
          <w:rFonts w:eastAsia="SimSun"/>
        </w:rPr>
      </w:pPr>
      <w:r>
        <w:t xml:space="preserve"> </w:t>
      </w:r>
      <w:r w:rsidR="0026052F">
        <w:br/>
      </w:r>
      <w:r w:rsidR="00EA753F" w:rsidRPr="00C02559">
        <w:rPr>
          <w:rStyle w:val="IntenseReference"/>
          <w:rFonts w:eastAsia="SimSun"/>
        </w:rPr>
        <w:t xml:space="preserve">a) Location of monitoring sites red symbols MMP, black symbols LTMP, mean exposure to secondary plume type waters (Álvarez-Romero </w:t>
      </w:r>
      <w:r w:rsidR="00EA753F" w:rsidRPr="00051C52">
        <w:rPr>
          <w:rStyle w:val="IntenseReference"/>
          <w:rFonts w:eastAsia="SimSun"/>
          <w:i/>
        </w:rPr>
        <w:t>et al.</w:t>
      </w:r>
      <w:r w:rsidR="00EA753F" w:rsidRPr="00C02559">
        <w:rPr>
          <w:rStyle w:val="IntenseReference"/>
          <w:rFonts w:eastAsia="SimSun"/>
        </w:rPr>
        <w:t xml:space="preserve"> 2013) during the wet season: December to March, over the period 2003-2015 indicated by colour. b) break-down and level of disturbances causing loss of hard coral cover</w:t>
      </w:r>
      <w:r w:rsidR="003053B5">
        <w:rPr>
          <w:rStyle w:val="IntenseReference"/>
          <w:rFonts w:eastAsia="SimSun"/>
        </w:rPr>
        <w:t xml:space="preserve"> over the </w:t>
      </w:r>
      <w:r w:rsidR="00646DCA">
        <w:rPr>
          <w:rStyle w:val="IntenseReference"/>
          <w:rFonts w:eastAsia="SimSun"/>
        </w:rPr>
        <w:t>period</w:t>
      </w:r>
      <w:r w:rsidR="003053B5">
        <w:rPr>
          <w:rStyle w:val="IntenseReference"/>
          <w:rFonts w:eastAsia="SimSun"/>
        </w:rPr>
        <w:t xml:space="preserve"> 2005-2015</w:t>
      </w:r>
      <w:r w:rsidR="00EA753F" w:rsidRPr="00C02559">
        <w:rPr>
          <w:rStyle w:val="IntenseReference"/>
          <w:rFonts w:eastAsia="SimSun"/>
        </w:rPr>
        <w:t xml:space="preserve">, level of disturbance is scaled to the maximum disturbance rate of 16% reduction in hard coral per year that occurred in the Tully Herbert sub-region (outer black ring), loss due to disturbance type ‘none’ reflects a </w:t>
      </w:r>
      <w:r w:rsidR="00A77C75">
        <w:rPr>
          <w:rStyle w:val="IntenseReference"/>
          <w:rFonts w:eastAsia="SimSun"/>
        </w:rPr>
        <w:t xml:space="preserve">shortfall </w:t>
      </w:r>
      <w:r w:rsidR="00EA753F" w:rsidRPr="00C02559">
        <w:rPr>
          <w:rStyle w:val="IntenseReference"/>
          <w:rFonts w:eastAsia="SimSun"/>
        </w:rPr>
        <w:t xml:space="preserve">in rate of cover increase during years free from acute disturbances. c) Seasonally adjusted temperature deviation, timing of cyclones and storms indicated by black arrows, accumulated degree heating days over the summer period (1st of </w:t>
      </w:r>
      <w:r w:rsidR="005D2F9F">
        <w:rPr>
          <w:rStyle w:val="IntenseReference"/>
          <w:rFonts w:eastAsia="SimSun"/>
        </w:rPr>
        <w:t>December</w:t>
      </w:r>
      <w:r w:rsidR="00EA753F" w:rsidRPr="00C02559">
        <w:rPr>
          <w:rStyle w:val="IntenseReference"/>
          <w:rFonts w:eastAsia="SimSun"/>
        </w:rPr>
        <w:t xml:space="preserve"> - 31st March) indicated by black symbols d) Combined daily (blue) and annual (red) discharge for the Barron and Daintree rivers, red dashed line represents long-term median discharge (1970-2000).</w:t>
      </w:r>
    </w:p>
    <w:p w14:paraId="54B5D85D" w14:textId="77777777" w:rsidR="005D2B3B" w:rsidRPr="005D2B3B" w:rsidRDefault="005D2B3B" w:rsidP="005D2B3B">
      <w:pPr>
        <w:rPr>
          <w:rFonts w:eastAsia="SimSun"/>
        </w:rPr>
      </w:pPr>
    </w:p>
    <w:p w14:paraId="5F3A5302" w14:textId="77777777" w:rsidR="006305E9" w:rsidRPr="00FB7FD7" w:rsidRDefault="006305E9" w:rsidP="00FB7FD7">
      <w:r>
        <w:lastRenderedPageBreak/>
        <w:t xml:space="preserve">Within this sub-region coral surveys have been conducted under the MMP since 2005 at Snapper North and Snapper South. Snapper Island is located 4km from the mouth of the Daintree River, and is regularly exposed to secondary </w:t>
      </w:r>
      <w:r w:rsidR="00955667">
        <w:t>plume-</w:t>
      </w:r>
      <w:r>
        <w:t xml:space="preserve">type </w:t>
      </w:r>
      <w:r w:rsidR="00955667">
        <w:t>waters</w:t>
      </w:r>
      <w:r w:rsidR="006F5BF8">
        <w:t xml:space="preserve"> (</w:t>
      </w:r>
      <w:r w:rsidR="00345FC7">
        <w:fldChar w:fldCharType="begin"/>
      </w:r>
      <w:r w:rsidR="00345FC7">
        <w:instrText xml:space="preserve"> REF _Ref438119398 \h </w:instrText>
      </w:r>
      <w:r w:rsidR="00345FC7">
        <w:fldChar w:fldCharType="separate"/>
      </w:r>
      <w:r w:rsidR="00B61881">
        <w:t xml:space="preserve">Figure </w:t>
      </w:r>
      <w:r w:rsidR="00B61881">
        <w:rPr>
          <w:noProof/>
        </w:rPr>
        <w:t>4</w:t>
      </w:r>
      <w:r w:rsidR="00345FC7">
        <w:fldChar w:fldCharType="end"/>
      </w:r>
      <w:r>
        <w:t>a). Low Isles is located further offshore and rarely exposed to secondary plume</w:t>
      </w:r>
      <w:r w:rsidR="00955667">
        <w:t>-</w:t>
      </w:r>
      <w:r w:rsidR="006F5BF8">
        <w:t>type waters (</w:t>
      </w:r>
      <w:r w:rsidR="00345FC7">
        <w:fldChar w:fldCharType="begin"/>
      </w:r>
      <w:r w:rsidR="00345FC7">
        <w:instrText xml:space="preserve"> REF _Ref438119398 \h </w:instrText>
      </w:r>
      <w:r w:rsidR="00345FC7">
        <w:fldChar w:fldCharType="separate"/>
      </w:r>
      <w:r w:rsidR="00B61881">
        <w:t xml:space="preserve">Figure </w:t>
      </w:r>
      <w:r w:rsidR="00B61881">
        <w:rPr>
          <w:noProof/>
        </w:rPr>
        <w:t>4</w:t>
      </w:r>
      <w:r w:rsidR="00345FC7">
        <w:fldChar w:fldCharType="end"/>
      </w:r>
      <w:r>
        <w:t xml:space="preserve">a). </w:t>
      </w:r>
    </w:p>
    <w:p w14:paraId="5B8F4ACB" w14:textId="77777777" w:rsidR="007A6007" w:rsidRDefault="006305E9" w:rsidP="00406BD7">
      <w:r>
        <w:t xml:space="preserve">Monitoring </w:t>
      </w:r>
      <w:r w:rsidR="001C267C">
        <w:t xml:space="preserve">by Sea Research </w:t>
      </w:r>
      <w:r>
        <w:t>prior to 2005 identifie</w:t>
      </w:r>
      <w:r w:rsidR="001C267C">
        <w:t xml:space="preserve">d flooding of the Daintree </w:t>
      </w:r>
      <w:r w:rsidR="00C02559">
        <w:t>River</w:t>
      </w:r>
      <w:r w:rsidR="001C267C">
        <w:t xml:space="preserve"> in 1996 and again in 2004 along with Cyclone Rona in 1999 as having substantial impacts on the coral communities at Snapper Island</w:t>
      </w:r>
      <w:r w:rsidR="001B1317">
        <w:t xml:space="preserve"> </w:t>
      </w:r>
      <w:r w:rsidR="001B1317" w:rsidRPr="00CA29DC">
        <w:t>(</w:t>
      </w:r>
      <w:r w:rsidR="00CA29DC" w:rsidRPr="00CA29DC">
        <w:fldChar w:fldCharType="begin"/>
      </w:r>
      <w:r w:rsidR="00CA29DC" w:rsidRPr="00CA29DC">
        <w:instrText xml:space="preserve"> REF _Ref460423821 \h  \* MERGEFORMAT </w:instrText>
      </w:r>
      <w:r w:rsidR="00CA29DC" w:rsidRPr="00CA29DC">
        <w:fldChar w:fldCharType="separate"/>
      </w:r>
      <w:r w:rsidR="00B61881" w:rsidRPr="00B61881">
        <w:rPr>
          <w:rFonts w:eastAsia="SimSun"/>
        </w:rPr>
        <w:t xml:space="preserve">Table </w:t>
      </w:r>
      <w:proofErr w:type="gramStart"/>
      <w:r w:rsidR="00B61881" w:rsidRPr="00B61881">
        <w:rPr>
          <w:rFonts w:eastAsia="SimSun"/>
        </w:rPr>
        <w:t>A</w:t>
      </w:r>
      <w:proofErr w:type="gramEnd"/>
      <w:r w:rsidR="00B61881" w:rsidRPr="00B61881">
        <w:rPr>
          <w:rFonts w:eastAsia="SimSun"/>
        </w:rPr>
        <w:t xml:space="preserve"> 2</w:t>
      </w:r>
      <w:r w:rsidR="00CA29DC" w:rsidRPr="00CA29DC">
        <w:fldChar w:fldCharType="end"/>
      </w:r>
      <w:r w:rsidR="001B1317">
        <w:t>)</w:t>
      </w:r>
      <w:r w:rsidR="00936BFA">
        <w:t xml:space="preserve">. </w:t>
      </w:r>
      <w:r>
        <w:t xml:space="preserve">Importantly, subsequent observations identified recovery of the coral communities following each event suggesting that these reefs were resilient to the disturbance regime during that period (Ayling </w:t>
      </w:r>
      <w:r w:rsidR="00051C52">
        <w:t>&amp;</w:t>
      </w:r>
      <w:r>
        <w:t xml:space="preserve"> Ayling 2005, Sweatman </w:t>
      </w:r>
      <w:r>
        <w:rPr>
          <w:i/>
        </w:rPr>
        <w:t>et al.</w:t>
      </w:r>
      <w:r w:rsidR="001B1317">
        <w:t xml:space="preserve"> 2007</w:t>
      </w:r>
      <w:r>
        <w:t>) This resilience remained apparent following the commencement of monitoring under the MMP, with the general trend in the coral index improving to be categorised as “good” by 2008 (</w:t>
      </w:r>
      <w:r w:rsidR="00345FC7">
        <w:fldChar w:fldCharType="begin"/>
      </w:r>
      <w:r w:rsidR="00345FC7">
        <w:instrText xml:space="preserve"> REF _Ref438119398 \h </w:instrText>
      </w:r>
      <w:r w:rsidR="00345FC7">
        <w:fldChar w:fldCharType="separate"/>
      </w:r>
      <w:r w:rsidR="00B61881">
        <w:t xml:space="preserve">Figure </w:t>
      </w:r>
      <w:r w:rsidR="00B61881">
        <w:rPr>
          <w:noProof/>
        </w:rPr>
        <w:t>4</w:t>
      </w:r>
      <w:r w:rsidR="00345FC7">
        <w:fldChar w:fldCharType="end"/>
      </w:r>
      <w:r>
        <w:t xml:space="preserve">a). Supported </w:t>
      </w:r>
      <w:r w:rsidR="001C267C">
        <w:t xml:space="preserve">by continued high coral cover, rates of increase in cover meeting or exceeding model predictions and </w:t>
      </w:r>
      <w:r w:rsidR="006F5BF8">
        <w:t>low macroalgae cover (</w:t>
      </w:r>
      <w:r w:rsidR="00345FC7">
        <w:fldChar w:fldCharType="begin"/>
      </w:r>
      <w:r w:rsidR="00345FC7">
        <w:instrText xml:space="preserve"> REF _Ref438119411 \h </w:instrText>
      </w:r>
      <w:r w:rsidR="00345FC7">
        <w:fldChar w:fldCharType="separate"/>
      </w:r>
      <w:r w:rsidR="00B61881">
        <w:t xml:space="preserve">Figure </w:t>
      </w:r>
      <w:r w:rsidR="00B61881">
        <w:rPr>
          <w:noProof/>
        </w:rPr>
        <w:t>5</w:t>
      </w:r>
      <w:r w:rsidR="00345FC7">
        <w:fldChar w:fldCharType="end"/>
      </w:r>
      <w:r w:rsidR="001C267C">
        <w:t>b</w:t>
      </w:r>
      <w:proofErr w:type="gramStart"/>
      <w:r>
        <w:t>,</w:t>
      </w:r>
      <w:r w:rsidR="001C267C">
        <w:t>c,</w:t>
      </w:r>
      <w:r>
        <w:t>d</w:t>
      </w:r>
      <w:proofErr w:type="gramEnd"/>
      <w:r>
        <w:t>)</w:t>
      </w:r>
      <w:r w:rsidR="001C267C">
        <w:t>.</w:t>
      </w:r>
    </w:p>
    <w:p w14:paraId="23352A22" w14:textId="77777777" w:rsidR="00EA753F" w:rsidRPr="00EA753F" w:rsidRDefault="006305E9" w:rsidP="00406BD7">
      <w:r>
        <w:t xml:space="preserve">Since 2010 the coral index score steadily declined to reach a low point in 2014 </w:t>
      </w:r>
      <w:r w:rsidR="007A6007">
        <w:t>with a slight indication of improvement in 2015</w:t>
      </w:r>
      <w:r w:rsidR="006F5BF8">
        <w:t xml:space="preserve"> (</w:t>
      </w:r>
      <w:r w:rsidR="00345FC7">
        <w:fldChar w:fldCharType="begin"/>
      </w:r>
      <w:r w:rsidR="00345FC7">
        <w:instrText xml:space="preserve"> REF _Ref438119411 \h </w:instrText>
      </w:r>
      <w:r w:rsidR="00345FC7">
        <w:fldChar w:fldCharType="separate"/>
      </w:r>
      <w:r w:rsidR="00B61881">
        <w:t xml:space="preserve">Figure </w:t>
      </w:r>
      <w:r w:rsidR="00B61881">
        <w:rPr>
          <w:noProof/>
        </w:rPr>
        <w:t>5</w:t>
      </w:r>
      <w:r w:rsidR="00345FC7">
        <w:fldChar w:fldCharType="end"/>
      </w:r>
      <w:r w:rsidR="007A6007">
        <w:t>a</w:t>
      </w:r>
      <w:r>
        <w:t>).</w:t>
      </w:r>
      <w:r w:rsidR="007A6007">
        <w:t xml:space="preserve"> </w:t>
      </w:r>
      <w:r w:rsidR="00EA753F" w:rsidRPr="00EA753F">
        <w:t xml:space="preserve">Three key pressures stand out as </w:t>
      </w:r>
      <w:r w:rsidR="007A6007">
        <w:t>forcing the decline in coral community condition</w:t>
      </w:r>
      <w:r w:rsidR="00EA753F" w:rsidRPr="00EA753F">
        <w:t>; crown-of-thorns seastars (COTS</w:t>
      </w:r>
      <w:r w:rsidR="006F5BF8">
        <w:t xml:space="preserve">), </w:t>
      </w:r>
      <w:r w:rsidR="00BC4C89">
        <w:t>s</w:t>
      </w:r>
      <w:r w:rsidR="006F5BF8">
        <w:t>torms, and disease (</w:t>
      </w:r>
      <w:r w:rsidR="00345FC7">
        <w:fldChar w:fldCharType="begin"/>
      </w:r>
      <w:r w:rsidR="00345FC7">
        <w:instrText xml:space="preserve"> REF _Ref438119398 \h </w:instrText>
      </w:r>
      <w:r w:rsidR="00345FC7">
        <w:fldChar w:fldCharType="separate"/>
      </w:r>
      <w:r w:rsidR="00B61881">
        <w:t xml:space="preserve">Figure </w:t>
      </w:r>
      <w:r w:rsidR="00B61881">
        <w:rPr>
          <w:noProof/>
        </w:rPr>
        <w:t>4</w:t>
      </w:r>
      <w:r w:rsidR="00345FC7">
        <w:fldChar w:fldCharType="end"/>
      </w:r>
      <w:r w:rsidR="00EA753F" w:rsidRPr="00EA753F">
        <w:t>b). COTS have been responsible for the greatest proportion of coral cover loss over the course of the MMP</w:t>
      </w:r>
      <w:r w:rsidR="007A6007">
        <w:t xml:space="preserve"> and LTMP</w:t>
      </w:r>
      <w:r w:rsidR="00EA753F" w:rsidRPr="00EA753F">
        <w:t xml:space="preserve"> at both 2m and 5m depths. </w:t>
      </w:r>
      <w:r w:rsidR="007A6007">
        <w:t xml:space="preserve">In the late 1990’s COTS caused a </w:t>
      </w:r>
      <w:r w:rsidR="00F65DBA">
        <w:t>52%</w:t>
      </w:r>
      <w:r w:rsidR="007A6007">
        <w:t xml:space="preserve"> reduction in coral cover at Low Isles (</w:t>
      </w:r>
      <w:r w:rsidR="00CA29DC" w:rsidRPr="00CA29DC">
        <w:fldChar w:fldCharType="begin"/>
      </w:r>
      <w:r w:rsidR="00CA29DC" w:rsidRPr="00CA29DC">
        <w:instrText xml:space="preserve"> REF _Ref460423821 \h  \* MERGEFORMAT </w:instrText>
      </w:r>
      <w:r w:rsidR="00CA29DC" w:rsidRPr="00CA29DC">
        <w:fldChar w:fldCharType="separate"/>
      </w:r>
      <w:r w:rsidR="00B61881" w:rsidRPr="00B61881">
        <w:rPr>
          <w:rFonts w:eastAsia="SimSun"/>
        </w:rPr>
        <w:t xml:space="preserve">Table </w:t>
      </w:r>
      <w:proofErr w:type="gramStart"/>
      <w:r w:rsidR="00B61881" w:rsidRPr="00B61881">
        <w:rPr>
          <w:rFonts w:eastAsia="SimSun"/>
        </w:rPr>
        <w:t>A</w:t>
      </w:r>
      <w:proofErr w:type="gramEnd"/>
      <w:r w:rsidR="00B61881" w:rsidRPr="00B61881">
        <w:rPr>
          <w:rFonts w:eastAsia="SimSun"/>
        </w:rPr>
        <w:t xml:space="preserve"> 2</w:t>
      </w:r>
      <w:r w:rsidR="00CA29DC" w:rsidRPr="00CA29DC">
        <w:fldChar w:fldCharType="end"/>
      </w:r>
      <w:r w:rsidR="007A6007">
        <w:t>), At Snapper Island l</w:t>
      </w:r>
      <w:r w:rsidR="00EA753F" w:rsidRPr="00EA753F">
        <w:t>ow densit</w:t>
      </w:r>
      <w:r w:rsidR="007A6007">
        <w:t>ies of</w:t>
      </w:r>
      <w:r w:rsidR="00EA753F" w:rsidRPr="00EA753F">
        <w:t xml:space="preserve"> COTS were observed during surveys in 2012</w:t>
      </w:r>
      <w:r w:rsidR="004304DE">
        <w:t>. T</w:t>
      </w:r>
      <w:r w:rsidR="00EA753F" w:rsidRPr="00EA753F">
        <w:t>he following year an outbreak was evident with high densities of adults (288 per hectare at Snapper North, 61</w:t>
      </w:r>
      <w:r w:rsidR="007A6007">
        <w:t>3 per hectare at Snapper South)</w:t>
      </w:r>
      <w:r w:rsidR="00EA753F" w:rsidRPr="00EA753F">
        <w:t xml:space="preserve"> causing </w:t>
      </w:r>
      <w:r w:rsidR="00F65DBA">
        <w:t xml:space="preserve">combined loss of coral cover ranging from </w:t>
      </w:r>
      <w:r w:rsidR="00572A2C">
        <w:t xml:space="preserve">66% at </w:t>
      </w:r>
      <w:r w:rsidR="00F65DBA">
        <w:t>Snappe</w:t>
      </w:r>
      <w:r w:rsidR="00572A2C">
        <w:t xml:space="preserve">r North(5m depth) </w:t>
      </w:r>
      <w:r w:rsidR="00F65DBA">
        <w:t xml:space="preserve">to 17% at snapper south </w:t>
      </w:r>
      <w:r w:rsidR="00572A2C">
        <w:t>(5m depth )</w:t>
      </w:r>
      <w:r w:rsidR="004304DE">
        <w:t>;</w:t>
      </w:r>
      <w:r w:rsidR="00F65DBA">
        <w:t xml:space="preserve"> </w:t>
      </w:r>
      <w:r w:rsidR="00EA753F" w:rsidRPr="00EA753F">
        <w:t xml:space="preserve">the family Acroporidae </w:t>
      </w:r>
      <w:r w:rsidR="00F65DBA">
        <w:t xml:space="preserve">was most severely impacted </w:t>
      </w:r>
      <w:r w:rsidR="00EA753F" w:rsidRPr="007A6007">
        <w:t>(</w:t>
      </w:r>
      <w:r w:rsidR="00CA29DC" w:rsidRPr="00CA29DC">
        <w:fldChar w:fldCharType="begin"/>
      </w:r>
      <w:r w:rsidR="00CA29DC" w:rsidRPr="00CA29DC">
        <w:instrText xml:space="preserve"> REF _Ref460423821 \h  \* MERGEFORMAT </w:instrText>
      </w:r>
      <w:r w:rsidR="00CA29DC" w:rsidRPr="00CA29DC">
        <w:fldChar w:fldCharType="separate"/>
      </w:r>
      <w:r w:rsidR="00B61881" w:rsidRPr="00B61881">
        <w:rPr>
          <w:rFonts w:eastAsia="SimSun"/>
        </w:rPr>
        <w:t>Table A 2</w:t>
      </w:r>
      <w:r w:rsidR="00CA29DC" w:rsidRPr="00CA29DC">
        <w:fldChar w:fldCharType="end"/>
      </w:r>
      <w:r w:rsidR="006F5BF8">
        <w:t>,</w:t>
      </w:r>
      <w:r w:rsidR="00CA29DC">
        <w:t xml:space="preserve"> </w:t>
      </w:r>
      <w:r w:rsidR="00CA29DC">
        <w:fldChar w:fldCharType="begin"/>
      </w:r>
      <w:r w:rsidR="00CA29DC">
        <w:instrText xml:space="preserve"> REF _Ref460423943 \h </w:instrText>
      </w:r>
      <w:r w:rsidR="00CA29DC">
        <w:fldChar w:fldCharType="separate"/>
      </w:r>
      <w:r w:rsidR="00B61881">
        <w:t xml:space="preserve">Figure A </w:t>
      </w:r>
      <w:r w:rsidR="00B61881">
        <w:rPr>
          <w:noProof/>
        </w:rPr>
        <w:t>1</w:t>
      </w:r>
      <w:r w:rsidR="00CA29DC">
        <w:fldChar w:fldCharType="end"/>
      </w:r>
      <w:r w:rsidR="00EA753F" w:rsidRPr="007A6007">
        <w:t>).</w:t>
      </w:r>
      <w:r w:rsidR="00171E29" w:rsidRPr="00171E29">
        <w:t xml:space="preserve"> </w:t>
      </w:r>
      <w:r w:rsidR="00171E29">
        <w:t>By 2014</w:t>
      </w:r>
      <w:r w:rsidR="00171E29" w:rsidRPr="00EA753F">
        <w:t xml:space="preserve"> COTS </w:t>
      </w:r>
      <w:r w:rsidR="00171E29">
        <w:t xml:space="preserve">numbers had substantially declined </w:t>
      </w:r>
      <w:r w:rsidR="00171E29" w:rsidRPr="00EA753F">
        <w:t xml:space="preserve">with no individuals recorded at Snapper North in 2014 and densities </w:t>
      </w:r>
      <w:r w:rsidR="00171E29">
        <w:t xml:space="preserve">of </w:t>
      </w:r>
      <w:r w:rsidR="00171E29" w:rsidRPr="00EA753F">
        <w:t>63 per hectare</w:t>
      </w:r>
      <w:r w:rsidR="00171E29">
        <w:t xml:space="preserve"> </w:t>
      </w:r>
      <w:r w:rsidR="00171E29" w:rsidRPr="00EA753F">
        <w:t>at Snapper South.</w:t>
      </w:r>
      <w:r w:rsidR="00171E29">
        <w:t xml:space="preserve"> In 2015 no COTS were observed.</w:t>
      </w:r>
    </w:p>
    <w:p w14:paraId="499E32C4" w14:textId="77777777" w:rsidR="00EA753F" w:rsidRPr="00EA753F" w:rsidRDefault="00EA753F">
      <w:r w:rsidRPr="00EA753F">
        <w:t xml:space="preserve">Physical impacts to these reefs </w:t>
      </w:r>
      <w:r w:rsidR="00171E29">
        <w:t>were</w:t>
      </w:r>
      <w:r w:rsidRPr="00EA753F">
        <w:t xml:space="preserve"> recorded following a severe storm in 2009 and most significantly Cyclone Ita in 2014 </w:t>
      </w:r>
      <w:r w:rsidR="00171E29">
        <w:t>that</w:t>
      </w:r>
      <w:r w:rsidRPr="00EA753F">
        <w:t xml:space="preserve"> </w:t>
      </w:r>
      <w:r w:rsidR="00F65DBA">
        <w:t xml:space="preserve">removed 90% and 49% of the hard coral cover from </w:t>
      </w:r>
      <w:r w:rsidRPr="00EA753F">
        <w:t>Snapper North</w:t>
      </w:r>
      <w:r w:rsidR="00171E29">
        <w:t xml:space="preserve"> </w:t>
      </w:r>
      <w:r w:rsidR="00F65DBA">
        <w:t xml:space="preserve">2m and 5m depths respectively </w:t>
      </w:r>
      <w:r w:rsidR="00171E29">
        <w:t>(</w:t>
      </w:r>
      <w:r w:rsidR="00CA29DC">
        <w:fldChar w:fldCharType="begin"/>
      </w:r>
      <w:r w:rsidR="00CA29DC">
        <w:instrText xml:space="preserve"> REF _Ref438119411 \h </w:instrText>
      </w:r>
      <w:r w:rsidR="00CA29DC">
        <w:fldChar w:fldCharType="separate"/>
      </w:r>
      <w:r w:rsidR="00B61881">
        <w:t xml:space="preserve">Figure </w:t>
      </w:r>
      <w:r w:rsidR="00B61881">
        <w:rPr>
          <w:noProof/>
        </w:rPr>
        <w:t>5</w:t>
      </w:r>
      <w:r w:rsidR="00CA29DC">
        <w:fldChar w:fldCharType="end"/>
      </w:r>
      <w:r w:rsidR="00171E29">
        <w:t>,</w:t>
      </w:r>
      <w:r w:rsidR="00CA29DC">
        <w:t xml:space="preserve"> </w:t>
      </w:r>
      <w:r w:rsidR="00CA29DC" w:rsidRPr="00CA29DC">
        <w:fldChar w:fldCharType="begin"/>
      </w:r>
      <w:r w:rsidR="00CA29DC" w:rsidRPr="00CA29DC">
        <w:instrText xml:space="preserve"> REF _Ref460423821 \h  \* MERGEFORMAT </w:instrText>
      </w:r>
      <w:r w:rsidR="00CA29DC" w:rsidRPr="00CA29DC">
        <w:fldChar w:fldCharType="separate"/>
      </w:r>
      <w:r w:rsidR="00B61881" w:rsidRPr="00B61881">
        <w:rPr>
          <w:rFonts w:eastAsia="SimSun"/>
        </w:rPr>
        <w:t xml:space="preserve">Table </w:t>
      </w:r>
      <w:proofErr w:type="gramStart"/>
      <w:r w:rsidR="00B61881" w:rsidRPr="00B61881">
        <w:rPr>
          <w:rFonts w:eastAsia="SimSun"/>
        </w:rPr>
        <w:t>A</w:t>
      </w:r>
      <w:proofErr w:type="gramEnd"/>
      <w:r w:rsidR="00B61881" w:rsidRPr="00B61881">
        <w:rPr>
          <w:rFonts w:eastAsia="SimSun"/>
        </w:rPr>
        <w:t xml:space="preserve"> 2</w:t>
      </w:r>
      <w:r w:rsidR="00CA29DC" w:rsidRPr="00CA29DC">
        <w:fldChar w:fldCharType="end"/>
      </w:r>
      <w:r w:rsidR="00171E29">
        <w:t>)</w:t>
      </w:r>
      <w:r w:rsidRPr="00EA753F">
        <w:t>.</w:t>
      </w:r>
    </w:p>
    <w:p w14:paraId="550E6FEE" w14:textId="77777777" w:rsidR="00171E29" w:rsidRDefault="00EA753F" w:rsidP="00406BD7">
      <w:r w:rsidRPr="00EA753F">
        <w:t xml:space="preserve">Increased incidence of disease </w:t>
      </w:r>
      <w:r w:rsidR="00171E29">
        <w:t>was</w:t>
      </w:r>
      <w:r w:rsidRPr="00EA753F">
        <w:t xml:space="preserve"> observed in 2006 </w:t>
      </w:r>
      <w:r w:rsidR="00B97B5D">
        <w:t xml:space="preserve">(though </w:t>
      </w:r>
      <w:r w:rsidR="003053B5">
        <w:t xml:space="preserve">this </w:t>
      </w:r>
      <w:r w:rsidR="00B97B5D">
        <w:t>resulted in little if any reduction in coral cover</w:t>
      </w:r>
      <w:r w:rsidR="003053B5">
        <w:t xml:space="preserve"> suggesting losses where compensated for by growth of corals</w:t>
      </w:r>
      <w:r w:rsidR="00B97B5D">
        <w:t xml:space="preserve">) </w:t>
      </w:r>
      <w:r w:rsidRPr="00EA753F">
        <w:t>and over the 20</w:t>
      </w:r>
      <w:r w:rsidR="00B97B5D">
        <w:t>10</w:t>
      </w:r>
      <w:r w:rsidRPr="00EA753F">
        <w:t xml:space="preserve"> to 2011 period </w:t>
      </w:r>
      <w:r w:rsidR="00B97B5D">
        <w:t>when coral cover was reduced by between 20% and 36% at Snapper North 2m and 5m sites respectively</w:t>
      </w:r>
      <w:r w:rsidRPr="00EA753F">
        <w:t xml:space="preserve"> (</w:t>
      </w:r>
      <w:r w:rsidR="00CA29DC">
        <w:fldChar w:fldCharType="begin"/>
      </w:r>
      <w:r w:rsidR="00CA29DC">
        <w:instrText xml:space="preserve"> REF _Ref438119411 \h </w:instrText>
      </w:r>
      <w:r w:rsidR="00CA29DC">
        <w:fldChar w:fldCharType="separate"/>
      </w:r>
      <w:r w:rsidR="00B61881">
        <w:t xml:space="preserve">Figure </w:t>
      </w:r>
      <w:r w:rsidR="00B61881">
        <w:rPr>
          <w:noProof/>
        </w:rPr>
        <w:t>5</w:t>
      </w:r>
      <w:r w:rsidR="00CA29DC">
        <w:fldChar w:fldCharType="end"/>
      </w:r>
      <w:r w:rsidR="00CA29DC">
        <w:t xml:space="preserve">, </w:t>
      </w:r>
      <w:r w:rsidR="00CA29DC" w:rsidRPr="00CA29DC">
        <w:fldChar w:fldCharType="begin"/>
      </w:r>
      <w:r w:rsidR="00CA29DC" w:rsidRPr="00CA29DC">
        <w:instrText xml:space="preserve"> REF _Ref460423821 \h  \* MERGEFORMAT </w:instrText>
      </w:r>
      <w:r w:rsidR="00CA29DC" w:rsidRPr="00CA29DC">
        <w:fldChar w:fldCharType="separate"/>
      </w:r>
      <w:r w:rsidR="00B61881" w:rsidRPr="00B61881">
        <w:rPr>
          <w:rFonts w:eastAsia="SimSun"/>
        </w:rPr>
        <w:t>Table A 2</w:t>
      </w:r>
      <w:r w:rsidR="00CA29DC" w:rsidRPr="00CA29DC">
        <w:fldChar w:fldCharType="end"/>
      </w:r>
      <w:r w:rsidR="00B97B5D">
        <w:t>)</w:t>
      </w:r>
      <w:r w:rsidRPr="00EA753F">
        <w:t>.</w:t>
      </w:r>
      <w:r w:rsidR="00B97B5D">
        <w:t>C</w:t>
      </w:r>
      <w:r w:rsidRPr="00EA753F">
        <w:t xml:space="preserve">ombined </w:t>
      </w:r>
      <w:r w:rsidR="00B97B5D">
        <w:t xml:space="preserve">discharge from the </w:t>
      </w:r>
      <w:r w:rsidRPr="00EA753F">
        <w:t>Barro</w:t>
      </w:r>
      <w:r w:rsidR="00171E29">
        <w:t xml:space="preserve">n and Daintree rivers (Figure </w:t>
      </w:r>
      <w:r w:rsidR="006F5BF8">
        <w:t>4</w:t>
      </w:r>
      <w:r w:rsidRPr="00EA753F">
        <w:t>d)</w:t>
      </w:r>
      <w:r w:rsidR="00B97B5D">
        <w:t xml:space="preserve"> was well above median flows in 2011</w:t>
      </w:r>
      <w:r w:rsidRPr="00EA753F">
        <w:t xml:space="preserve">, supporting the documented link between increased runoff and disease prevalence (Bruno </w:t>
      </w:r>
      <w:r w:rsidRPr="00EA753F">
        <w:rPr>
          <w:i/>
        </w:rPr>
        <w:t>et al.</w:t>
      </w:r>
      <w:r w:rsidRPr="00EA753F">
        <w:t xml:space="preserve"> 2003, </w:t>
      </w:r>
      <w:r w:rsidR="00052402" w:rsidRPr="00773FDE">
        <w:rPr>
          <w:rFonts w:cs="Arial"/>
          <w:color w:val="000000" w:themeColor="text1"/>
          <w:szCs w:val="22"/>
        </w:rPr>
        <w:t xml:space="preserve">Kline </w:t>
      </w:r>
      <w:r w:rsidR="00052402" w:rsidRPr="00773FDE">
        <w:rPr>
          <w:rFonts w:cs="Arial"/>
          <w:i/>
          <w:color w:val="000000" w:themeColor="text1"/>
          <w:szCs w:val="22"/>
        </w:rPr>
        <w:t>et al</w:t>
      </w:r>
      <w:r w:rsidR="00052402" w:rsidRPr="00773FDE">
        <w:rPr>
          <w:rFonts w:cs="Arial"/>
          <w:color w:val="000000" w:themeColor="text1"/>
          <w:szCs w:val="22"/>
        </w:rPr>
        <w:t xml:space="preserve">. 2006, Kuntz </w:t>
      </w:r>
      <w:r w:rsidR="00052402" w:rsidRPr="00773FDE">
        <w:rPr>
          <w:rFonts w:cs="Arial"/>
          <w:i/>
          <w:color w:val="000000" w:themeColor="text1"/>
          <w:szCs w:val="22"/>
        </w:rPr>
        <w:t>et al</w:t>
      </w:r>
      <w:r w:rsidR="00052402" w:rsidRPr="00773FDE">
        <w:rPr>
          <w:rFonts w:cs="Arial"/>
          <w:color w:val="000000" w:themeColor="text1"/>
          <w:szCs w:val="22"/>
        </w:rPr>
        <w:t>. 2005</w:t>
      </w:r>
      <w:r w:rsidR="00052402">
        <w:rPr>
          <w:rFonts w:cs="Arial"/>
          <w:color w:val="000000" w:themeColor="text1"/>
          <w:szCs w:val="22"/>
        </w:rPr>
        <w:t>, Voss &amp; Richardson 2006,</w:t>
      </w:r>
      <w:r w:rsidRPr="00EA753F">
        <w:t xml:space="preserve">Kaczmarsky </w:t>
      </w:r>
      <w:r w:rsidR="00522D23">
        <w:t>&amp;</w:t>
      </w:r>
      <w:r w:rsidRPr="00EA753F">
        <w:t xml:space="preserve"> Richardson 2010, Haapkylä </w:t>
      </w:r>
      <w:r w:rsidRPr="00EA753F">
        <w:rPr>
          <w:i/>
        </w:rPr>
        <w:t xml:space="preserve">et al. </w:t>
      </w:r>
      <w:r w:rsidRPr="00EA753F">
        <w:t xml:space="preserve">2011, 2013, Vega Thurber </w:t>
      </w:r>
      <w:r w:rsidRPr="00EA753F">
        <w:rPr>
          <w:i/>
        </w:rPr>
        <w:t>et al.</w:t>
      </w:r>
      <w:r w:rsidRPr="00EA753F">
        <w:t xml:space="preserve"> 2013).</w:t>
      </w:r>
      <w:r w:rsidR="00B97B5D">
        <w:t xml:space="preserve"> This was not the case in 2010 when discharge was typical for the sub-region, however s</w:t>
      </w:r>
      <w:r w:rsidRPr="00EA753F">
        <w:t xml:space="preserve">ince 2008 the water quality index has </w:t>
      </w:r>
      <w:r w:rsidR="00171E29">
        <w:t>steadily declined</w:t>
      </w:r>
      <w:r w:rsidRPr="00EA753F">
        <w:t xml:space="preserve"> </w:t>
      </w:r>
      <w:r w:rsidRPr="00755447">
        <w:t>(</w:t>
      </w:r>
      <w:r w:rsidR="00CA29DC">
        <w:fldChar w:fldCharType="begin"/>
      </w:r>
      <w:r w:rsidR="00CA29DC">
        <w:instrText xml:space="preserve"> REF _Ref460423998 \h </w:instrText>
      </w:r>
      <w:r w:rsidR="00CA29DC">
        <w:fldChar w:fldCharType="separate"/>
      </w:r>
      <w:r w:rsidR="00B61881">
        <w:t xml:space="preserve">Figure A </w:t>
      </w:r>
      <w:r w:rsidR="00B61881">
        <w:rPr>
          <w:noProof/>
        </w:rPr>
        <w:t>10</w:t>
      </w:r>
      <w:r w:rsidR="00CA29DC">
        <w:fldChar w:fldCharType="end"/>
      </w:r>
      <w:r w:rsidR="00755447" w:rsidRPr="00AF06B0">
        <w:rPr>
          <w:rFonts w:cs="Arial"/>
          <w:szCs w:val="22"/>
          <w:lang w:val="en-AU" w:eastAsia="en-AU"/>
        </w:rPr>
        <w:t>)</w:t>
      </w:r>
      <w:r w:rsidR="00755447" w:rsidRPr="00EA753F">
        <w:t xml:space="preserve"> </w:t>
      </w:r>
      <w:r w:rsidR="00B97B5D">
        <w:t xml:space="preserve">and </w:t>
      </w:r>
      <w:r w:rsidR="009F0F0C">
        <w:t xml:space="preserve">turbidity </w:t>
      </w:r>
      <w:r w:rsidR="00B97B5D">
        <w:t>remaine</w:t>
      </w:r>
      <w:r w:rsidR="00CD2E2F">
        <w:t>d</w:t>
      </w:r>
      <w:r w:rsidR="00B97B5D">
        <w:t xml:space="preserve"> </w:t>
      </w:r>
      <w:r w:rsidRPr="00EA753F">
        <w:t>consistently</w:t>
      </w:r>
      <w:r w:rsidR="00B97B5D">
        <w:t xml:space="preserve"> high</w:t>
      </w:r>
      <w:r w:rsidRPr="00EA753F">
        <w:t xml:space="preserve"> (</w:t>
      </w:r>
      <w:r w:rsidR="00345FC7">
        <w:fldChar w:fldCharType="begin"/>
      </w:r>
      <w:r w:rsidR="00345FC7">
        <w:instrText xml:space="preserve"> REF _Ref438119411 \h </w:instrText>
      </w:r>
      <w:r w:rsidR="00345FC7">
        <w:fldChar w:fldCharType="separate"/>
      </w:r>
      <w:r w:rsidR="00B61881">
        <w:t xml:space="preserve">Figure </w:t>
      </w:r>
      <w:r w:rsidR="00B61881">
        <w:rPr>
          <w:noProof/>
        </w:rPr>
        <w:t>5</w:t>
      </w:r>
      <w:r w:rsidR="00345FC7">
        <w:fldChar w:fldCharType="end"/>
      </w:r>
      <w:r w:rsidRPr="00EA753F">
        <w:t>h)</w:t>
      </w:r>
      <w:r w:rsidR="00481EAA">
        <w:t>, in addition there was a particularly warm winter in 2010 (</w:t>
      </w:r>
      <w:r w:rsidR="00345FC7">
        <w:fldChar w:fldCharType="begin"/>
      </w:r>
      <w:r w:rsidR="00345FC7">
        <w:instrText xml:space="preserve"> REF _Ref438119398 \h </w:instrText>
      </w:r>
      <w:r w:rsidR="00345FC7">
        <w:fldChar w:fldCharType="separate"/>
      </w:r>
      <w:r w:rsidR="00B61881">
        <w:t xml:space="preserve">Figure </w:t>
      </w:r>
      <w:r w:rsidR="00B61881">
        <w:rPr>
          <w:noProof/>
        </w:rPr>
        <w:t>4</w:t>
      </w:r>
      <w:r w:rsidR="00345FC7">
        <w:fldChar w:fldCharType="end"/>
      </w:r>
      <w:r w:rsidR="00481EAA">
        <w:t>c) that may also have contributed to the disease levels observed in that year.</w:t>
      </w:r>
      <w:r w:rsidRPr="00EA753F">
        <w:t xml:space="preserve"> </w:t>
      </w:r>
    </w:p>
    <w:p w14:paraId="25E8D86D" w14:textId="77777777" w:rsidR="00EA753F" w:rsidRDefault="00EA753F" w:rsidP="00CB4912">
      <w:pPr>
        <w:rPr>
          <w:rFonts w:cs="Arial"/>
          <w:color w:val="000000" w:themeColor="text1"/>
          <w:szCs w:val="22"/>
        </w:rPr>
      </w:pPr>
      <w:r w:rsidRPr="00EA753F">
        <w:t>In summary the coral communities in the Barron-Daintree sub-region have shown a history of strong resilience under</w:t>
      </w:r>
      <w:r w:rsidR="000C6FCB">
        <w:t xml:space="preserve"> previous disturbance regimes. </w:t>
      </w:r>
      <w:r w:rsidRPr="00EA753F">
        <w:t xml:space="preserve">The </w:t>
      </w:r>
      <w:r w:rsidR="00782E3F">
        <w:t>combined effects of Cyclone Ita, a</w:t>
      </w:r>
      <w:r w:rsidR="00CD2E2F">
        <w:t xml:space="preserve">nd the recent </w:t>
      </w:r>
      <w:r w:rsidR="00782E3F">
        <w:t>COTS outbreak</w:t>
      </w:r>
      <w:r w:rsidR="004E1553">
        <w:t xml:space="preserve"> </w:t>
      </w:r>
      <w:r w:rsidR="00782E3F">
        <w:t xml:space="preserve"> </w:t>
      </w:r>
      <w:r w:rsidRPr="00EA753F">
        <w:t xml:space="preserve"> </w:t>
      </w:r>
      <w:r w:rsidR="00720430">
        <w:t xml:space="preserve">have clearly </w:t>
      </w:r>
      <w:r w:rsidRPr="00EA753F">
        <w:t>influenc</w:t>
      </w:r>
      <w:r w:rsidR="00720430">
        <w:t>ed</w:t>
      </w:r>
      <w:r w:rsidRPr="00EA753F">
        <w:t xml:space="preserve"> these communities </w:t>
      </w:r>
      <w:r w:rsidR="00720430">
        <w:t>and resulted in declines in</w:t>
      </w:r>
      <w:r w:rsidRPr="00EA753F">
        <w:t xml:space="preserve"> all 5 of the </w:t>
      </w:r>
      <w:r w:rsidR="00BC4C89">
        <w:t>coral</w:t>
      </w:r>
      <w:r w:rsidR="00BC4C89" w:rsidRPr="00EA753F">
        <w:t xml:space="preserve"> </w:t>
      </w:r>
      <w:r w:rsidRPr="00EA753F">
        <w:t>ind</w:t>
      </w:r>
      <w:r w:rsidR="00BC4C89">
        <w:t>ex</w:t>
      </w:r>
      <w:r w:rsidRPr="00EA753F">
        <w:t xml:space="preserve"> metrics, most significantly coral cover</w:t>
      </w:r>
      <w:r w:rsidR="00AF06B0">
        <w:t xml:space="preserve">, </w:t>
      </w:r>
      <w:r w:rsidRPr="00EA753F">
        <w:t>coral composition</w:t>
      </w:r>
      <w:r w:rsidR="00AF06B0">
        <w:t xml:space="preserve"> and the proportion of macroalgae in the algal community</w:t>
      </w:r>
      <w:r w:rsidR="00171E29">
        <w:t xml:space="preserve"> (</w:t>
      </w:r>
      <w:r w:rsidR="00345FC7">
        <w:fldChar w:fldCharType="begin"/>
      </w:r>
      <w:r w:rsidR="00345FC7">
        <w:instrText xml:space="preserve"> REF _Ref438119411 \h </w:instrText>
      </w:r>
      <w:r w:rsidR="00345FC7">
        <w:fldChar w:fldCharType="separate"/>
      </w:r>
      <w:r w:rsidR="00B61881">
        <w:t xml:space="preserve">Figure </w:t>
      </w:r>
      <w:r w:rsidR="00B61881">
        <w:rPr>
          <w:noProof/>
        </w:rPr>
        <w:t>5</w:t>
      </w:r>
      <w:r w:rsidR="00345FC7">
        <w:fldChar w:fldCharType="end"/>
      </w:r>
      <w:r w:rsidR="00171E29">
        <w:t>b,</w:t>
      </w:r>
      <w:r w:rsidR="00AF06B0">
        <w:t>c,</w:t>
      </w:r>
      <w:r w:rsidR="00171E29">
        <w:t>f)</w:t>
      </w:r>
      <w:r w:rsidRPr="00EA753F">
        <w:t xml:space="preserve">. </w:t>
      </w:r>
      <w:r w:rsidR="00052402">
        <w:t>That occurrence of disease and increased representation of macroalgae coincide with a period of declining water quality implicate local water quality as playing a r</w:t>
      </w:r>
      <w:r w:rsidR="00481EAA">
        <w:t xml:space="preserve">ole in observed declines. At a </w:t>
      </w:r>
      <w:r w:rsidR="00052402">
        <w:t>larger scale</w:t>
      </w:r>
      <w:r w:rsidR="00B4084C">
        <w:t>,</w:t>
      </w:r>
      <w:r w:rsidR="00052402">
        <w:t xml:space="preserve"> </w:t>
      </w:r>
      <w:r w:rsidR="005E4DC4">
        <w:t xml:space="preserve">COTS </w:t>
      </w:r>
      <w:r w:rsidR="00052402">
        <w:t xml:space="preserve">outbreaks have been prevalent on midshelf reefs for several years the timing of this current outbreak reinforces prior observations of outbreaks following major flooding of rivers to the south and in particular the Burdekin River that </w:t>
      </w:r>
      <w:r w:rsidR="00B4084C">
        <w:t xml:space="preserve">had major </w:t>
      </w:r>
      <w:r w:rsidR="00052402">
        <w:t>flood</w:t>
      </w:r>
      <w:r w:rsidR="00B4084C">
        <w:t>s</w:t>
      </w:r>
      <w:r w:rsidR="00052402">
        <w:t xml:space="preserve"> in 2008</w:t>
      </w:r>
      <w:r w:rsidR="00B4084C">
        <w:t xml:space="preserve"> and 2009</w:t>
      </w:r>
      <w:r w:rsidR="00052402">
        <w:t xml:space="preserve"> (</w:t>
      </w:r>
      <w:r w:rsidR="00CA29DC">
        <w:fldChar w:fldCharType="begin"/>
      </w:r>
      <w:r w:rsidR="00CA29DC">
        <w:instrText xml:space="preserve"> REF _Ref460423784 \h </w:instrText>
      </w:r>
      <w:r w:rsidR="00CA29DC">
        <w:fldChar w:fldCharType="separate"/>
      </w:r>
      <w:r w:rsidR="00B61881">
        <w:t xml:space="preserve">Table A </w:t>
      </w:r>
      <w:r w:rsidR="00B61881">
        <w:rPr>
          <w:noProof/>
        </w:rPr>
        <w:t>1</w:t>
      </w:r>
      <w:r w:rsidR="00CA29DC">
        <w:fldChar w:fldCharType="end"/>
      </w:r>
      <w:r w:rsidR="004E1553">
        <w:t xml:space="preserve">, </w:t>
      </w:r>
      <w:r w:rsidR="00413104" w:rsidRPr="00EA753F">
        <w:t xml:space="preserve">Brodie </w:t>
      </w:r>
      <w:r w:rsidR="00413104" w:rsidRPr="00EA753F">
        <w:rPr>
          <w:i/>
        </w:rPr>
        <w:t>et al.</w:t>
      </w:r>
      <w:r w:rsidR="00413104" w:rsidRPr="00EA753F">
        <w:t xml:space="preserve"> 2008, Fabricius </w:t>
      </w:r>
      <w:r w:rsidR="00413104" w:rsidRPr="00EA753F">
        <w:rPr>
          <w:i/>
        </w:rPr>
        <w:t>et al.</w:t>
      </w:r>
      <w:r w:rsidR="00413104">
        <w:t xml:space="preserve"> 2010, Furnas </w:t>
      </w:r>
      <w:r w:rsidR="00413104" w:rsidRPr="00DD6E15">
        <w:rPr>
          <w:i/>
        </w:rPr>
        <w:t>et al.</w:t>
      </w:r>
      <w:r w:rsidR="00413104">
        <w:t xml:space="preserve"> 2013</w:t>
      </w:r>
      <w:r w:rsidR="00B4084C">
        <w:t xml:space="preserve">) further linking water quality to the recent decline in this sub-region. With a return to drier </w:t>
      </w:r>
      <w:r w:rsidR="00B32B2E">
        <w:t xml:space="preserve">conditions and correspondingly lower loads of sediments and nutrients delivered to the ocean </w:t>
      </w:r>
      <w:r w:rsidR="00EE5DC8">
        <w:t>in 2015</w:t>
      </w:r>
      <w:r w:rsidR="00B4084C">
        <w:t xml:space="preserve"> it is encouraging to see the slight improvement in coral community condition observed in 2015.</w:t>
      </w:r>
    </w:p>
    <w:p w14:paraId="70C394B4" w14:textId="77777777" w:rsidR="000C6FCB" w:rsidRPr="00CB4912" w:rsidRDefault="000C6FCB" w:rsidP="00CB4912"/>
    <w:p w14:paraId="1A2CA5B2" w14:textId="77777777" w:rsidR="00EA753F" w:rsidRPr="00EA753F" w:rsidRDefault="00523D87" w:rsidP="00FB7FD7">
      <w:r>
        <w:rPr>
          <w:noProof/>
          <w:lang w:val="en-AU" w:eastAsia="en-AU"/>
        </w:rPr>
        <w:drawing>
          <wp:inline distT="0" distB="0" distL="0" distR="0" wp14:anchorId="2C3B238A" wp14:editId="73CF3800">
            <wp:extent cx="6120765" cy="6120765"/>
            <wp:effectExtent l="0" t="0" r="0" b="0"/>
            <wp:docPr id="17" name="Picture 17" descr="Figure 5: Coral reef community and water quality trends in the Barron Daintree sub-region. 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in records of chlorophyll a and turbidity (g, h) from ECO FLNTUSB instruments are represented in red, individual records are not displayed. Dashed reference lines indicate GBRMPA (2010) guideline values." title="Figure 5: Coral reef community and water quality trends in the Barron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Barron_Daintree.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3DDD4B25" w14:textId="77777777" w:rsidR="00E51750" w:rsidRPr="006B3B22" w:rsidRDefault="006B3B22" w:rsidP="00E56CF1">
      <w:pPr>
        <w:pStyle w:val="Caption"/>
        <w:rPr>
          <w:vanish/>
        </w:rPr>
      </w:pPr>
      <w:bookmarkStart w:id="105" w:name="_Ref438119411"/>
      <w:bookmarkStart w:id="106" w:name="_Toc437423850"/>
      <w:bookmarkStart w:id="107" w:name="_Toc437424029"/>
      <w:bookmarkStart w:id="108" w:name="_Toc437424295"/>
      <w:bookmarkStart w:id="109" w:name="_Toc437597629"/>
      <w:bookmarkStart w:id="110" w:name="_Toc460490774"/>
      <w:r>
        <w:t xml:space="preserve">Figure </w:t>
      </w:r>
      <w:r w:rsidR="005D2F9F">
        <w:fldChar w:fldCharType="begin"/>
      </w:r>
      <w:r w:rsidR="005D2F9F">
        <w:instrText xml:space="preserve"> SEQ Figure \* ARABIC </w:instrText>
      </w:r>
      <w:r w:rsidR="005D2F9F">
        <w:fldChar w:fldCharType="separate"/>
      </w:r>
      <w:r w:rsidR="00B61881">
        <w:rPr>
          <w:noProof/>
        </w:rPr>
        <w:t>5</w:t>
      </w:r>
      <w:r w:rsidR="005D2F9F">
        <w:rPr>
          <w:noProof/>
        </w:rPr>
        <w:fldChar w:fldCharType="end"/>
      </w:r>
      <w:bookmarkEnd w:id="105"/>
      <w:r>
        <w:t>: C</w:t>
      </w:r>
      <w:r w:rsidR="00EA753F" w:rsidRPr="00EA753F">
        <w:t>oral reef community and water quality trends in the Barron Daintree sub-region.</w:t>
      </w:r>
      <w:bookmarkEnd w:id="106"/>
      <w:bookmarkEnd w:id="107"/>
      <w:bookmarkEnd w:id="108"/>
      <w:bookmarkEnd w:id="109"/>
      <w:bookmarkEnd w:id="110"/>
      <w:r w:rsidR="00EA753F" w:rsidRPr="00EA753F">
        <w:t xml:space="preserve"> </w:t>
      </w:r>
    </w:p>
    <w:p w14:paraId="6D98AE18" w14:textId="77777777" w:rsidR="00DC4665" w:rsidRPr="00FB7FD7" w:rsidRDefault="00DC4665" w:rsidP="00E56CF1">
      <w:pPr>
        <w:pStyle w:val="Caption"/>
        <w:rPr>
          <w:rStyle w:val="IntenseReference"/>
          <w:rFonts w:eastAsia="SimSun"/>
        </w:rPr>
      </w:pPr>
      <w:bookmarkStart w:id="111" w:name="_Toc437424296"/>
      <w:bookmarkStart w:id="112" w:name="_Toc437432349"/>
      <w:bookmarkStart w:id="113" w:name="_Toc437597630"/>
      <w:r w:rsidRPr="00FB7FD7">
        <w:rPr>
          <w:rStyle w:val="IntenseReference"/>
          <w:rFonts w:eastAsia="SimSun"/>
        </w:rPr>
        <w:t xml:space="preserve">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w:t>
      </w:r>
      <w:r w:rsidR="00FA3AF5" w:rsidRPr="00FB7FD7">
        <w:rPr>
          <w:rStyle w:val="IntenseReference"/>
          <w:rFonts w:eastAsia="SimSun"/>
        </w:rPr>
        <w:t>in</w:t>
      </w:r>
      <w:r w:rsidRPr="00FB7FD7">
        <w:rPr>
          <w:rStyle w:val="IntenseReference"/>
          <w:rFonts w:eastAsia="SimSun"/>
        </w:rPr>
        <w:t xml:space="preserve"> records of chlorophyll a and turbidity (</w:t>
      </w:r>
      <w:r w:rsidR="005E0BA2" w:rsidRPr="00FB7FD7">
        <w:rPr>
          <w:rStyle w:val="IntenseReference"/>
          <w:rFonts w:eastAsia="SimSun"/>
        </w:rPr>
        <w:t>g</w:t>
      </w:r>
      <w:r w:rsidRPr="00FB7FD7">
        <w:rPr>
          <w:rStyle w:val="IntenseReference"/>
          <w:rFonts w:eastAsia="SimSun"/>
        </w:rPr>
        <w:t xml:space="preserve">, h) from ECO FLNTUSB instruments are represented in red, individual records are not displayed. Dashed reference lines indicate GBRMPA </w:t>
      </w:r>
      <w:r w:rsidR="005E0BA2" w:rsidRPr="00FB7FD7">
        <w:rPr>
          <w:rStyle w:val="IntenseReference"/>
          <w:rFonts w:eastAsia="SimSun"/>
        </w:rPr>
        <w:t xml:space="preserve">(2010) </w:t>
      </w:r>
      <w:r w:rsidRPr="00FB7FD7">
        <w:rPr>
          <w:rStyle w:val="IntenseReference"/>
          <w:rFonts w:eastAsia="SimSun"/>
        </w:rPr>
        <w:t>guideline values.</w:t>
      </w:r>
      <w:bookmarkEnd w:id="111"/>
      <w:bookmarkEnd w:id="112"/>
      <w:bookmarkEnd w:id="113"/>
    </w:p>
    <w:p w14:paraId="155BBEE4" w14:textId="77777777" w:rsidR="00EA753F" w:rsidRPr="00EA753F" w:rsidRDefault="00EA753F" w:rsidP="00F352CD">
      <w:pPr>
        <w:pStyle w:val="Heading2"/>
      </w:pPr>
      <w:r w:rsidRPr="00EA753F">
        <w:br w:type="page"/>
      </w:r>
      <w:bookmarkStart w:id="114" w:name="_Toc437424407"/>
      <w:bookmarkStart w:id="115" w:name="_Toc437424531"/>
      <w:bookmarkStart w:id="116" w:name="_Toc437432462"/>
      <w:bookmarkStart w:id="117" w:name="_Toc437432535"/>
      <w:bookmarkStart w:id="118" w:name="_Toc460490662"/>
      <w:r w:rsidR="00F352CD">
        <w:lastRenderedPageBreak/>
        <w:t>5</w:t>
      </w:r>
      <w:r w:rsidR="002A28EE">
        <w:t>.</w:t>
      </w:r>
      <w:r w:rsidR="00DC4665">
        <w:t>2</w:t>
      </w:r>
      <w:r w:rsidRPr="00EA753F">
        <w:tab/>
        <w:t>Wet Tropics Region: Johnstone Russell-Mulgrave sub-region</w:t>
      </w:r>
      <w:bookmarkEnd w:id="114"/>
      <w:bookmarkEnd w:id="115"/>
      <w:bookmarkEnd w:id="116"/>
      <w:bookmarkEnd w:id="117"/>
      <w:bookmarkEnd w:id="118"/>
    </w:p>
    <w:p w14:paraId="7BB6E127" w14:textId="77777777" w:rsidR="000C6FCB" w:rsidRDefault="00EA753F" w:rsidP="00FF5767">
      <w:r w:rsidRPr="00EA753F">
        <w:t>The catchments within this sub-region have a high proportion of upland National Park and forest. Land use in this sub-region is primarily for sugar production on the coastal plain and a significant area of the Johnstone catchment is utilised as grazi</w:t>
      </w:r>
      <w:r w:rsidR="00B4084C">
        <w:t>ng land</w:t>
      </w:r>
      <w:r w:rsidRPr="00EA753F">
        <w:t xml:space="preserve"> (Brodie </w:t>
      </w:r>
      <w:r w:rsidRPr="00EA753F">
        <w:rPr>
          <w:i/>
        </w:rPr>
        <w:t>et al.</w:t>
      </w:r>
      <w:r w:rsidRPr="00EA753F">
        <w:t xml:space="preserve"> 2003). The inshore reefs adjacent to these catchments are </w:t>
      </w:r>
      <w:r w:rsidR="00B4084C">
        <w:t xml:space="preserve">most directly </w:t>
      </w:r>
      <w:r w:rsidRPr="00EA753F">
        <w:t>influenced by the discharge from the Russell-Mulgrave and Johnstone rivers</w:t>
      </w:r>
      <w:r w:rsidR="00B4084C">
        <w:t>.</w:t>
      </w:r>
      <w:r w:rsidRPr="00EA753F">
        <w:t xml:space="preserve"> </w:t>
      </w:r>
    </w:p>
    <w:p w14:paraId="31E89B71" w14:textId="77777777" w:rsidR="00FF5767" w:rsidRDefault="00523D87" w:rsidP="00FF5767">
      <w:r>
        <w:rPr>
          <w:noProof/>
          <w:lang w:val="en-AU" w:eastAsia="en-AU"/>
        </w:rPr>
        <w:drawing>
          <wp:inline distT="0" distB="0" distL="0" distR="0" wp14:anchorId="6FA45427" wp14:editId="0E3D5BA0">
            <wp:extent cx="6120765" cy="6120765"/>
            <wp:effectExtent l="0" t="0" r="0" b="0"/>
            <wp:docPr id="21" name="Picture 21" descr="Figure 6: Johnstone Russell-Mulgrave sub-region reef locations, environmental conditions and disturbances. A composite figure with four panels  a) Location of monitoring sites red symbols MMP, black symbols LTMP, mean exposure to secondary plume type waters (Álvarez-Romero et al. 2013) during the wet season: December to March, over the period 2003-2015 indicated by colour. b) break-down and level of disturbances causing loss of hard coral cover over the period 2005-2015, level of disturbance is scaled to the maximum disturbance rate of 16% reduction in hard coral per year that occurred in the Tully Herbert sub-region (outer black ring), loss due to disturbance type ‘none’ reflects a short fall in rate of cover increase during years free from acute disturbances. c) Seasonally adjusted temperature deviation, timing of cyclones and storms indicated by black arrows, accumulated degree heating days over the summer period (1st December to 31 March) each year indicated by black symbols d) Combined daily (blue) and annual (red) discharge for the combined Johnstone, Russell, and Mulgrave rivers, red dashed line represents long-term median discharge (1970-2000)." title="Figure 6: Johnstone Russell-Mulgrave sub-region reef locations, environmental conditions and disturba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env_Johnstone_Russell_Mulgrave.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Start w:id="119" w:name="_Toc437423851"/>
      <w:bookmarkStart w:id="120" w:name="_Toc437424030"/>
      <w:bookmarkStart w:id="121" w:name="_Toc437424297"/>
    </w:p>
    <w:p w14:paraId="43A004B5" w14:textId="77777777" w:rsidR="00AE3B23" w:rsidRPr="006B3B22" w:rsidRDefault="006B3B22" w:rsidP="00E56CF1">
      <w:pPr>
        <w:pStyle w:val="Caption"/>
        <w:rPr>
          <w:rStyle w:val="IntenseReference"/>
          <w:rFonts w:eastAsia="SimSun"/>
          <w:vanish/>
        </w:rPr>
      </w:pPr>
      <w:bookmarkStart w:id="122" w:name="_Ref438119862"/>
      <w:bookmarkStart w:id="123" w:name="_Toc437597631"/>
      <w:bookmarkStart w:id="124" w:name="_Toc460490775"/>
      <w:r>
        <w:t xml:space="preserve">Figure </w:t>
      </w:r>
      <w:r w:rsidR="005D2F9F">
        <w:fldChar w:fldCharType="begin"/>
      </w:r>
      <w:r w:rsidR="005D2F9F">
        <w:instrText xml:space="preserve"> SEQ Figure \* ARABIC </w:instrText>
      </w:r>
      <w:r w:rsidR="005D2F9F">
        <w:fldChar w:fldCharType="separate"/>
      </w:r>
      <w:r w:rsidR="00B61881">
        <w:rPr>
          <w:noProof/>
        </w:rPr>
        <w:t>6</w:t>
      </w:r>
      <w:r w:rsidR="005D2F9F">
        <w:rPr>
          <w:noProof/>
        </w:rPr>
        <w:fldChar w:fldCharType="end"/>
      </w:r>
      <w:bookmarkEnd w:id="122"/>
      <w:r>
        <w:t xml:space="preserve">: </w:t>
      </w:r>
      <w:r w:rsidR="00EA753F" w:rsidRPr="009155F8">
        <w:t>Johnstone Russe</w:t>
      </w:r>
      <w:r w:rsidR="005E0BA2" w:rsidRPr="009155F8">
        <w:t>l</w:t>
      </w:r>
      <w:r w:rsidR="00EA753F" w:rsidRPr="009155F8">
        <w:t>l-Mulgrave sub-region reef locations, environmental conditions</w:t>
      </w:r>
      <w:r w:rsidR="00EA753F" w:rsidRPr="00EA753F">
        <w:t xml:space="preserve"> </w:t>
      </w:r>
      <w:r w:rsidR="00EA753F" w:rsidRPr="00CB4912">
        <w:rPr>
          <w:rStyle w:val="IntenseReference"/>
          <w:rFonts w:eastAsia="SimSun"/>
        </w:rPr>
        <w:t>and disturbances.</w:t>
      </w:r>
      <w:bookmarkEnd w:id="119"/>
      <w:bookmarkEnd w:id="120"/>
      <w:bookmarkEnd w:id="121"/>
      <w:bookmarkEnd w:id="123"/>
      <w:bookmarkEnd w:id="124"/>
      <w:r w:rsidR="00EA753F" w:rsidRPr="00CB4912">
        <w:rPr>
          <w:rStyle w:val="IntenseReference"/>
          <w:rFonts w:eastAsia="SimSun"/>
        </w:rPr>
        <w:t xml:space="preserve">  </w:t>
      </w:r>
    </w:p>
    <w:p w14:paraId="6CE1789B" w14:textId="77777777" w:rsidR="00CB4912" w:rsidRDefault="00EA753F" w:rsidP="00FF5767">
      <w:pPr>
        <w:rPr>
          <w:rStyle w:val="IntenseReference"/>
          <w:rFonts w:eastAsia="SimSun"/>
        </w:rPr>
      </w:pPr>
      <w:bookmarkStart w:id="125" w:name="_Toc437424298"/>
      <w:bookmarkStart w:id="126" w:name="_Toc437432351"/>
      <w:r w:rsidRPr="00FB7FD7">
        <w:rPr>
          <w:rStyle w:val="IntenseReference"/>
          <w:rFonts w:eastAsia="SimSun"/>
        </w:rPr>
        <w:t xml:space="preserve">a) Location of monitoring sites red symbols MMP, black symbols LTMP, mean exposure to secondary plume type waters (Álvarez-Romero </w:t>
      </w:r>
      <w:r w:rsidRPr="00051C52">
        <w:rPr>
          <w:rStyle w:val="IntenseReference"/>
          <w:rFonts w:eastAsia="SimSun"/>
          <w:i/>
        </w:rPr>
        <w:t>et al.</w:t>
      </w:r>
      <w:r w:rsidRPr="00FB7FD7">
        <w:rPr>
          <w:rStyle w:val="IntenseReference"/>
          <w:rFonts w:eastAsia="SimSun"/>
        </w:rPr>
        <w:t xml:space="preserve"> 2013) during the wet season: December to March, over the period 2003-2015 indicated by colour. b) break-down and level of disturbances causing loss of hard coral cover</w:t>
      </w:r>
      <w:r w:rsidR="00646DCA">
        <w:rPr>
          <w:rStyle w:val="IntenseReference"/>
          <w:rFonts w:eastAsia="SimSun"/>
        </w:rPr>
        <w:t xml:space="preserve"> over the period 2005-2015</w:t>
      </w:r>
      <w:r w:rsidRPr="00FB7FD7">
        <w:rPr>
          <w:rStyle w:val="IntenseReference"/>
          <w:rFonts w:eastAsia="SimSun"/>
        </w:rPr>
        <w:t xml:space="preserve">, level of disturbance is scaled to the maximum disturbance rate of 16% reduction in hard coral per year that occurred in the Tully Herbert sub-region (outer black ring), loss due to disturbance type ‘none’ reflects a </w:t>
      </w:r>
      <w:r w:rsidR="00A77C75">
        <w:rPr>
          <w:rStyle w:val="IntenseReference"/>
          <w:rFonts w:eastAsia="SimSun"/>
        </w:rPr>
        <w:t>shortfall</w:t>
      </w:r>
      <w:r w:rsidRPr="00FB7FD7">
        <w:rPr>
          <w:rStyle w:val="IntenseReference"/>
          <w:rFonts w:eastAsia="SimSun"/>
        </w:rPr>
        <w:t xml:space="preserve"> in rate of cover increase during years free from acute disturbances. c) Seasonally adjusted temperature deviation, timing of cyclones and storms indicated by black arrows, accumulated degree heating days over the</w:t>
      </w:r>
      <w:r w:rsidR="005D2F9F">
        <w:rPr>
          <w:rStyle w:val="IntenseReference"/>
          <w:rFonts w:eastAsia="SimSun"/>
        </w:rPr>
        <w:t xml:space="preserve"> summer period (1</w:t>
      </w:r>
      <w:r w:rsidR="005D2F9F" w:rsidRPr="005D2F9F">
        <w:rPr>
          <w:rStyle w:val="IntenseReference"/>
          <w:rFonts w:eastAsia="SimSun"/>
          <w:vertAlign w:val="superscript"/>
        </w:rPr>
        <w:t>st</w:t>
      </w:r>
      <w:r w:rsidR="005D2F9F">
        <w:rPr>
          <w:rStyle w:val="IntenseReference"/>
          <w:rFonts w:eastAsia="SimSun"/>
        </w:rPr>
        <w:t xml:space="preserve"> December</w:t>
      </w:r>
      <w:r w:rsidRPr="00FB7FD7">
        <w:rPr>
          <w:rStyle w:val="IntenseReference"/>
          <w:rFonts w:eastAsia="SimSun"/>
        </w:rPr>
        <w:t xml:space="preserve"> to 31 March</w:t>
      </w:r>
      <w:r w:rsidR="005D2F9F">
        <w:rPr>
          <w:rStyle w:val="IntenseReference"/>
          <w:rFonts w:eastAsia="SimSun"/>
        </w:rPr>
        <w:t>)</w:t>
      </w:r>
      <w:r w:rsidRPr="00FB7FD7">
        <w:rPr>
          <w:rStyle w:val="IntenseReference"/>
          <w:rFonts w:eastAsia="SimSun"/>
        </w:rPr>
        <w:t xml:space="preserve"> each year indicated by black symbols d) Combined daily (blue)</w:t>
      </w:r>
      <w:r w:rsidR="00CB4912" w:rsidRPr="00FB7FD7">
        <w:rPr>
          <w:rStyle w:val="IntenseReference"/>
          <w:rFonts w:eastAsia="SimSun"/>
        </w:rPr>
        <w:t xml:space="preserve"> </w:t>
      </w:r>
      <w:r w:rsidRPr="00FB7FD7">
        <w:rPr>
          <w:rStyle w:val="IntenseReference"/>
          <w:rFonts w:eastAsia="SimSun"/>
        </w:rPr>
        <w:t xml:space="preserve">and annual (red) discharge for the </w:t>
      </w:r>
      <w:r w:rsidR="009A6EBC" w:rsidRPr="00FB7FD7">
        <w:rPr>
          <w:rStyle w:val="IntenseReference"/>
          <w:rFonts w:eastAsia="SimSun"/>
        </w:rPr>
        <w:t>combined Johnstone, Russell, and Mulgrave</w:t>
      </w:r>
      <w:r w:rsidRPr="00FB7FD7">
        <w:rPr>
          <w:rStyle w:val="IntenseReference"/>
          <w:rFonts w:eastAsia="SimSun"/>
        </w:rPr>
        <w:t xml:space="preserve"> rivers, red dashed line represents long-term median discharge (1970-2000).</w:t>
      </w:r>
      <w:bookmarkEnd w:id="125"/>
      <w:bookmarkEnd w:id="126"/>
    </w:p>
    <w:p w14:paraId="20DCBEE2" w14:textId="77777777" w:rsidR="00FB7FD7" w:rsidRPr="00FB7FD7" w:rsidRDefault="00FB7FD7" w:rsidP="00FB7FD7"/>
    <w:p w14:paraId="4F939F38" w14:textId="77777777" w:rsidR="00EA753F" w:rsidRDefault="00D06555" w:rsidP="00406BD7">
      <w:r>
        <w:lastRenderedPageBreak/>
        <w:t>Information from s</w:t>
      </w:r>
      <w:r w:rsidR="00EA753F" w:rsidRPr="00EA753F">
        <w:t>ix reefs sampled under the MMP</w:t>
      </w:r>
      <w:r>
        <w:t xml:space="preserve"> along with Fitzroy and Green</w:t>
      </w:r>
      <w:r w:rsidR="00FE4691">
        <w:t xml:space="preserve">, </w:t>
      </w:r>
      <w:r w:rsidR="00FE4691" w:rsidRPr="00EA753F">
        <w:t>monitored</w:t>
      </w:r>
      <w:r w:rsidR="00EA753F" w:rsidRPr="00EA753F">
        <w:t xml:space="preserve"> under the LTMP </w:t>
      </w:r>
      <w:r>
        <w:t xml:space="preserve">contribute to coral index </w:t>
      </w:r>
      <w:r w:rsidR="00B56F9A">
        <w:t>(</w:t>
      </w:r>
      <w:r w:rsidR="00345FC7">
        <w:fldChar w:fldCharType="begin"/>
      </w:r>
      <w:r w:rsidR="00345FC7">
        <w:instrText xml:space="preserve"> REF _Ref438119862 \h </w:instrText>
      </w:r>
      <w:r w:rsidR="00345FC7">
        <w:fldChar w:fldCharType="separate"/>
      </w:r>
      <w:r w:rsidR="00B61881">
        <w:t xml:space="preserve">Figure </w:t>
      </w:r>
      <w:r w:rsidR="00B61881">
        <w:rPr>
          <w:noProof/>
        </w:rPr>
        <w:t>6</w:t>
      </w:r>
      <w:r w:rsidR="00345FC7">
        <w:fldChar w:fldCharType="end"/>
      </w:r>
      <w:r w:rsidR="00EA753F" w:rsidRPr="00EA753F">
        <w:t>a).</w:t>
      </w:r>
      <w:r w:rsidR="00B32B2E">
        <w:t xml:space="preserve"> </w:t>
      </w:r>
      <w:r w:rsidR="00782312">
        <w:t>Compared to reefs in other regions these reefs experience less exposure to plume type waters – only</w:t>
      </w:r>
      <w:r w:rsidR="00EA753F" w:rsidRPr="00EA753F">
        <w:t xml:space="preserve"> High </w:t>
      </w:r>
      <w:r w:rsidR="007A5DAF">
        <w:t>West</w:t>
      </w:r>
      <w:r w:rsidR="007A5DAF" w:rsidRPr="00EA753F">
        <w:t xml:space="preserve"> </w:t>
      </w:r>
      <w:r w:rsidR="00B4084C">
        <w:t xml:space="preserve">is </w:t>
      </w:r>
      <w:r w:rsidR="00B4084C" w:rsidRPr="00EA753F">
        <w:t>expose</w:t>
      </w:r>
      <w:r w:rsidR="00B32B2E">
        <w:t>d</w:t>
      </w:r>
      <w:r w:rsidR="00EA753F" w:rsidRPr="00EA753F">
        <w:t xml:space="preserve"> to secondary plume</w:t>
      </w:r>
      <w:r w:rsidR="00B4084C">
        <w:t xml:space="preserve">-type waters for more than </w:t>
      </w:r>
      <w:r w:rsidR="00782312">
        <w:t>40</w:t>
      </w:r>
      <w:r w:rsidR="00B4084C">
        <w:t>% of the wet season</w:t>
      </w:r>
      <w:r w:rsidR="00B56F9A">
        <w:t xml:space="preserve"> (</w:t>
      </w:r>
      <w:r w:rsidR="00345FC7">
        <w:fldChar w:fldCharType="begin"/>
      </w:r>
      <w:r w:rsidR="00345FC7">
        <w:instrText xml:space="preserve"> REF _Ref438119862 \h </w:instrText>
      </w:r>
      <w:r w:rsidR="00345FC7">
        <w:fldChar w:fldCharType="separate"/>
      </w:r>
      <w:r w:rsidR="00B61881">
        <w:t xml:space="preserve">Figure </w:t>
      </w:r>
      <w:r w:rsidR="00B61881">
        <w:rPr>
          <w:noProof/>
        </w:rPr>
        <w:t>6</w:t>
      </w:r>
      <w:r w:rsidR="00345FC7">
        <w:fldChar w:fldCharType="end"/>
      </w:r>
      <w:r w:rsidR="00EA753F" w:rsidRPr="00EA753F">
        <w:t>a</w:t>
      </w:r>
      <w:r w:rsidR="00782312">
        <w:t>,</w:t>
      </w:r>
      <w:r w:rsidR="006A31B8">
        <w:t xml:space="preserve"> </w:t>
      </w:r>
      <w:r w:rsidR="006A31B8">
        <w:fldChar w:fldCharType="begin"/>
      </w:r>
      <w:r w:rsidR="006A31B8">
        <w:instrText xml:space="preserve"> REF _Ref460423145 \h </w:instrText>
      </w:r>
      <w:r w:rsidR="006A31B8">
        <w:fldChar w:fldCharType="separate"/>
      </w:r>
      <w:r w:rsidR="00B61881">
        <w:t xml:space="preserve">Table </w:t>
      </w:r>
      <w:proofErr w:type="gramStart"/>
      <w:r w:rsidR="00B61881">
        <w:t>A</w:t>
      </w:r>
      <w:proofErr w:type="gramEnd"/>
      <w:r w:rsidR="00B61881">
        <w:t xml:space="preserve"> </w:t>
      </w:r>
      <w:r w:rsidR="00B61881">
        <w:rPr>
          <w:noProof/>
        </w:rPr>
        <w:t>4</w:t>
      </w:r>
      <w:r w:rsidR="006A31B8">
        <w:fldChar w:fldCharType="end"/>
      </w:r>
      <w:r w:rsidR="00EA753F" w:rsidRPr="00EA753F">
        <w:t>).</w:t>
      </w:r>
      <w:r w:rsidR="00782312">
        <w:t xml:space="preserve"> This lower exposure to flood plumes is reflected in the </w:t>
      </w:r>
      <w:r>
        <w:t xml:space="preserve">regional </w:t>
      </w:r>
      <w:r w:rsidR="009109BA">
        <w:t xml:space="preserve">chlorophyll </w:t>
      </w:r>
      <w:r>
        <w:t>and t</w:t>
      </w:r>
      <w:r w:rsidR="00782312">
        <w:t>urbidity levels that are typically below guideline values (Figure 7g,h) and the water quality index that has remained “go</w:t>
      </w:r>
      <w:r w:rsidR="006A31B8">
        <w:t>od” to “very good” (</w:t>
      </w:r>
      <w:r w:rsidR="006A31B8">
        <w:fldChar w:fldCharType="begin"/>
      </w:r>
      <w:r w:rsidR="006A31B8">
        <w:instrText xml:space="preserve"> REF _Ref460485190 \h </w:instrText>
      </w:r>
      <w:r w:rsidR="006A31B8">
        <w:fldChar w:fldCharType="separate"/>
      </w:r>
      <w:r w:rsidR="00B61881">
        <w:t xml:space="preserve">Figure A </w:t>
      </w:r>
      <w:r w:rsidR="00B61881">
        <w:rPr>
          <w:noProof/>
        </w:rPr>
        <w:t>11</w:t>
      </w:r>
      <w:r w:rsidR="006A31B8">
        <w:fldChar w:fldCharType="end"/>
      </w:r>
      <w:r w:rsidR="00782312">
        <w:t xml:space="preserve">). </w:t>
      </w:r>
    </w:p>
    <w:p w14:paraId="6D500D3E" w14:textId="77777777" w:rsidR="00156D38" w:rsidRDefault="00156D38" w:rsidP="00156D38">
      <w:r w:rsidRPr="00EA753F">
        <w:t>In 2015 the coral</w:t>
      </w:r>
      <w:r>
        <w:t xml:space="preserve"> index for this sub-region wa</w:t>
      </w:r>
      <w:r w:rsidRPr="00EA753F">
        <w:t>s ‘moderate’ with the trend in the index over time showing fluctuations between this cu</w:t>
      </w:r>
      <w:r>
        <w:t>rrent score and ‘good’ (</w:t>
      </w:r>
      <w:r>
        <w:fldChar w:fldCharType="begin"/>
      </w:r>
      <w:r>
        <w:instrText xml:space="preserve"> REF _Ref438119880 \h </w:instrText>
      </w:r>
      <w:r>
        <w:fldChar w:fldCharType="separate"/>
      </w:r>
      <w:r w:rsidR="00B61881">
        <w:t xml:space="preserve">Figure </w:t>
      </w:r>
      <w:r w:rsidR="00B61881">
        <w:rPr>
          <w:noProof/>
        </w:rPr>
        <w:t>7</w:t>
      </w:r>
      <w:r>
        <w:fldChar w:fldCharType="end"/>
      </w:r>
      <w:r w:rsidRPr="00EA753F">
        <w:t>a). Initial im</w:t>
      </w:r>
      <w:r>
        <w:t>provements in the index</w:t>
      </w:r>
      <w:r w:rsidRPr="00EA753F">
        <w:t xml:space="preserve"> </w:t>
      </w:r>
      <w:r>
        <w:t xml:space="preserve">form 2005 to 2006 </w:t>
      </w:r>
      <w:r w:rsidRPr="00EA753F">
        <w:t xml:space="preserve">reflect the recovery of reefs </w:t>
      </w:r>
      <w:r>
        <w:t xml:space="preserve">form </w:t>
      </w:r>
      <w:r w:rsidRPr="00EA753F">
        <w:t xml:space="preserve">previous </w:t>
      </w:r>
      <w:r>
        <w:t>impacts</w:t>
      </w:r>
      <w:r w:rsidRPr="00EA753F">
        <w:t xml:space="preserve"> </w:t>
      </w:r>
      <w:r>
        <w:t xml:space="preserve">attributed to </w:t>
      </w:r>
      <w:r w:rsidRPr="00EA753F">
        <w:t xml:space="preserve">crown-of-thorns </w:t>
      </w:r>
      <w:r w:rsidR="009109BA">
        <w:t>seastars</w:t>
      </w:r>
      <w:r w:rsidRPr="00EA753F">
        <w:t xml:space="preserve"> and coral bleaching (Sweatman </w:t>
      </w:r>
      <w:r w:rsidRPr="00EA753F">
        <w:rPr>
          <w:i/>
        </w:rPr>
        <w:t>et al</w:t>
      </w:r>
      <w:r w:rsidRPr="00EA753F">
        <w:t>.</w:t>
      </w:r>
      <w:r>
        <w:t xml:space="preserve"> 2007, Ayling &amp; Ayling 2005).</w:t>
      </w:r>
    </w:p>
    <w:p w14:paraId="331904ED" w14:textId="77777777" w:rsidR="00156D38" w:rsidRPr="00EA753F" w:rsidRDefault="00156D38" w:rsidP="00156D38">
      <w:r w:rsidRPr="00EA753F">
        <w:t xml:space="preserve">Over the course of the MMP the impacts of cyclones have had the most significant </w:t>
      </w:r>
      <w:r>
        <w:t xml:space="preserve">direct </w:t>
      </w:r>
      <w:r w:rsidRPr="00EA753F">
        <w:t>effect on the state of coral communit</w:t>
      </w:r>
      <w:r>
        <w:t>ies in this sub-region (</w:t>
      </w:r>
      <w:r>
        <w:fldChar w:fldCharType="begin"/>
      </w:r>
      <w:r>
        <w:instrText xml:space="preserve"> REF _Ref438119862 \h </w:instrText>
      </w:r>
      <w:r>
        <w:fldChar w:fldCharType="separate"/>
      </w:r>
      <w:r w:rsidR="00B61881">
        <w:t xml:space="preserve">Figure </w:t>
      </w:r>
      <w:r w:rsidR="00B61881">
        <w:rPr>
          <w:noProof/>
        </w:rPr>
        <w:t>6</w:t>
      </w:r>
      <w:r>
        <w:fldChar w:fldCharType="end"/>
      </w:r>
      <w:r w:rsidRPr="00EA753F">
        <w:t xml:space="preserve">b). </w:t>
      </w:r>
      <w:r>
        <w:t xml:space="preserve">In 2006 </w:t>
      </w:r>
      <w:r w:rsidRPr="00EA753F">
        <w:t xml:space="preserve">Cyclone Larry caused </w:t>
      </w:r>
      <w:r>
        <w:t xml:space="preserve">a 63% (2m depth) and 50% (5m depth) </w:t>
      </w:r>
      <w:r w:rsidRPr="00EA753F">
        <w:t>loss of coral cover at Franklands East (</w:t>
      </w:r>
      <w:r w:rsidR="003A08D8" w:rsidRPr="003A08D8">
        <w:fldChar w:fldCharType="begin"/>
      </w:r>
      <w:r w:rsidR="003A08D8" w:rsidRPr="003A08D8">
        <w:instrText xml:space="preserve"> REF _Ref460423821 \h </w:instrText>
      </w:r>
      <w:r w:rsidR="003A08D8">
        <w:instrText xml:space="preserve"> \* MERGEFORMAT </w:instrText>
      </w:r>
      <w:r w:rsidR="003A08D8" w:rsidRPr="003A08D8">
        <w:fldChar w:fldCharType="separate"/>
      </w:r>
      <w:r w:rsidR="00B61881" w:rsidRPr="00B61881">
        <w:rPr>
          <w:rFonts w:eastAsia="SimSun"/>
        </w:rPr>
        <w:t xml:space="preserve">Table </w:t>
      </w:r>
      <w:proofErr w:type="gramStart"/>
      <w:r w:rsidR="00B61881" w:rsidRPr="00B61881">
        <w:rPr>
          <w:rFonts w:eastAsia="SimSun"/>
        </w:rPr>
        <w:t>A</w:t>
      </w:r>
      <w:proofErr w:type="gramEnd"/>
      <w:r w:rsidR="00B61881" w:rsidRPr="00B61881">
        <w:rPr>
          <w:rFonts w:eastAsia="SimSun"/>
        </w:rPr>
        <w:t xml:space="preserve"> 2</w:t>
      </w:r>
      <w:r w:rsidR="003A08D8" w:rsidRPr="003A08D8">
        <w:fldChar w:fldCharType="end"/>
      </w:r>
      <w:r w:rsidR="00F73646">
        <w:t xml:space="preserve">, </w:t>
      </w:r>
      <w:r w:rsidR="00F73646">
        <w:fldChar w:fldCharType="begin"/>
      </w:r>
      <w:r w:rsidR="00F73646">
        <w:instrText xml:space="preserve"> REF _Ref460484697 \h </w:instrText>
      </w:r>
      <w:r w:rsidR="00F73646">
        <w:fldChar w:fldCharType="separate"/>
      </w:r>
      <w:r w:rsidR="00B61881" w:rsidRPr="006A31B8">
        <w:t xml:space="preserve">Figure A </w:t>
      </w:r>
      <w:r w:rsidR="00B61881">
        <w:rPr>
          <w:noProof/>
        </w:rPr>
        <w:t>2</w:t>
      </w:r>
      <w:r w:rsidR="00F73646">
        <w:fldChar w:fldCharType="end"/>
      </w:r>
      <w:r w:rsidRPr="00EA753F">
        <w:t xml:space="preserve">). In the years following, strong positive trends in coral cover, </w:t>
      </w:r>
      <w:r>
        <w:t>the increase in representation of sensitive species in the coral community and moderate rates of coral cover increase saw the</w:t>
      </w:r>
      <w:r w:rsidRPr="00EA753F">
        <w:t xml:space="preserve"> coral index rapidly return to ‘g</w:t>
      </w:r>
      <w:r>
        <w:t>ood’ in 2009 and 2010 (</w:t>
      </w:r>
      <w:r>
        <w:fldChar w:fldCharType="begin"/>
      </w:r>
      <w:r>
        <w:instrText xml:space="preserve"> REF _Ref438119880 \h </w:instrText>
      </w:r>
      <w:r>
        <w:fldChar w:fldCharType="separate"/>
      </w:r>
      <w:r w:rsidR="00B61881">
        <w:t xml:space="preserve">Figure </w:t>
      </w:r>
      <w:r w:rsidR="00B61881">
        <w:rPr>
          <w:noProof/>
        </w:rPr>
        <w:t>7</w:t>
      </w:r>
      <w:r>
        <w:fldChar w:fldCharType="end"/>
      </w:r>
      <w:r>
        <w:t>a,</w:t>
      </w:r>
      <w:r w:rsidRPr="00EA753F">
        <w:t>b,d,e). In 2011 two consecutive cyclones, Tasha and Yasi caused significant widespread physical damage to reefs in the southern part of the sub-region as well as freshwater bl</w:t>
      </w:r>
      <w:r>
        <w:t>eaching at High West associated with flooding of the local rivers (</w:t>
      </w:r>
      <w:r>
        <w:fldChar w:fldCharType="begin"/>
      </w:r>
      <w:r>
        <w:instrText xml:space="preserve"> REF _Ref438119862 \h </w:instrText>
      </w:r>
      <w:r>
        <w:fldChar w:fldCharType="separate"/>
      </w:r>
      <w:r w:rsidR="00B61881">
        <w:t xml:space="preserve">Figure </w:t>
      </w:r>
      <w:r w:rsidR="00B61881">
        <w:rPr>
          <w:noProof/>
        </w:rPr>
        <w:t>6</w:t>
      </w:r>
      <w:r>
        <w:fldChar w:fldCharType="end"/>
      </w:r>
      <w:r>
        <w:t xml:space="preserve">d, </w:t>
      </w:r>
      <w:r w:rsidR="00F73646">
        <w:fldChar w:fldCharType="begin"/>
      </w:r>
      <w:r w:rsidR="00F73646">
        <w:instrText xml:space="preserve"> REF _Ref460484697 \h </w:instrText>
      </w:r>
      <w:r w:rsidR="00F73646">
        <w:fldChar w:fldCharType="separate"/>
      </w:r>
      <w:r w:rsidR="00B61881" w:rsidRPr="006A31B8">
        <w:t xml:space="preserve">Figure A </w:t>
      </w:r>
      <w:r w:rsidR="00B61881">
        <w:rPr>
          <w:noProof/>
        </w:rPr>
        <w:t>2</w:t>
      </w:r>
      <w:r w:rsidR="00F73646">
        <w:fldChar w:fldCharType="end"/>
      </w:r>
      <w:r w:rsidR="00F73646">
        <w:t>,</w:t>
      </w:r>
      <w:r w:rsidR="00E40307">
        <w:t xml:space="preserve"> </w:t>
      </w:r>
      <w:r w:rsidR="00E40307" w:rsidRPr="00E40307">
        <w:fldChar w:fldCharType="begin"/>
      </w:r>
      <w:r w:rsidR="00E40307" w:rsidRPr="00E40307">
        <w:instrText xml:space="preserve"> REF _Ref460423821 \h  \* MERGEFORMAT </w:instrText>
      </w:r>
      <w:r w:rsidR="00E40307" w:rsidRPr="00E40307">
        <w:fldChar w:fldCharType="separate"/>
      </w:r>
      <w:r w:rsidR="00B61881" w:rsidRPr="00B61881">
        <w:rPr>
          <w:rFonts w:eastAsia="SimSun"/>
        </w:rPr>
        <w:t>Table A 2</w:t>
      </w:r>
      <w:r w:rsidR="00E40307" w:rsidRPr="00E40307">
        <w:fldChar w:fldCharType="end"/>
      </w:r>
      <w:r w:rsidRPr="00EA753F">
        <w:t xml:space="preserve">) the overall result being a sharp decline in </w:t>
      </w:r>
      <w:r>
        <w:t>the coral index (</w:t>
      </w:r>
      <w:r w:rsidR="00F73646">
        <w:fldChar w:fldCharType="begin"/>
      </w:r>
      <w:r w:rsidR="00F73646">
        <w:instrText xml:space="preserve"> REF _Ref438119880 \h </w:instrText>
      </w:r>
      <w:r w:rsidR="00F73646">
        <w:fldChar w:fldCharType="separate"/>
      </w:r>
      <w:r w:rsidR="00B61881">
        <w:t xml:space="preserve">Figure </w:t>
      </w:r>
      <w:r w:rsidR="00B61881">
        <w:rPr>
          <w:noProof/>
        </w:rPr>
        <w:t>7</w:t>
      </w:r>
      <w:r w:rsidR="00F73646">
        <w:fldChar w:fldCharType="end"/>
      </w:r>
      <w:r w:rsidRPr="00EA753F">
        <w:t xml:space="preserve">a).  </w:t>
      </w:r>
    </w:p>
    <w:p w14:paraId="61DEC63F" w14:textId="77777777" w:rsidR="00156D38" w:rsidRDefault="00156D38" w:rsidP="00156D38">
      <w:r w:rsidRPr="00EA753F">
        <w:t>The effects of</w:t>
      </w:r>
      <w:r>
        <w:t xml:space="preserve"> cyclones </w:t>
      </w:r>
      <w:r w:rsidRPr="00EA753F">
        <w:t>were further compounded by the increased preval</w:t>
      </w:r>
      <w:r>
        <w:t xml:space="preserve">ence of disease in 2011. The most affected reefs where at </w:t>
      </w:r>
      <w:r w:rsidRPr="00EA753F">
        <w:t>Fi</w:t>
      </w:r>
      <w:r>
        <w:t xml:space="preserve">tzroy Island where mortality, predominantly of </w:t>
      </w:r>
      <w:r w:rsidRPr="00A1750F">
        <w:rPr>
          <w:i/>
        </w:rPr>
        <w:t>Acropora</w:t>
      </w:r>
      <w:r>
        <w:t xml:space="preserve"> colonies, resulted in a loss of 60% (2m) and 42% (5m) of the coral</w:t>
      </w:r>
      <w:r w:rsidR="00F73646">
        <w:t xml:space="preserve"> cover at Fitzroy East</w:t>
      </w:r>
      <w:r>
        <w:t xml:space="preserve"> (</w:t>
      </w:r>
      <w:r w:rsidR="00F73646">
        <w:fldChar w:fldCharType="begin"/>
      </w:r>
      <w:r w:rsidR="00F73646">
        <w:instrText xml:space="preserve"> REF _Ref460484697 \h </w:instrText>
      </w:r>
      <w:r w:rsidR="00F73646">
        <w:fldChar w:fldCharType="separate"/>
      </w:r>
      <w:r w:rsidR="00B61881" w:rsidRPr="006A31B8">
        <w:t xml:space="preserve">Figure A </w:t>
      </w:r>
      <w:r w:rsidR="00B61881">
        <w:rPr>
          <w:noProof/>
        </w:rPr>
        <w:t>2</w:t>
      </w:r>
      <w:r w:rsidR="00F73646">
        <w:fldChar w:fldCharType="end"/>
      </w:r>
      <w:r w:rsidR="00F73646">
        <w:t xml:space="preserve">, </w:t>
      </w:r>
      <w:r w:rsidR="00E40307" w:rsidRPr="00E40307">
        <w:fldChar w:fldCharType="begin"/>
      </w:r>
      <w:r w:rsidR="00E40307" w:rsidRPr="00E40307">
        <w:instrText xml:space="preserve"> REF _Ref460423821 \h  \* MERGEFORMAT </w:instrText>
      </w:r>
      <w:r w:rsidR="00E40307" w:rsidRPr="00E40307">
        <w:fldChar w:fldCharType="separate"/>
      </w:r>
      <w:r w:rsidR="00B61881" w:rsidRPr="00B61881">
        <w:rPr>
          <w:rFonts w:eastAsia="SimSun"/>
        </w:rPr>
        <w:t>Table A 2</w:t>
      </w:r>
      <w:r w:rsidR="00E40307" w:rsidRPr="00E40307">
        <w:fldChar w:fldCharType="end"/>
      </w:r>
      <w:r w:rsidRPr="00EA753F">
        <w:t>). The drivers of the marked increase in disease observed at the Fitzroy Island sites are not immediately obvious. Although increased incidence of disease did coincide with the record annual discharge of 2011, the previous year saw similar levels of disease</w:t>
      </w:r>
      <w:r>
        <w:t>, albeit far less mortality,</w:t>
      </w:r>
      <w:r w:rsidRPr="00EA753F">
        <w:t xml:space="preserve"> despite discharge b</w:t>
      </w:r>
      <w:r>
        <w:t>eing near median level (</w:t>
      </w:r>
      <w:r>
        <w:fldChar w:fldCharType="begin"/>
      </w:r>
      <w:r>
        <w:instrText xml:space="preserve"> REF _Ref438119862 \h </w:instrText>
      </w:r>
      <w:r>
        <w:fldChar w:fldCharType="separate"/>
      </w:r>
      <w:r w:rsidR="00B61881">
        <w:t xml:space="preserve">Figure </w:t>
      </w:r>
      <w:r w:rsidR="00B61881">
        <w:rPr>
          <w:noProof/>
        </w:rPr>
        <w:t>6</w:t>
      </w:r>
      <w:r>
        <w:fldChar w:fldCharType="end"/>
      </w:r>
      <w:r w:rsidRPr="00EA753F">
        <w:t xml:space="preserve">d). </w:t>
      </w:r>
      <w:r>
        <w:t xml:space="preserve">The onset of disease in this region did correspond to slight increases in both turbidity and </w:t>
      </w:r>
      <w:r w:rsidR="009109BA">
        <w:t xml:space="preserve">chlorophyll </w:t>
      </w:r>
      <w:r>
        <w:t>concentrations (</w:t>
      </w:r>
      <w:r>
        <w:fldChar w:fldCharType="begin"/>
      </w:r>
      <w:r>
        <w:instrText xml:space="preserve"> REF _Ref438119880 \h </w:instrText>
      </w:r>
      <w:r>
        <w:fldChar w:fldCharType="separate"/>
      </w:r>
      <w:r w:rsidR="00B61881">
        <w:t xml:space="preserve">Figure </w:t>
      </w:r>
      <w:r w:rsidR="00B61881">
        <w:rPr>
          <w:noProof/>
        </w:rPr>
        <w:t>7</w:t>
      </w:r>
      <w:r>
        <w:fldChar w:fldCharType="end"/>
      </w:r>
      <w:r>
        <w:t xml:space="preserve">g, h). </w:t>
      </w:r>
    </w:p>
    <w:p w14:paraId="3A684A09" w14:textId="77777777" w:rsidR="00156D38" w:rsidRPr="00EA753F" w:rsidRDefault="00156D38" w:rsidP="00156D38">
      <w:r>
        <w:t>Two cycles of crown-of-thorns seastar (COTS) outbreaks have influenced coral communities in this region since monitoring began in 1992, the first in 1996-2000 caused substantial loss of cover at Green (where 55% of coral was lost in the year January 1996 to January 1997), Fitzroy Island and The Frankland Group (</w:t>
      </w:r>
      <w:r w:rsidR="00E40307" w:rsidRPr="00E40307">
        <w:fldChar w:fldCharType="begin"/>
      </w:r>
      <w:r w:rsidR="00E40307" w:rsidRPr="00E40307">
        <w:instrText xml:space="preserve"> REF _Ref460423821 \h  \* MERGEFORMAT </w:instrText>
      </w:r>
      <w:r w:rsidR="00E40307" w:rsidRPr="00E40307">
        <w:fldChar w:fldCharType="separate"/>
      </w:r>
      <w:r w:rsidR="00B61881" w:rsidRPr="00B61881">
        <w:rPr>
          <w:rFonts w:eastAsia="SimSun"/>
        </w:rPr>
        <w:t>Table A 2</w:t>
      </w:r>
      <w:r w:rsidR="00E40307" w:rsidRPr="00E40307">
        <w:fldChar w:fldCharType="end"/>
      </w:r>
      <w:r>
        <w:t xml:space="preserve">). In 2012 and 2013 elevated numbers of COTS were again observed in at Fitzroy and targeted for removal by </w:t>
      </w:r>
      <w:r w:rsidRPr="00EA753F">
        <w:t>Australian Government funded crown-of-thorns seastar management program</w:t>
      </w:r>
      <w:r>
        <w:t>. In 2013 COTS had caused a 44% of the hard coral cover compared to that observed in 2011 (</w:t>
      </w:r>
      <w:r w:rsidR="00E40307" w:rsidRPr="00E40307">
        <w:fldChar w:fldCharType="begin"/>
      </w:r>
      <w:r w:rsidR="00E40307" w:rsidRPr="00E40307">
        <w:instrText xml:space="preserve"> REF _Ref460423821 \h  \* MERGEFORMAT </w:instrText>
      </w:r>
      <w:r w:rsidR="00E40307" w:rsidRPr="00E40307">
        <w:fldChar w:fldCharType="separate"/>
      </w:r>
      <w:r w:rsidR="00B61881" w:rsidRPr="00B61881">
        <w:rPr>
          <w:rFonts w:eastAsia="SimSun"/>
        </w:rPr>
        <w:t xml:space="preserve">Table </w:t>
      </w:r>
      <w:proofErr w:type="gramStart"/>
      <w:r w:rsidR="00B61881" w:rsidRPr="00B61881">
        <w:rPr>
          <w:rFonts w:eastAsia="SimSun"/>
        </w:rPr>
        <w:t>A</w:t>
      </w:r>
      <w:proofErr w:type="gramEnd"/>
      <w:r w:rsidR="00B61881" w:rsidRPr="00B61881">
        <w:rPr>
          <w:rFonts w:eastAsia="SimSun"/>
        </w:rPr>
        <w:t xml:space="preserve"> 2</w:t>
      </w:r>
      <w:r w:rsidR="00E40307" w:rsidRPr="00E40307">
        <w:fldChar w:fldCharType="end"/>
      </w:r>
      <w:r>
        <w:t>). At both Fitzroy and Green reductions in hard coral cover and in particular the family Acroporidae (</w:t>
      </w:r>
      <w:r w:rsidR="00E40307">
        <w:fldChar w:fldCharType="begin"/>
      </w:r>
      <w:r w:rsidR="00E40307">
        <w:instrText xml:space="preserve"> REF _Ref460484697 \h </w:instrText>
      </w:r>
      <w:r w:rsidR="00E40307">
        <w:fldChar w:fldCharType="separate"/>
      </w:r>
      <w:r w:rsidR="00B61881" w:rsidRPr="006A31B8">
        <w:t xml:space="preserve">Figure </w:t>
      </w:r>
      <w:proofErr w:type="gramStart"/>
      <w:r w:rsidR="00B61881" w:rsidRPr="006A31B8">
        <w:t>A</w:t>
      </w:r>
      <w:proofErr w:type="gramEnd"/>
      <w:r w:rsidR="00B61881" w:rsidRPr="006A31B8">
        <w:t xml:space="preserve"> </w:t>
      </w:r>
      <w:r w:rsidR="00B61881">
        <w:rPr>
          <w:noProof/>
        </w:rPr>
        <w:t>2</w:t>
      </w:r>
      <w:r w:rsidR="00E40307">
        <w:fldChar w:fldCharType="end"/>
      </w:r>
      <w:r>
        <w:t xml:space="preserve">) through to 2015 are primarily the result of COTS feeding. In contrast although low numbers of COTS were observed at the Frankland Group and High between 2012 and 2015 there was little evidence for an impact to coral cover at these reefs. </w:t>
      </w:r>
    </w:p>
    <w:p w14:paraId="4DED0B5E" w14:textId="77777777" w:rsidR="00156D38" w:rsidRPr="00EA753F" w:rsidRDefault="00156D38" w:rsidP="00156D38">
      <w:r>
        <w:t>The water q</w:t>
      </w:r>
      <w:r w:rsidRPr="00EA753F">
        <w:t xml:space="preserve">uality index for the sub-region, though showing slight declines has remained ‘good’ over the course of the MMP </w:t>
      </w:r>
      <w:r>
        <w:t>(</w:t>
      </w:r>
      <w:r w:rsidR="00E40307">
        <w:fldChar w:fldCharType="begin"/>
      </w:r>
      <w:r w:rsidR="00E40307">
        <w:instrText xml:space="preserve"> REF _Ref460485190 \h </w:instrText>
      </w:r>
      <w:r w:rsidR="00E40307">
        <w:fldChar w:fldCharType="separate"/>
      </w:r>
      <w:r w:rsidR="00B61881">
        <w:t xml:space="preserve">Figure </w:t>
      </w:r>
      <w:proofErr w:type="gramStart"/>
      <w:r w:rsidR="00B61881">
        <w:t>A</w:t>
      </w:r>
      <w:proofErr w:type="gramEnd"/>
      <w:r w:rsidR="00B61881">
        <w:t xml:space="preserve"> </w:t>
      </w:r>
      <w:r w:rsidR="00B61881">
        <w:rPr>
          <w:noProof/>
        </w:rPr>
        <w:t>11</w:t>
      </w:r>
      <w:r w:rsidR="00E40307">
        <w:fldChar w:fldCharType="end"/>
      </w:r>
      <w:r>
        <w:t>).</w:t>
      </w:r>
      <w:r w:rsidRPr="00EA753F">
        <w:t xml:space="preserve"> However</w:t>
      </w:r>
      <w:r>
        <w:t>,</w:t>
      </w:r>
      <w:r w:rsidRPr="00EA753F">
        <w:t xml:space="preserve"> there has been </w:t>
      </w:r>
      <w:r>
        <w:t xml:space="preserve">a </w:t>
      </w:r>
      <w:r w:rsidRPr="00EA753F">
        <w:t>consistent increase in the detected levels of NO</w:t>
      </w:r>
      <w:r w:rsidRPr="00EA753F">
        <w:rPr>
          <w:vertAlign w:val="subscript"/>
        </w:rPr>
        <w:t>x</w:t>
      </w:r>
      <w:r w:rsidRPr="00EA753F">
        <w:t xml:space="preserve"> to near GBRMPA guideline levels in recent years, a pattern also seen to the north in the Barron-Daintree sub-</w:t>
      </w:r>
      <w:r w:rsidRPr="009F0F0C">
        <w:t>region (</w:t>
      </w:r>
      <w:r w:rsidR="00E40307">
        <w:fldChar w:fldCharType="begin"/>
      </w:r>
      <w:r w:rsidR="00E40307">
        <w:instrText xml:space="preserve"> REF _Ref460485190 \h </w:instrText>
      </w:r>
      <w:r w:rsidR="00E40307">
        <w:fldChar w:fldCharType="separate"/>
      </w:r>
      <w:r w:rsidR="00B61881">
        <w:t xml:space="preserve">Figure </w:t>
      </w:r>
      <w:proofErr w:type="gramStart"/>
      <w:r w:rsidR="00B61881">
        <w:t>A</w:t>
      </w:r>
      <w:proofErr w:type="gramEnd"/>
      <w:r w:rsidR="00B61881">
        <w:t xml:space="preserve"> </w:t>
      </w:r>
      <w:r w:rsidR="00B61881">
        <w:rPr>
          <w:noProof/>
        </w:rPr>
        <w:t>11</w:t>
      </w:r>
      <w:r w:rsidR="00E40307">
        <w:fldChar w:fldCharType="end"/>
      </w:r>
      <w:r w:rsidRPr="009F0F0C">
        <w:t>).</w:t>
      </w:r>
      <w:r>
        <w:t xml:space="preserve"> </w:t>
      </w:r>
      <w:r w:rsidRPr="009F0F0C">
        <w:t>Nitrate</w:t>
      </w:r>
      <w:r>
        <w:t xml:space="preserve"> (the dominant</w:t>
      </w:r>
      <w:r w:rsidRPr="00EA753F">
        <w:t xml:space="preserve"> component of NO</w:t>
      </w:r>
      <w:r w:rsidRPr="00EA753F">
        <w:rPr>
          <w:vertAlign w:val="subscript"/>
        </w:rPr>
        <w:t>x</w:t>
      </w:r>
      <w:r w:rsidRPr="00EA753F">
        <w:t xml:space="preserve">) is soluble and bonds to soil particles, as such it accumulates in groundwater supplies until soil saturation is reached at which point it is remobilised and transported via runoff (Rasiah </w:t>
      </w:r>
      <w:r>
        <w:t>&amp;</w:t>
      </w:r>
      <w:r w:rsidRPr="00EA753F">
        <w:t xml:space="preserve"> Armour 2001). This accumulation and eventual transport of nitrate </w:t>
      </w:r>
      <w:r>
        <w:t>may explain</w:t>
      </w:r>
      <w:r w:rsidRPr="00EA753F">
        <w:t xml:space="preserve"> the observed increases in NO</w:t>
      </w:r>
      <w:r w:rsidRPr="00EA753F">
        <w:rPr>
          <w:vertAlign w:val="subscript"/>
        </w:rPr>
        <w:t>x</w:t>
      </w:r>
      <w:r w:rsidRPr="00EA753F">
        <w:t xml:space="preserve">. It is possible the peak in disease was related to the changing nitrogen conditions, a link previously demonstrated (Kuta </w:t>
      </w:r>
      <w:r>
        <w:t>&amp;</w:t>
      </w:r>
      <w:r w:rsidRPr="00EA753F">
        <w:t xml:space="preserve"> Richardson 2002, Bruno </w:t>
      </w:r>
      <w:r w:rsidRPr="00570181">
        <w:rPr>
          <w:i/>
        </w:rPr>
        <w:t>et al.</w:t>
      </w:r>
      <w:r w:rsidRPr="00EA753F">
        <w:t xml:space="preserve"> 2003, </w:t>
      </w:r>
      <w:proofErr w:type="gramStart"/>
      <w:r w:rsidRPr="00EA753F">
        <w:t>Vega</w:t>
      </w:r>
      <w:proofErr w:type="gramEnd"/>
      <w:r w:rsidRPr="00EA753F">
        <w:t xml:space="preserve"> Thurber </w:t>
      </w:r>
      <w:r w:rsidRPr="00570181">
        <w:rPr>
          <w:i/>
        </w:rPr>
        <w:t>et al.</w:t>
      </w:r>
      <w:r w:rsidRPr="00EA753F">
        <w:t xml:space="preserve"> 2013)</w:t>
      </w:r>
      <w:r>
        <w:t>.</w:t>
      </w:r>
    </w:p>
    <w:p w14:paraId="19D9F5A9" w14:textId="77777777" w:rsidR="00156D38" w:rsidRDefault="00156D38" w:rsidP="00406BD7"/>
    <w:p w14:paraId="59B20612" w14:textId="77777777" w:rsidR="004320ED" w:rsidRPr="00EA753F" w:rsidRDefault="00523D87" w:rsidP="004320ED">
      <w:pPr>
        <w:spacing w:before="5" w:after="5"/>
        <w:ind w:left="5" w:right="5"/>
        <w:jc w:val="center"/>
        <w:rPr>
          <w:color w:val="0070C0"/>
        </w:rPr>
      </w:pPr>
      <w:r>
        <w:rPr>
          <w:noProof/>
          <w:color w:val="0070C0"/>
          <w:lang w:val="en-AU" w:eastAsia="en-AU"/>
        </w:rPr>
        <w:lastRenderedPageBreak/>
        <w:drawing>
          <wp:inline distT="0" distB="0" distL="0" distR="0" wp14:anchorId="62F0BB8D" wp14:editId="4857F36D">
            <wp:extent cx="6120765" cy="6120765"/>
            <wp:effectExtent l="0" t="0" r="0" b="0"/>
            <wp:docPr id="29" name="Picture 29" descr="Figure 7: Coral reef community and water quality trends in the Johnstone Russell-Mulgrave sub-region. 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in records of chlorophyll a and turbidity (g, h) from ECO FLNTUSB instruments are represented in red, individual records are not displayed. Dashed reference lines indicate GBRMPA (2010) guideline values." title="Figure 7: Coral reef community and water quality trends in the Johnstone Russell-Mulgrav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Johnstone_Russell_Mulgrave.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1D9FCACA" w14:textId="77777777" w:rsidR="004320ED" w:rsidRPr="006B3B22" w:rsidRDefault="006B3B22" w:rsidP="00E56CF1">
      <w:pPr>
        <w:pStyle w:val="Caption"/>
        <w:rPr>
          <w:vanish/>
        </w:rPr>
      </w:pPr>
      <w:bookmarkStart w:id="127" w:name="_Ref438119880"/>
      <w:bookmarkStart w:id="128" w:name="_Toc437423852"/>
      <w:bookmarkStart w:id="129" w:name="_Toc437424031"/>
      <w:bookmarkStart w:id="130" w:name="_Toc437424299"/>
      <w:bookmarkStart w:id="131" w:name="_Toc437597632"/>
      <w:bookmarkStart w:id="132" w:name="_Toc460490776"/>
      <w:r>
        <w:t xml:space="preserve">Figure </w:t>
      </w:r>
      <w:r w:rsidR="005D2F9F">
        <w:fldChar w:fldCharType="begin"/>
      </w:r>
      <w:r w:rsidR="005D2F9F">
        <w:instrText xml:space="preserve"> SEQ Figure \* ARABIC </w:instrText>
      </w:r>
      <w:r w:rsidR="005D2F9F">
        <w:fldChar w:fldCharType="separate"/>
      </w:r>
      <w:r w:rsidR="00B61881">
        <w:rPr>
          <w:noProof/>
        </w:rPr>
        <w:t>7</w:t>
      </w:r>
      <w:r w:rsidR="005D2F9F">
        <w:rPr>
          <w:noProof/>
        </w:rPr>
        <w:fldChar w:fldCharType="end"/>
      </w:r>
      <w:bookmarkEnd w:id="127"/>
      <w:r>
        <w:t xml:space="preserve">: </w:t>
      </w:r>
      <w:r w:rsidR="004320ED" w:rsidRPr="00EA753F">
        <w:t xml:space="preserve">Coral reef community and water quality trends in the </w:t>
      </w:r>
      <w:r w:rsidR="004320ED">
        <w:t>Johnstone Russell-Mulgrave</w:t>
      </w:r>
      <w:r w:rsidR="004320ED" w:rsidRPr="00EA753F">
        <w:t xml:space="preserve"> sub-region.</w:t>
      </w:r>
      <w:bookmarkEnd w:id="128"/>
      <w:bookmarkEnd w:id="129"/>
      <w:bookmarkEnd w:id="130"/>
      <w:bookmarkEnd w:id="131"/>
      <w:bookmarkEnd w:id="132"/>
      <w:r w:rsidR="004320ED" w:rsidRPr="00EA753F">
        <w:t xml:space="preserve"> </w:t>
      </w:r>
    </w:p>
    <w:p w14:paraId="16337097" w14:textId="77777777" w:rsidR="004320ED" w:rsidRPr="009155F8" w:rsidRDefault="004320ED" w:rsidP="004320ED">
      <w:pPr>
        <w:rPr>
          <w:rStyle w:val="IntenseReference"/>
          <w:rFonts w:eastAsiaTheme="minorHAnsi"/>
        </w:rPr>
      </w:pPr>
      <w:r w:rsidRPr="009155F8">
        <w:rPr>
          <w:rStyle w:val="IntenseReference"/>
          <w:rFonts w:eastAsiaTheme="minorHAnsi"/>
        </w:rPr>
        <w:t>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in records of chlorophyll a and turbidity (g, h) from ECO FLNTUSB instruments are represented in red, individual records are not displayed. Dashed reference lines indicate GBRMPA (2010) guideline values.</w:t>
      </w:r>
    </w:p>
    <w:p w14:paraId="4E731617" w14:textId="77777777" w:rsidR="004320ED" w:rsidRPr="00EA753F" w:rsidRDefault="004320ED" w:rsidP="00406BD7"/>
    <w:p w14:paraId="302343E7" w14:textId="77777777" w:rsidR="00EA753F" w:rsidRPr="00EA753F" w:rsidRDefault="00EA753F" w:rsidP="00FB7FD7">
      <w:r w:rsidRPr="00EA753F">
        <w:t xml:space="preserve">Given the repeated disturbances and suppression </w:t>
      </w:r>
      <w:r w:rsidR="007C02E4">
        <w:t>of recovery evidenced by losses attributed to disease</w:t>
      </w:r>
      <w:r w:rsidRPr="00EA753F">
        <w:t>, the trajectory of the coral index in the years since 2011 has not shown the same rapid improvement observed following</w:t>
      </w:r>
      <w:r w:rsidR="00B56F9A">
        <w:t xml:space="preserve"> previous disturbances (</w:t>
      </w:r>
      <w:r w:rsidR="00CB709D">
        <w:fldChar w:fldCharType="begin"/>
      </w:r>
      <w:r w:rsidR="00CB709D">
        <w:instrText xml:space="preserve"> REF _Ref438119880 \h </w:instrText>
      </w:r>
      <w:r w:rsidR="00CB709D">
        <w:fldChar w:fldCharType="separate"/>
      </w:r>
      <w:r w:rsidR="00B61881">
        <w:t xml:space="preserve">Figure </w:t>
      </w:r>
      <w:r w:rsidR="00B61881">
        <w:rPr>
          <w:noProof/>
        </w:rPr>
        <w:t>7</w:t>
      </w:r>
      <w:r w:rsidR="00CB709D">
        <w:fldChar w:fldCharType="end"/>
      </w:r>
      <w:r w:rsidRPr="00EA753F">
        <w:t xml:space="preserve">a). This slowed recovery is evident in the negative trends observed for coral composition and most significantly </w:t>
      </w:r>
      <w:r w:rsidR="00B56F9A">
        <w:t>change in coral cover (</w:t>
      </w:r>
      <w:r w:rsidR="00CB709D">
        <w:fldChar w:fldCharType="begin"/>
      </w:r>
      <w:r w:rsidR="00CB709D">
        <w:instrText xml:space="preserve"> REF _Ref438119880 \h </w:instrText>
      </w:r>
      <w:r w:rsidR="00CB709D">
        <w:fldChar w:fldCharType="separate"/>
      </w:r>
      <w:r w:rsidR="00B61881">
        <w:t xml:space="preserve">Figure </w:t>
      </w:r>
      <w:r w:rsidR="00B61881">
        <w:rPr>
          <w:noProof/>
        </w:rPr>
        <w:t>7</w:t>
      </w:r>
      <w:r w:rsidR="00CB709D">
        <w:fldChar w:fldCharType="end"/>
      </w:r>
      <w:r w:rsidRPr="00EA753F">
        <w:t>e</w:t>
      </w:r>
      <w:proofErr w:type="gramStart"/>
      <w:r w:rsidRPr="00EA753F">
        <w:t>,f</w:t>
      </w:r>
      <w:proofErr w:type="gramEnd"/>
      <w:r w:rsidRPr="00EA753F">
        <w:t xml:space="preserve">). Despite this, the coral index has steadily improved in the last few years </w:t>
      </w:r>
      <w:r w:rsidR="000450E7">
        <w:t xml:space="preserve">as a result of increasing densities </w:t>
      </w:r>
      <w:r w:rsidR="00B56F9A">
        <w:t>of juvenile corals (</w:t>
      </w:r>
      <w:r w:rsidR="00CB709D">
        <w:fldChar w:fldCharType="begin"/>
      </w:r>
      <w:r w:rsidR="00CB709D">
        <w:instrText xml:space="preserve"> REF _Ref438119880 \h </w:instrText>
      </w:r>
      <w:r w:rsidR="00CB709D">
        <w:fldChar w:fldCharType="separate"/>
      </w:r>
      <w:r w:rsidR="00B61881">
        <w:t xml:space="preserve">Figure </w:t>
      </w:r>
      <w:r w:rsidR="00B61881">
        <w:rPr>
          <w:noProof/>
        </w:rPr>
        <w:t>7</w:t>
      </w:r>
      <w:r w:rsidR="00CB709D">
        <w:fldChar w:fldCharType="end"/>
      </w:r>
      <w:r w:rsidR="000450E7">
        <w:t xml:space="preserve">d), recent declines in the representation of macroalgae </w:t>
      </w:r>
      <w:r w:rsidR="00B56F9A">
        <w:t>in the algal community (</w:t>
      </w:r>
      <w:r w:rsidR="00CB709D">
        <w:fldChar w:fldCharType="begin"/>
      </w:r>
      <w:r w:rsidR="00CB709D">
        <w:instrText xml:space="preserve"> REF _Ref438119880 \h </w:instrText>
      </w:r>
      <w:r w:rsidR="00CB709D">
        <w:fldChar w:fldCharType="separate"/>
      </w:r>
      <w:r w:rsidR="00B61881">
        <w:t xml:space="preserve">Figure </w:t>
      </w:r>
      <w:r w:rsidR="00B61881">
        <w:rPr>
          <w:noProof/>
        </w:rPr>
        <w:t>7</w:t>
      </w:r>
      <w:r w:rsidR="00CB709D">
        <w:fldChar w:fldCharType="end"/>
      </w:r>
      <w:r w:rsidR="000450E7">
        <w:t xml:space="preserve">c) and increased representation of sensitive coral species especially at High </w:t>
      </w:r>
      <w:r w:rsidR="007A5DAF">
        <w:t xml:space="preserve">East </w:t>
      </w:r>
      <w:r w:rsidR="000450E7">
        <w:t>an</w:t>
      </w:r>
      <w:r w:rsidR="00B56F9A">
        <w:t xml:space="preserve">d the Frankland </w:t>
      </w:r>
      <w:r w:rsidR="007A5DAF">
        <w:t>East</w:t>
      </w:r>
      <w:r w:rsidR="00F32D92">
        <w:t xml:space="preserve"> </w:t>
      </w:r>
      <w:r w:rsidR="00B56F9A">
        <w:t>(</w:t>
      </w:r>
      <w:r w:rsidR="00CB709D">
        <w:fldChar w:fldCharType="begin"/>
      </w:r>
      <w:r w:rsidR="00CB709D">
        <w:instrText xml:space="preserve"> REF _Ref438119880 \h </w:instrText>
      </w:r>
      <w:r w:rsidR="00CB709D">
        <w:fldChar w:fldCharType="separate"/>
      </w:r>
      <w:r w:rsidR="00B61881">
        <w:t xml:space="preserve">Figure </w:t>
      </w:r>
      <w:r w:rsidR="00B61881">
        <w:rPr>
          <w:noProof/>
        </w:rPr>
        <w:t>7</w:t>
      </w:r>
      <w:r w:rsidR="00CB709D">
        <w:fldChar w:fldCharType="end"/>
      </w:r>
      <w:r w:rsidR="000450E7">
        <w:t>f</w:t>
      </w:r>
      <w:r w:rsidR="00C3395A">
        <w:t xml:space="preserve">, </w:t>
      </w:r>
      <w:r w:rsidR="00C3395A">
        <w:fldChar w:fldCharType="begin"/>
      </w:r>
      <w:r w:rsidR="00C3395A">
        <w:instrText xml:space="preserve"> REF _Ref460484697 \h </w:instrText>
      </w:r>
      <w:r w:rsidR="00C3395A">
        <w:fldChar w:fldCharType="separate"/>
      </w:r>
      <w:r w:rsidR="00B61881" w:rsidRPr="006A31B8">
        <w:t xml:space="preserve">Figure A </w:t>
      </w:r>
      <w:r w:rsidR="00B61881">
        <w:rPr>
          <w:noProof/>
        </w:rPr>
        <w:t>2</w:t>
      </w:r>
      <w:r w:rsidR="00C3395A">
        <w:fldChar w:fldCharType="end"/>
      </w:r>
      <w:r w:rsidR="000450E7">
        <w:t>)</w:t>
      </w:r>
      <w:r w:rsidR="007C02E4">
        <w:t>.</w:t>
      </w:r>
    </w:p>
    <w:p w14:paraId="53F0BCB3" w14:textId="77777777" w:rsidR="00705CB6" w:rsidRDefault="00413104" w:rsidP="00FB7FD7">
      <w:r>
        <w:lastRenderedPageBreak/>
        <w:t>That the reefs in poorest condition in this sub region are those in th</w:t>
      </w:r>
      <w:r w:rsidR="006A31B8">
        <w:t>e best water quality (</w:t>
      </w:r>
      <w:r w:rsidR="006A31B8">
        <w:fldChar w:fldCharType="begin"/>
      </w:r>
      <w:r w:rsidR="006A31B8">
        <w:instrText xml:space="preserve"> REF _Ref460423145 \h </w:instrText>
      </w:r>
      <w:r w:rsidR="006A31B8">
        <w:fldChar w:fldCharType="separate"/>
      </w:r>
      <w:r w:rsidR="00B61881">
        <w:t xml:space="preserve">Table </w:t>
      </w:r>
      <w:proofErr w:type="gramStart"/>
      <w:r w:rsidR="00B61881">
        <w:t>A</w:t>
      </w:r>
      <w:proofErr w:type="gramEnd"/>
      <w:r w:rsidR="00B61881">
        <w:t xml:space="preserve"> </w:t>
      </w:r>
      <w:r w:rsidR="00B61881">
        <w:rPr>
          <w:noProof/>
        </w:rPr>
        <w:t>4</w:t>
      </w:r>
      <w:r w:rsidR="006A31B8">
        <w:fldChar w:fldCharType="end"/>
      </w:r>
      <w:r>
        <w:t xml:space="preserve">) is initially </w:t>
      </w:r>
      <w:r w:rsidR="00586C44">
        <w:t>counterintuitive, this</w:t>
      </w:r>
      <w:r>
        <w:t xml:space="preserve"> result does not</w:t>
      </w:r>
      <w:r w:rsidR="00586C44">
        <w:t>,</w:t>
      </w:r>
      <w:r>
        <w:t xml:space="preserve"> however</w:t>
      </w:r>
      <w:r w:rsidR="00586C44">
        <w:t>,</w:t>
      </w:r>
      <w:r>
        <w:t xml:space="preserve"> preclude the role of nutrient loading as a contributing f</w:t>
      </w:r>
      <w:r w:rsidR="007A5DAF">
        <w:t>actor. The reefs at Green</w:t>
      </w:r>
      <w:r w:rsidR="00F32D92">
        <w:t xml:space="preserve"> Island</w:t>
      </w:r>
      <w:r>
        <w:t xml:space="preserve">, Fitzroy Island and the </w:t>
      </w:r>
      <w:r w:rsidR="00586C44">
        <w:t>Frankland</w:t>
      </w:r>
      <w:r>
        <w:t xml:space="preserve"> </w:t>
      </w:r>
      <w:r w:rsidR="00586C44">
        <w:t>G</w:t>
      </w:r>
      <w:r>
        <w:t xml:space="preserve">roup all have a history of COTS </w:t>
      </w:r>
      <w:r w:rsidR="00586C44">
        <w:t xml:space="preserve">outbreaks as do the more offshore reefs throughout this region (De’ ath </w:t>
      </w:r>
      <w:r w:rsidR="00586C44" w:rsidRPr="00586C44">
        <w:rPr>
          <w:i/>
        </w:rPr>
        <w:t>et al.</w:t>
      </w:r>
      <w:r w:rsidR="00586C44">
        <w:t xml:space="preserve"> 2011, Sweatman </w:t>
      </w:r>
      <w:r w:rsidR="00586C44" w:rsidRPr="00586C44">
        <w:rPr>
          <w:i/>
        </w:rPr>
        <w:t>et al.</w:t>
      </w:r>
      <w:r w:rsidR="00586C44">
        <w:t xml:space="preserve"> 2007). L</w:t>
      </w:r>
      <w:r w:rsidR="00EA753F" w:rsidRPr="00EA753F">
        <w:t xml:space="preserve">inks between water quality and the outbreaks of COTS </w:t>
      </w:r>
      <w:r w:rsidR="000450E7">
        <w:t xml:space="preserve">suggest the broader </w:t>
      </w:r>
      <w:r w:rsidR="004320ED">
        <w:t>impact of nutrient loading to coral reefs in this region</w:t>
      </w:r>
      <w:r w:rsidR="00EA753F" w:rsidRPr="00EA753F">
        <w:t xml:space="preserve"> (Brodie </w:t>
      </w:r>
      <w:r w:rsidR="00EA753F" w:rsidRPr="00EA753F">
        <w:rPr>
          <w:i/>
        </w:rPr>
        <w:t>et al.</w:t>
      </w:r>
      <w:r w:rsidR="00EA753F" w:rsidRPr="00EA753F">
        <w:t xml:space="preserve"> 2008, Fabricius </w:t>
      </w:r>
      <w:r w:rsidR="00EA753F" w:rsidRPr="00EA753F">
        <w:rPr>
          <w:i/>
        </w:rPr>
        <w:t>et al.</w:t>
      </w:r>
      <w:r w:rsidR="000450E7">
        <w:t xml:space="preserve"> 2010</w:t>
      </w:r>
      <w:r w:rsidR="00DD6E15">
        <w:t xml:space="preserve">, </w:t>
      </w:r>
      <w:proofErr w:type="gramStart"/>
      <w:r w:rsidR="00DD6E15">
        <w:t>Furnas</w:t>
      </w:r>
      <w:proofErr w:type="gramEnd"/>
      <w:r w:rsidR="00DD6E15">
        <w:t xml:space="preserve"> </w:t>
      </w:r>
      <w:r w:rsidR="00DD6E15" w:rsidRPr="00DD6E15">
        <w:rPr>
          <w:i/>
        </w:rPr>
        <w:t>et al.</w:t>
      </w:r>
      <w:r w:rsidR="00DD6E15">
        <w:t xml:space="preserve"> 2013</w:t>
      </w:r>
      <w:r w:rsidR="000450E7">
        <w:t>)</w:t>
      </w:r>
      <w:r w:rsidR="00EA753F" w:rsidRPr="00EA753F">
        <w:t>.</w:t>
      </w:r>
      <w:r w:rsidR="007C02E4">
        <w:t xml:space="preserve"> In addition the coral communities at these reefs are dominated by </w:t>
      </w:r>
      <w:r w:rsidR="007C02E4" w:rsidRPr="00FA06C2">
        <w:rPr>
          <w:i/>
        </w:rPr>
        <w:t>Acropora spp</w:t>
      </w:r>
      <w:r w:rsidR="007C02E4">
        <w:t xml:space="preserve">. a group most impacted by disease. The loss of these corals to disease results in declines in </w:t>
      </w:r>
      <w:r w:rsidR="001252BF">
        <w:t>both</w:t>
      </w:r>
      <w:r w:rsidR="007C02E4">
        <w:t xml:space="preserve"> </w:t>
      </w:r>
      <w:r w:rsidR="00C3395A">
        <w:t>t</w:t>
      </w:r>
      <w:r w:rsidR="007C02E4">
        <w:t>he cover change and community composition indicators.</w:t>
      </w:r>
    </w:p>
    <w:p w14:paraId="5583F951" w14:textId="77777777" w:rsidR="000C6FCB" w:rsidRDefault="000C6FCB">
      <w:r>
        <w:br w:type="page"/>
      </w:r>
    </w:p>
    <w:p w14:paraId="43006D8B" w14:textId="77777777" w:rsidR="00E95C71" w:rsidRPr="00705CB6" w:rsidRDefault="00F352CD" w:rsidP="00F352CD">
      <w:pPr>
        <w:pStyle w:val="Heading2"/>
      </w:pPr>
      <w:bookmarkStart w:id="133" w:name="_Toc437424408"/>
      <w:bookmarkStart w:id="134" w:name="_Toc437424532"/>
      <w:bookmarkStart w:id="135" w:name="_Toc437432463"/>
      <w:bookmarkStart w:id="136" w:name="_Toc437432536"/>
      <w:bookmarkStart w:id="137" w:name="_Toc460490663"/>
      <w:r>
        <w:lastRenderedPageBreak/>
        <w:t>5</w:t>
      </w:r>
      <w:r w:rsidR="002A28EE">
        <w:t>.</w:t>
      </w:r>
      <w:r w:rsidR="00DC4665">
        <w:t>3</w:t>
      </w:r>
      <w:r w:rsidR="00EA753F" w:rsidRPr="00EA753F">
        <w:tab/>
        <w:t>Wet Tropics Region: Herbert Tully sub-region</w:t>
      </w:r>
      <w:bookmarkEnd w:id="133"/>
      <w:bookmarkEnd w:id="134"/>
      <w:bookmarkEnd w:id="135"/>
      <w:bookmarkEnd w:id="136"/>
      <w:bookmarkEnd w:id="137"/>
    </w:p>
    <w:p w14:paraId="02775487" w14:textId="77777777" w:rsidR="00EA753F" w:rsidRDefault="00EA753F" w:rsidP="00FB7FD7">
      <w:pPr>
        <w:spacing w:after="0"/>
      </w:pPr>
      <w:r w:rsidRPr="00EA753F">
        <w:t>The Tully catchment has a high proportion of forest and National Park areas while the predominant land use in the Herbert catchment is grazing. Around 10% of the sub-regional area</w:t>
      </w:r>
      <w:r w:rsidR="004216B7">
        <w:t xml:space="preserve"> is used for sugarcane cropping</w:t>
      </w:r>
      <w:r w:rsidRPr="00EA753F">
        <w:t xml:space="preserve"> along the coastal flood plain (Brodie </w:t>
      </w:r>
      <w:r w:rsidRPr="00EA753F">
        <w:rPr>
          <w:i/>
        </w:rPr>
        <w:t>et al.</w:t>
      </w:r>
      <w:r w:rsidRPr="00EA753F">
        <w:t xml:space="preserve"> 2003, GBRMPA 2012).</w:t>
      </w:r>
      <w:r w:rsidR="00CF70EF">
        <w:t xml:space="preserve"> C</w:t>
      </w:r>
      <w:r w:rsidR="00CF70EF" w:rsidRPr="00EA753F">
        <w:t>ombined</w:t>
      </w:r>
      <w:r w:rsidR="00CF70EF">
        <w:t>,</w:t>
      </w:r>
      <w:r w:rsidR="00CF70EF" w:rsidRPr="00EA753F">
        <w:t xml:space="preserve"> </w:t>
      </w:r>
      <w:r w:rsidRPr="00EA753F">
        <w:t>these two catchments form the largest drainage area of the three sub-regions in the Wet Tropics.</w:t>
      </w:r>
    </w:p>
    <w:p w14:paraId="36F26927" w14:textId="77777777" w:rsidR="000C6FCB" w:rsidRPr="00EA753F" w:rsidRDefault="000C6FCB" w:rsidP="00FB7FD7">
      <w:pPr>
        <w:spacing w:after="0"/>
      </w:pPr>
    </w:p>
    <w:p w14:paraId="0CB8DA29" w14:textId="77777777" w:rsidR="00D64814" w:rsidRDefault="00523D87" w:rsidP="00FB7FD7">
      <w:pPr>
        <w:keepNext/>
        <w:spacing w:before="5" w:after="0"/>
        <w:ind w:left="5" w:right="5"/>
        <w:jc w:val="center"/>
      </w:pPr>
      <w:r>
        <w:rPr>
          <w:noProof/>
          <w:lang w:val="en-AU" w:eastAsia="en-AU"/>
        </w:rPr>
        <w:drawing>
          <wp:inline distT="0" distB="0" distL="0" distR="0" wp14:anchorId="71228951" wp14:editId="54FAD7C5">
            <wp:extent cx="6120765" cy="6120765"/>
            <wp:effectExtent l="0" t="0" r="0" b="0"/>
            <wp:docPr id="226" name="Picture 226" descr="Figure 8: Herbert Tully sub-region reef locations, environmental conditions and disturbances. A composite figure with four panels. a) Location of monitoring sites red symbols MMP, black symbols LTMP, mean exposure to secondary plume type waters (Álvarez-Romero et al. 2013) during the wet season: December to March, over the period 2003-2015 indicated by colour. b) break-down and level of disturbances causing loss of hard coral cover over the period 2005-2015, level of disturbance is scaled to the maximum disturbance rate of 16% reduction in hard coral per year that occurred in the Tully Herbert sub-region (outer black ring), loss due to disturbance type ‘none’ reflects a short fall in rate of cover increase during years free from acute disturbances. c) Seasonally adjusted temperature deviation, timing of cyclones and storms indicated by black arrows, accumulated degree heating days over the summer period (1st December  to 31 March) each year indicated by black symbols d) Combined daily (blue) and annual (red) discharge for the Herbert and Tully rivers, red dashed line represents long-term median discharge (1970-2000)." title="Figure 8: Herbert Tully sub-region reef locations, environmental conditions and disturba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env_Tully_Herbert.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2A960AF9" w14:textId="77777777" w:rsidR="00D64814" w:rsidRPr="006B3B22" w:rsidRDefault="006B3B22" w:rsidP="00E56CF1">
      <w:pPr>
        <w:pStyle w:val="Caption"/>
        <w:rPr>
          <w:rStyle w:val="IntenseReference"/>
          <w:rFonts w:eastAsia="SimSun"/>
          <w:vanish/>
        </w:rPr>
      </w:pPr>
      <w:bookmarkStart w:id="138" w:name="_Ref438120434"/>
      <w:bookmarkStart w:id="139" w:name="_Toc437423853"/>
      <w:bookmarkStart w:id="140" w:name="_Toc437424032"/>
      <w:bookmarkStart w:id="141" w:name="_Toc437424300"/>
      <w:bookmarkStart w:id="142" w:name="_Toc437597633"/>
      <w:bookmarkStart w:id="143" w:name="_Toc460490777"/>
      <w:r>
        <w:t xml:space="preserve">Figure </w:t>
      </w:r>
      <w:r w:rsidR="005D2F9F">
        <w:fldChar w:fldCharType="begin"/>
      </w:r>
      <w:r w:rsidR="005D2F9F">
        <w:instrText xml:space="preserve"> SEQ Figure \* ARABIC </w:instrText>
      </w:r>
      <w:r w:rsidR="005D2F9F">
        <w:fldChar w:fldCharType="separate"/>
      </w:r>
      <w:r w:rsidR="00B61881">
        <w:rPr>
          <w:noProof/>
        </w:rPr>
        <w:t>8</w:t>
      </w:r>
      <w:r w:rsidR="005D2F9F">
        <w:rPr>
          <w:noProof/>
        </w:rPr>
        <w:fldChar w:fldCharType="end"/>
      </w:r>
      <w:bookmarkEnd w:id="138"/>
      <w:r>
        <w:t xml:space="preserve">: </w:t>
      </w:r>
      <w:r w:rsidR="00EA753F" w:rsidRPr="009155F8">
        <w:t>Herbert Tully sub-region reef locations, environmental conditions</w:t>
      </w:r>
      <w:r w:rsidR="00EA753F" w:rsidRPr="00D64814">
        <w:t xml:space="preserve"> </w:t>
      </w:r>
      <w:r w:rsidR="00EA753F" w:rsidRPr="009155F8">
        <w:rPr>
          <w:rStyle w:val="IntenseReference"/>
          <w:rFonts w:eastAsia="SimSun"/>
        </w:rPr>
        <w:t>and disturbances.</w:t>
      </w:r>
      <w:bookmarkEnd w:id="139"/>
      <w:bookmarkEnd w:id="140"/>
      <w:bookmarkEnd w:id="141"/>
      <w:bookmarkEnd w:id="142"/>
      <w:bookmarkEnd w:id="143"/>
      <w:r w:rsidR="00EA753F" w:rsidRPr="009155F8">
        <w:rPr>
          <w:rStyle w:val="IntenseReference"/>
          <w:rFonts w:eastAsia="SimSun"/>
        </w:rPr>
        <w:t xml:space="preserve"> </w:t>
      </w:r>
    </w:p>
    <w:p w14:paraId="592FAF26" w14:textId="77777777" w:rsidR="00EA753F" w:rsidRPr="00FB7FD7" w:rsidRDefault="00EA753F" w:rsidP="00E56CF1">
      <w:pPr>
        <w:pStyle w:val="Caption"/>
        <w:rPr>
          <w:rStyle w:val="IntenseReference"/>
          <w:rFonts w:eastAsia="SimSun"/>
        </w:rPr>
      </w:pPr>
      <w:bookmarkStart w:id="144" w:name="_Toc437424301"/>
      <w:bookmarkStart w:id="145" w:name="_Toc437432354"/>
      <w:bookmarkStart w:id="146" w:name="_Toc437597634"/>
      <w:r w:rsidRPr="00FB7FD7">
        <w:rPr>
          <w:rStyle w:val="IntenseReference"/>
          <w:rFonts w:eastAsia="SimSun"/>
        </w:rPr>
        <w:t xml:space="preserve">a) Location of monitoring sites red symbols MMP, black symbols LTMP, mean exposure to secondary plume type waters (Álvarez-Romero </w:t>
      </w:r>
      <w:r w:rsidRPr="00051C52">
        <w:rPr>
          <w:rStyle w:val="IntenseReference"/>
          <w:rFonts w:eastAsia="SimSun"/>
          <w:i/>
        </w:rPr>
        <w:t>et al.</w:t>
      </w:r>
      <w:r w:rsidRPr="00FB7FD7">
        <w:rPr>
          <w:rStyle w:val="IntenseReference"/>
          <w:rFonts w:eastAsia="SimSun"/>
        </w:rPr>
        <w:t xml:space="preserve"> 2013) during the wet season: December to March, over the period 2003-2015 indicated by colour. b) break-down and level of disturbances causing loss of hard coral cover</w:t>
      </w:r>
      <w:r w:rsidR="00646DCA">
        <w:rPr>
          <w:rStyle w:val="IntenseReference"/>
          <w:rFonts w:eastAsia="SimSun"/>
        </w:rPr>
        <w:t xml:space="preserve"> over the period 2005-2015</w:t>
      </w:r>
      <w:r w:rsidRPr="00FB7FD7">
        <w:rPr>
          <w:rStyle w:val="IntenseReference"/>
          <w:rFonts w:eastAsia="SimSun"/>
        </w:rPr>
        <w:t xml:space="preserve">, level of disturbance is scaled to the maximum disturbance rate of 16% reduction in hard coral per year that occurred in the Tully Herbert sub-region (outer black ring), loss due to disturbance type ‘none’ reflects a </w:t>
      </w:r>
      <w:r w:rsidR="00A77C75">
        <w:rPr>
          <w:rStyle w:val="IntenseReference"/>
          <w:rFonts w:eastAsia="SimSun"/>
        </w:rPr>
        <w:t>shortfall</w:t>
      </w:r>
      <w:r w:rsidRPr="00FB7FD7">
        <w:rPr>
          <w:rStyle w:val="IntenseReference"/>
          <w:rFonts w:eastAsia="SimSun"/>
        </w:rPr>
        <w:t xml:space="preserve"> in rate of cover increase during years free from acute disturbances. c) Seasonally adjusted temperature deviation, timing of cyclones and storms indicated by black arrows, accumulated degree heating days over the</w:t>
      </w:r>
      <w:r w:rsidR="005D2F9F">
        <w:rPr>
          <w:rStyle w:val="IntenseReference"/>
          <w:rFonts w:eastAsia="SimSun"/>
        </w:rPr>
        <w:t xml:space="preserve"> summer period (1</w:t>
      </w:r>
      <w:r w:rsidR="005D2F9F" w:rsidRPr="005D2F9F">
        <w:rPr>
          <w:rStyle w:val="IntenseReference"/>
          <w:rFonts w:eastAsia="SimSun"/>
          <w:vertAlign w:val="superscript"/>
        </w:rPr>
        <w:t>st</w:t>
      </w:r>
      <w:r w:rsidR="005D2F9F">
        <w:rPr>
          <w:rStyle w:val="IntenseReference"/>
          <w:rFonts w:eastAsia="SimSun"/>
        </w:rPr>
        <w:t xml:space="preserve"> December </w:t>
      </w:r>
      <w:r w:rsidRPr="00FB7FD7">
        <w:rPr>
          <w:rStyle w:val="IntenseReference"/>
          <w:rFonts w:eastAsia="SimSun"/>
        </w:rPr>
        <w:t xml:space="preserve"> to 31 March</w:t>
      </w:r>
      <w:r w:rsidR="005D2F9F">
        <w:rPr>
          <w:rStyle w:val="IntenseReference"/>
          <w:rFonts w:eastAsia="SimSun"/>
        </w:rPr>
        <w:t>)</w:t>
      </w:r>
      <w:r w:rsidRPr="00FB7FD7">
        <w:rPr>
          <w:rStyle w:val="IntenseReference"/>
          <w:rFonts w:eastAsia="SimSun"/>
        </w:rPr>
        <w:t xml:space="preserve"> each year indicated by black symbols d) Combined daily (blue) and annual (red) discharge for the </w:t>
      </w:r>
      <w:r w:rsidR="009A6EBC" w:rsidRPr="00FB7FD7">
        <w:rPr>
          <w:rStyle w:val="IntenseReference"/>
          <w:rFonts w:eastAsia="SimSun"/>
        </w:rPr>
        <w:t>Herbert and Tully</w:t>
      </w:r>
      <w:r w:rsidRPr="00FB7FD7">
        <w:rPr>
          <w:rStyle w:val="IntenseReference"/>
          <w:rFonts w:eastAsia="SimSun"/>
        </w:rPr>
        <w:t xml:space="preserve"> rivers, red dashed line represents long-term median discharge (1970-2000)</w:t>
      </w:r>
      <w:r w:rsidR="009155F8" w:rsidRPr="00FB7FD7">
        <w:rPr>
          <w:rStyle w:val="IntenseReference"/>
          <w:rFonts w:eastAsia="SimSun"/>
        </w:rPr>
        <w:t>.</w:t>
      </w:r>
      <w:bookmarkEnd w:id="144"/>
      <w:bookmarkEnd w:id="145"/>
      <w:bookmarkEnd w:id="146"/>
    </w:p>
    <w:p w14:paraId="155F2398" w14:textId="77777777" w:rsidR="00EA753F" w:rsidRPr="00EA753F" w:rsidRDefault="00EA753F" w:rsidP="00406BD7">
      <w:pPr>
        <w:rPr>
          <w:color w:val="0070C0"/>
        </w:rPr>
      </w:pPr>
    </w:p>
    <w:p w14:paraId="7DE52913" w14:textId="77777777" w:rsidR="00EA753F" w:rsidRPr="00EA753F" w:rsidRDefault="00EA753F" w:rsidP="003045D3">
      <w:r w:rsidRPr="00EA753F">
        <w:lastRenderedPageBreak/>
        <w:t>The sampling sites in this sub-region are primarily influenced by discharge from the Tully and Herbert ri</w:t>
      </w:r>
      <w:r w:rsidR="00AD5099">
        <w:t xml:space="preserve">vers. </w:t>
      </w:r>
      <w:r w:rsidRPr="00EA753F">
        <w:t xml:space="preserve">As of 2015, </w:t>
      </w:r>
      <w:r w:rsidR="004320ED">
        <w:t>monitoring of King was ceased in favour of a new location at Bedarra selected to coincide more closely with a revised sampling design for water quality monitoring in the sub-region</w:t>
      </w:r>
      <w:r w:rsidRPr="00EA753F">
        <w:t xml:space="preserve">. All of these sites experience </w:t>
      </w:r>
      <w:r w:rsidR="004320ED">
        <w:t>substantial exposure to secondary plume-type waters during the wet season</w:t>
      </w:r>
      <w:r w:rsidR="00B56F9A">
        <w:t xml:space="preserve"> (</w:t>
      </w:r>
      <w:r w:rsidR="00CB709D">
        <w:fldChar w:fldCharType="begin"/>
      </w:r>
      <w:r w:rsidR="00CB709D">
        <w:instrText xml:space="preserve"> REF _Ref438120434 \h </w:instrText>
      </w:r>
      <w:r w:rsidR="00CB709D">
        <w:fldChar w:fldCharType="separate"/>
      </w:r>
      <w:r w:rsidR="00B61881">
        <w:t xml:space="preserve">Figure </w:t>
      </w:r>
      <w:r w:rsidR="00B61881">
        <w:rPr>
          <w:noProof/>
        </w:rPr>
        <w:t>8</w:t>
      </w:r>
      <w:r w:rsidR="00CB709D">
        <w:fldChar w:fldCharType="end"/>
      </w:r>
      <w:r w:rsidRPr="00EA753F">
        <w:t>a)</w:t>
      </w:r>
      <w:r w:rsidR="00D3741B">
        <w:t xml:space="preserve"> though a gradient of exposure from south to north is apparent in magnitude of this exposure to plume type waters and more specifically </w:t>
      </w:r>
      <w:r w:rsidR="009109BA">
        <w:t xml:space="preserve">chlorophyll </w:t>
      </w:r>
      <w:r w:rsidR="00D3741B">
        <w:t xml:space="preserve">a </w:t>
      </w:r>
      <w:r w:rsidR="009E59F0">
        <w:t>and turbidity levels (</w:t>
      </w:r>
      <w:r w:rsidR="009E59F0">
        <w:fldChar w:fldCharType="begin"/>
      </w:r>
      <w:r w:rsidR="009E59F0">
        <w:instrText xml:space="preserve"> REF _Ref460423145 \h </w:instrText>
      </w:r>
      <w:r w:rsidR="009E59F0">
        <w:fldChar w:fldCharType="separate"/>
      </w:r>
      <w:r w:rsidR="00B61881">
        <w:t xml:space="preserve">Table A </w:t>
      </w:r>
      <w:r w:rsidR="00B61881">
        <w:rPr>
          <w:noProof/>
        </w:rPr>
        <w:t>4</w:t>
      </w:r>
      <w:r w:rsidR="009E59F0">
        <w:fldChar w:fldCharType="end"/>
      </w:r>
      <w:r w:rsidR="00D3741B">
        <w:t>).</w:t>
      </w:r>
      <w:r w:rsidRPr="00EA753F">
        <w:t xml:space="preserve"> </w:t>
      </w:r>
    </w:p>
    <w:p w14:paraId="5B65BA35" w14:textId="77777777" w:rsidR="00EA753F" w:rsidRPr="00EA753F" w:rsidRDefault="00EA753F" w:rsidP="003045D3">
      <w:r w:rsidRPr="00EA753F">
        <w:t>The coral index has improved from ‘poor’ to ‘moderate’ in 2015. Overall the trend in the health index identifies two distinct declines in the condition of the coral communities in the sub-region followed by a gradual improveme</w:t>
      </w:r>
      <w:r w:rsidR="00B56F9A">
        <w:t>nt in subsequent years (</w:t>
      </w:r>
      <w:r w:rsidR="00CB709D">
        <w:fldChar w:fldCharType="begin"/>
      </w:r>
      <w:r w:rsidR="00CB709D">
        <w:instrText xml:space="preserve"> REF _Ref438120452 \h </w:instrText>
      </w:r>
      <w:r w:rsidR="00CB709D">
        <w:fldChar w:fldCharType="separate"/>
      </w:r>
      <w:r w:rsidR="00B61881">
        <w:t xml:space="preserve">Figure </w:t>
      </w:r>
      <w:r w:rsidR="00B61881">
        <w:rPr>
          <w:noProof/>
        </w:rPr>
        <w:t>9</w:t>
      </w:r>
      <w:r w:rsidR="00CB709D">
        <w:fldChar w:fldCharType="end"/>
      </w:r>
      <w:r w:rsidRPr="00EA753F">
        <w:t>a). The declines seen in the health index have</w:t>
      </w:r>
      <w:r w:rsidR="00F32D92">
        <w:t>,</w:t>
      </w:r>
      <w:r w:rsidRPr="00EA753F">
        <w:t xml:space="preserve"> on both occasions</w:t>
      </w:r>
      <w:r w:rsidR="00F32D92">
        <w:t>,</w:t>
      </w:r>
      <w:r w:rsidRPr="00EA753F">
        <w:t xml:space="preserve"> been the result of impacts on the coral communities resulting from cyclones</w:t>
      </w:r>
      <w:r w:rsidR="007C02E4">
        <w:t xml:space="preserve">:  </w:t>
      </w:r>
      <w:r w:rsidRPr="00EA753F">
        <w:t>Cyclone Larry in 2006 and Cyclone Yasi in 2011</w:t>
      </w:r>
      <w:r w:rsidR="00B56F9A">
        <w:t xml:space="preserve"> (</w:t>
      </w:r>
      <w:r w:rsidR="00CB709D">
        <w:fldChar w:fldCharType="begin"/>
      </w:r>
      <w:r w:rsidR="00CB709D">
        <w:instrText xml:space="preserve"> REF _Ref438120434 \h </w:instrText>
      </w:r>
      <w:r w:rsidR="00CB709D">
        <w:fldChar w:fldCharType="separate"/>
      </w:r>
      <w:r w:rsidR="00B61881">
        <w:t xml:space="preserve">Figure </w:t>
      </w:r>
      <w:r w:rsidR="00B61881">
        <w:rPr>
          <w:noProof/>
        </w:rPr>
        <w:t>8</w:t>
      </w:r>
      <w:r w:rsidR="00CB709D">
        <w:fldChar w:fldCharType="end"/>
      </w:r>
      <w:r w:rsidR="00AD5099">
        <w:t>c)</w:t>
      </w:r>
      <w:r w:rsidR="00D5404E">
        <w:t>, which combined</w:t>
      </w:r>
      <w:r w:rsidR="00F32D92">
        <w:t>,</w:t>
      </w:r>
      <w:r w:rsidR="00D5404E">
        <w:t xml:space="preserve"> account for </w:t>
      </w:r>
      <w:r w:rsidRPr="00EA753F">
        <w:t xml:space="preserve">89.7% and 98.6% of the hard coral cover lost since 2005 at 2m and 5m </w:t>
      </w:r>
      <w:r w:rsidR="00F32D92">
        <w:t xml:space="preserve">depths </w:t>
      </w:r>
      <w:r w:rsidRPr="00EA753F">
        <w:t>respectively (</w:t>
      </w:r>
      <w:r w:rsidR="00CB709D">
        <w:fldChar w:fldCharType="begin"/>
      </w:r>
      <w:r w:rsidR="00CB709D">
        <w:instrText xml:space="preserve"> REF _Ref438120434 \h </w:instrText>
      </w:r>
      <w:r w:rsidR="00CB709D">
        <w:fldChar w:fldCharType="separate"/>
      </w:r>
      <w:r w:rsidR="00B61881">
        <w:t xml:space="preserve">Figure </w:t>
      </w:r>
      <w:r w:rsidR="00B61881">
        <w:rPr>
          <w:noProof/>
        </w:rPr>
        <w:t>8</w:t>
      </w:r>
      <w:r w:rsidR="00CB709D">
        <w:fldChar w:fldCharType="end"/>
      </w:r>
      <w:r w:rsidR="00D5404E">
        <w:t>b) and incur the highest level of disturbance to coral communities of any regions monitored by the MMP.</w:t>
      </w:r>
    </w:p>
    <w:p w14:paraId="68A56A47" w14:textId="77777777" w:rsidR="00B22379" w:rsidRPr="00EA753F" w:rsidRDefault="00EA753F" w:rsidP="003045D3">
      <w:r w:rsidRPr="00EA753F">
        <w:t xml:space="preserve">The slow </w:t>
      </w:r>
      <w:r w:rsidR="00D5404E">
        <w:t>rate</w:t>
      </w:r>
      <w:r w:rsidRPr="00EA753F">
        <w:t xml:space="preserve"> of recovery following disturbances </w:t>
      </w:r>
      <w:r w:rsidR="00B56F9A">
        <w:t>(</w:t>
      </w:r>
      <w:r w:rsidR="00CB709D">
        <w:fldChar w:fldCharType="begin"/>
      </w:r>
      <w:r w:rsidR="00CB709D">
        <w:instrText xml:space="preserve"> REF _Ref438120452 \h </w:instrText>
      </w:r>
      <w:r w:rsidR="00CB709D">
        <w:fldChar w:fldCharType="separate"/>
      </w:r>
      <w:r w:rsidR="00B61881">
        <w:t xml:space="preserve">Figure </w:t>
      </w:r>
      <w:r w:rsidR="00B61881">
        <w:rPr>
          <w:noProof/>
        </w:rPr>
        <w:t>9</w:t>
      </w:r>
      <w:r w:rsidR="00CB709D">
        <w:fldChar w:fldCharType="end"/>
      </w:r>
      <w:r w:rsidR="00D5404E">
        <w:t xml:space="preserve">e) </w:t>
      </w:r>
      <w:r w:rsidRPr="00EA753F">
        <w:t xml:space="preserve">and the loss of hard coral cover </w:t>
      </w:r>
      <w:r w:rsidR="00820308" w:rsidRPr="00EA753F">
        <w:t>due to disease</w:t>
      </w:r>
      <w:r w:rsidR="00D5404E">
        <w:t>,</w:t>
      </w:r>
      <w:r w:rsidRPr="00EA753F">
        <w:t xml:space="preserve"> indicates a strong likelihood that </w:t>
      </w:r>
      <w:r w:rsidR="004118F6">
        <w:t>the high turbidity and chlorophyll concentrations (</w:t>
      </w:r>
      <w:r w:rsidR="009E59F0">
        <w:fldChar w:fldCharType="begin"/>
      </w:r>
      <w:r w:rsidR="009E59F0">
        <w:instrText xml:space="preserve"> REF _Ref438120452 \h </w:instrText>
      </w:r>
      <w:r w:rsidR="009E59F0">
        <w:fldChar w:fldCharType="separate"/>
      </w:r>
      <w:r w:rsidR="00B61881">
        <w:t xml:space="preserve">Figure </w:t>
      </w:r>
      <w:r w:rsidR="00B61881">
        <w:rPr>
          <w:noProof/>
        </w:rPr>
        <w:t>9</w:t>
      </w:r>
      <w:r w:rsidR="009E59F0">
        <w:fldChar w:fldCharType="end"/>
      </w:r>
      <w:r w:rsidR="004118F6">
        <w:t xml:space="preserve">g,h) </w:t>
      </w:r>
      <w:r w:rsidR="00D5404E">
        <w:t xml:space="preserve"> </w:t>
      </w:r>
      <w:r w:rsidR="004118F6">
        <w:t>have</w:t>
      </w:r>
      <w:r w:rsidR="001A6D4F">
        <w:t xml:space="preserve"> </w:t>
      </w:r>
      <w:r w:rsidR="00D5404E">
        <w:t xml:space="preserve">suppressed the </w:t>
      </w:r>
      <w:r w:rsidRPr="00EA753F">
        <w:t xml:space="preserve">resilience </w:t>
      </w:r>
      <w:r w:rsidR="00D5404E">
        <w:t xml:space="preserve">of </w:t>
      </w:r>
      <w:r w:rsidRPr="00EA753F">
        <w:t>coral communitie</w:t>
      </w:r>
      <w:r w:rsidR="00B56F9A">
        <w:t xml:space="preserve">s </w:t>
      </w:r>
      <w:r w:rsidR="004118F6">
        <w:t xml:space="preserve">in </w:t>
      </w:r>
      <w:r w:rsidR="00B56F9A">
        <w:t>this sub-region</w:t>
      </w:r>
      <w:r w:rsidRPr="00EA753F">
        <w:t xml:space="preserve">. The trend in instrument measured </w:t>
      </w:r>
      <w:r w:rsidR="009A6EBC">
        <w:t>turbidity (NTU)</w:t>
      </w:r>
      <w:r w:rsidRPr="00EA753F">
        <w:t xml:space="preserve"> consistently exceeds guideline thresholds, and whilst concentrations have fluctuated, with peaks well above guideline levels, there is </w:t>
      </w:r>
      <w:r w:rsidR="001A6D4F">
        <w:t xml:space="preserve">an </w:t>
      </w:r>
      <w:r w:rsidRPr="00EA753F">
        <w:t>indication of an increase in the background levels of chl</w:t>
      </w:r>
      <w:r w:rsidR="009A6EBC">
        <w:t>orophyll</w:t>
      </w:r>
      <w:r w:rsidRPr="00EA753F">
        <w:t xml:space="preserve"> </w:t>
      </w:r>
      <w:r w:rsidRPr="00EA753F">
        <w:rPr>
          <w:i/>
        </w:rPr>
        <w:t>a</w:t>
      </w:r>
      <w:r w:rsidR="00B56F9A">
        <w:t xml:space="preserve"> (</w:t>
      </w:r>
      <w:r w:rsidR="00CB709D">
        <w:fldChar w:fldCharType="begin"/>
      </w:r>
      <w:r w:rsidR="00CB709D">
        <w:instrText xml:space="preserve"> REF _Ref438120452 \h </w:instrText>
      </w:r>
      <w:r w:rsidR="00CB709D">
        <w:fldChar w:fldCharType="separate"/>
      </w:r>
      <w:r w:rsidR="00B61881">
        <w:t xml:space="preserve">Figure </w:t>
      </w:r>
      <w:r w:rsidR="00B61881">
        <w:rPr>
          <w:noProof/>
        </w:rPr>
        <w:t>9</w:t>
      </w:r>
      <w:r w:rsidR="00CB709D">
        <w:fldChar w:fldCharType="end"/>
      </w:r>
      <w:r w:rsidRPr="00EA753F">
        <w:t>g, h). As seen in the other two sub-regions of the Wet Tropics there has also been a consistent increase in the concentration of NO</w:t>
      </w:r>
      <w:r w:rsidRPr="00EA753F">
        <w:rPr>
          <w:vertAlign w:val="subscript"/>
        </w:rPr>
        <w:t>x</w:t>
      </w:r>
      <w:r w:rsidR="00D5404E">
        <w:rPr>
          <w:vertAlign w:val="subscript"/>
        </w:rPr>
        <w:t xml:space="preserve"> </w:t>
      </w:r>
      <w:r w:rsidR="00D5404E">
        <w:t xml:space="preserve">and dissolved organic carbon (DOC) </w:t>
      </w:r>
      <w:r w:rsidRPr="00EA753F">
        <w:t xml:space="preserve">in the Herbert Tully sub-region </w:t>
      </w:r>
      <w:r w:rsidRPr="006443C9">
        <w:t>(</w:t>
      </w:r>
      <w:r w:rsidR="009E59F0">
        <w:fldChar w:fldCharType="begin"/>
      </w:r>
      <w:r w:rsidR="009E59F0">
        <w:instrText xml:space="preserve"> REF _Ref460485539 \h </w:instrText>
      </w:r>
      <w:r w:rsidR="009E59F0">
        <w:fldChar w:fldCharType="separate"/>
      </w:r>
      <w:r w:rsidR="00B61881">
        <w:t xml:space="preserve">Figure A </w:t>
      </w:r>
      <w:r w:rsidR="00B61881">
        <w:rPr>
          <w:noProof/>
        </w:rPr>
        <w:t>12</w:t>
      </w:r>
      <w:r w:rsidR="009E59F0">
        <w:fldChar w:fldCharType="end"/>
      </w:r>
      <w:r w:rsidR="00D5404E">
        <w:t>d</w:t>
      </w:r>
      <w:proofErr w:type="gramStart"/>
      <w:r w:rsidR="00D5404E">
        <w:t>,j</w:t>
      </w:r>
      <w:proofErr w:type="gramEnd"/>
      <w:r w:rsidR="00D5404E">
        <w:t xml:space="preserve"> &amp; </w:t>
      </w:r>
      <w:r w:rsidRPr="006443C9">
        <w:t>L</w:t>
      </w:r>
      <w:r w:rsidR="006443C9" w:rsidRPr="006443C9">
        <w:rPr>
          <w:rFonts w:cs="Arial"/>
        </w:rPr>
        <w:t>ø</w:t>
      </w:r>
      <w:r w:rsidRPr="006443C9">
        <w:t xml:space="preserve">nborg </w:t>
      </w:r>
      <w:r w:rsidRPr="006443C9">
        <w:rPr>
          <w:i/>
        </w:rPr>
        <w:t>et al</w:t>
      </w:r>
      <w:r w:rsidR="00D5404E">
        <w:rPr>
          <w:i/>
        </w:rPr>
        <w:t>.</w:t>
      </w:r>
      <w:r w:rsidRPr="006443C9">
        <w:rPr>
          <w:i/>
        </w:rPr>
        <w:t xml:space="preserve"> </w:t>
      </w:r>
      <w:r w:rsidR="008E6F11">
        <w:t>2015</w:t>
      </w:r>
      <w:r w:rsidRPr="006443C9">
        <w:t>)</w:t>
      </w:r>
      <w:r w:rsidR="00B22379">
        <w:t xml:space="preserve">. </w:t>
      </w:r>
      <w:r w:rsidR="00B22379" w:rsidRPr="00EA753F">
        <w:t xml:space="preserve">Further </w:t>
      </w:r>
      <w:r w:rsidR="00B22379">
        <w:t xml:space="preserve">evidence of the </w:t>
      </w:r>
      <w:r w:rsidR="00B22379" w:rsidRPr="00EA753F">
        <w:t xml:space="preserve">effects of </w:t>
      </w:r>
      <w:r w:rsidR="00B22379">
        <w:t xml:space="preserve">nutrients </w:t>
      </w:r>
      <w:r w:rsidR="00B22379" w:rsidRPr="00EA753F">
        <w:t xml:space="preserve">as a pressure </w:t>
      </w:r>
      <w:r w:rsidR="00B22379">
        <w:t>for</w:t>
      </w:r>
      <w:r w:rsidR="00B22379" w:rsidRPr="00EA753F">
        <w:t xml:space="preserve"> coral co</w:t>
      </w:r>
      <w:r w:rsidR="00B22379">
        <w:t>mmunities in this sub-region is</w:t>
      </w:r>
      <w:r w:rsidR="00B22379" w:rsidRPr="00EA753F">
        <w:t xml:space="preserve"> the persistently high </w:t>
      </w:r>
      <w:r w:rsidR="00B22379">
        <w:t xml:space="preserve">representation of </w:t>
      </w:r>
      <w:r w:rsidR="00B22379" w:rsidRPr="00EA753F">
        <w:t xml:space="preserve">macroalgae </w:t>
      </w:r>
      <w:r w:rsidR="00B22379">
        <w:t>on</w:t>
      </w:r>
      <w:r w:rsidR="00B22379" w:rsidRPr="00EA753F">
        <w:t xml:space="preserve"> </w:t>
      </w:r>
      <w:r w:rsidR="00B22379">
        <w:t>most reefs, and in particular at the 2m depths</w:t>
      </w:r>
      <w:r w:rsidR="00B22379" w:rsidRPr="00EA753F">
        <w:t xml:space="preserve"> </w:t>
      </w:r>
      <w:r w:rsidR="00B56F9A">
        <w:t>(</w:t>
      </w:r>
      <w:r w:rsidR="00CB709D">
        <w:fldChar w:fldCharType="begin"/>
      </w:r>
      <w:r w:rsidR="00CB709D">
        <w:instrText xml:space="preserve"> REF _Ref438120452 \h </w:instrText>
      </w:r>
      <w:r w:rsidR="00CB709D">
        <w:fldChar w:fldCharType="separate"/>
      </w:r>
      <w:r w:rsidR="00B61881">
        <w:t xml:space="preserve">Figure </w:t>
      </w:r>
      <w:r w:rsidR="00B61881">
        <w:rPr>
          <w:noProof/>
        </w:rPr>
        <w:t>9</w:t>
      </w:r>
      <w:r w:rsidR="00CB709D">
        <w:fldChar w:fldCharType="end"/>
      </w:r>
      <w:r w:rsidR="00B22379" w:rsidRPr="002A57AF">
        <w:t>c</w:t>
      </w:r>
      <w:r w:rsidR="009E59F0">
        <w:t xml:space="preserve">, </w:t>
      </w:r>
      <w:r w:rsidR="009E59F0">
        <w:fldChar w:fldCharType="begin"/>
      </w:r>
      <w:r w:rsidR="009E59F0">
        <w:instrText xml:space="preserve"> REF _Ref460485602 \h </w:instrText>
      </w:r>
      <w:r w:rsidR="009E59F0">
        <w:fldChar w:fldCharType="separate"/>
      </w:r>
      <w:r w:rsidR="00B61881">
        <w:t xml:space="preserve">Figure </w:t>
      </w:r>
      <w:proofErr w:type="gramStart"/>
      <w:r w:rsidR="00B61881">
        <w:t>A</w:t>
      </w:r>
      <w:proofErr w:type="gramEnd"/>
      <w:r w:rsidR="00B61881">
        <w:t xml:space="preserve"> </w:t>
      </w:r>
      <w:r w:rsidR="00B61881">
        <w:rPr>
          <w:noProof/>
        </w:rPr>
        <w:t>3</w:t>
      </w:r>
      <w:r w:rsidR="009E59F0">
        <w:fldChar w:fldCharType="end"/>
      </w:r>
      <w:r w:rsidR="00B22379" w:rsidRPr="00EA753F">
        <w:t xml:space="preserve">). </w:t>
      </w:r>
    </w:p>
    <w:p w14:paraId="2CEB1CA1" w14:textId="77777777" w:rsidR="00EA753F" w:rsidRPr="00EA753F" w:rsidRDefault="00EA753F" w:rsidP="003045D3">
      <w:r w:rsidRPr="00EA753F">
        <w:t xml:space="preserve">Marked increases in </w:t>
      </w:r>
      <w:r w:rsidR="00B22379">
        <w:t xml:space="preserve">the density of </w:t>
      </w:r>
      <w:r w:rsidRPr="00EA753F">
        <w:t xml:space="preserve">juvenile </w:t>
      </w:r>
      <w:r w:rsidR="00B22379">
        <w:t xml:space="preserve">hard corals </w:t>
      </w:r>
      <w:r w:rsidRPr="00EA753F">
        <w:t xml:space="preserve">have played a </w:t>
      </w:r>
      <w:r w:rsidR="00B22379">
        <w:t>role in the improvements</w:t>
      </w:r>
      <w:r w:rsidRPr="00EA753F">
        <w:t xml:space="preserve"> </w:t>
      </w:r>
      <w:r w:rsidR="00B22379">
        <w:t>of the coral index following cyclones i</w:t>
      </w:r>
      <w:r w:rsidR="00B56F9A">
        <w:t>n the sub-region (</w:t>
      </w:r>
      <w:r w:rsidR="00CB709D">
        <w:fldChar w:fldCharType="begin"/>
      </w:r>
      <w:r w:rsidR="00CB709D">
        <w:instrText xml:space="preserve"> REF _Ref438120452 \h </w:instrText>
      </w:r>
      <w:r w:rsidR="00CB709D">
        <w:fldChar w:fldCharType="separate"/>
      </w:r>
      <w:r w:rsidR="00B61881">
        <w:t xml:space="preserve">Figure </w:t>
      </w:r>
      <w:r w:rsidR="00B61881">
        <w:rPr>
          <w:noProof/>
        </w:rPr>
        <w:t>9</w:t>
      </w:r>
      <w:r w:rsidR="00CB709D">
        <w:fldChar w:fldCharType="end"/>
      </w:r>
      <w:r w:rsidRPr="00EA753F">
        <w:t xml:space="preserve">d). In many cases this is due to large numbers of </w:t>
      </w:r>
      <w:r w:rsidRPr="00EA753F">
        <w:rPr>
          <w:i/>
        </w:rPr>
        <w:t>Turbinaria</w:t>
      </w:r>
      <w:r w:rsidRPr="00EA753F">
        <w:t xml:space="preserve"> sp</w:t>
      </w:r>
      <w:r w:rsidR="001A6D4F">
        <w:t>p.</w:t>
      </w:r>
      <w:r w:rsidRPr="00EA753F">
        <w:t xml:space="preserve"> (family Dendrophylliidae</w:t>
      </w:r>
      <w:r w:rsidR="009E59F0">
        <w:t xml:space="preserve">, </w:t>
      </w:r>
      <w:r w:rsidR="009E59F0">
        <w:fldChar w:fldCharType="begin"/>
      </w:r>
      <w:r w:rsidR="009E59F0">
        <w:instrText xml:space="preserve"> REF _Ref460485602 \h </w:instrText>
      </w:r>
      <w:r w:rsidR="009E59F0">
        <w:fldChar w:fldCharType="separate"/>
      </w:r>
      <w:r w:rsidR="00B61881">
        <w:t xml:space="preserve">Figure </w:t>
      </w:r>
      <w:proofErr w:type="gramStart"/>
      <w:r w:rsidR="00B61881">
        <w:t>A</w:t>
      </w:r>
      <w:proofErr w:type="gramEnd"/>
      <w:r w:rsidR="00B61881">
        <w:t xml:space="preserve"> </w:t>
      </w:r>
      <w:r w:rsidR="00B61881">
        <w:rPr>
          <w:noProof/>
        </w:rPr>
        <w:t>3</w:t>
      </w:r>
      <w:r w:rsidR="009E59F0">
        <w:fldChar w:fldCharType="end"/>
      </w:r>
      <w:r w:rsidRPr="00EA753F">
        <w:t xml:space="preserve">). This </w:t>
      </w:r>
      <w:r w:rsidR="001A6D4F">
        <w:t>genus</w:t>
      </w:r>
      <w:r w:rsidR="001A6D4F" w:rsidRPr="00EA753F">
        <w:t xml:space="preserve"> </w:t>
      </w:r>
      <w:r w:rsidRPr="00EA753F">
        <w:t>is known for being tolerant of poor water quality (</w:t>
      </w:r>
      <w:r w:rsidR="006443C9">
        <w:t xml:space="preserve">Sofonia </w:t>
      </w:r>
      <w:r w:rsidR="0054101D">
        <w:t>&amp;</w:t>
      </w:r>
      <w:r w:rsidR="006443C9">
        <w:t xml:space="preserve"> Anthony 2008</w:t>
      </w:r>
      <w:r w:rsidRPr="00EA753F">
        <w:t xml:space="preserve">) and as such this marked increase in juveniles of this genus does not necessarily imply a response to improved environmental conditions. In contrast, increases in both the density of juveniles and the cover of adult corals of the </w:t>
      </w:r>
      <w:r w:rsidR="00B22379">
        <w:t>family Acroporidae (</w:t>
      </w:r>
      <w:r w:rsidR="009E59F0">
        <w:fldChar w:fldCharType="begin"/>
      </w:r>
      <w:r w:rsidR="009E59F0">
        <w:instrText xml:space="preserve"> REF _Ref460485602 \h </w:instrText>
      </w:r>
      <w:r w:rsidR="009E59F0">
        <w:fldChar w:fldCharType="separate"/>
      </w:r>
      <w:r w:rsidR="00B61881">
        <w:t xml:space="preserve">Figure A </w:t>
      </w:r>
      <w:r w:rsidR="00B61881">
        <w:rPr>
          <w:noProof/>
        </w:rPr>
        <w:t>3</w:t>
      </w:r>
      <w:r w:rsidR="009E59F0">
        <w:fldChar w:fldCharType="end"/>
      </w:r>
      <w:r w:rsidR="00B22379">
        <w:t>), a group sensitive to poor water quality, contribute to the improvement of th</w:t>
      </w:r>
      <w:r w:rsidR="004118F6">
        <w:t>e</w:t>
      </w:r>
      <w:r w:rsidR="00B22379">
        <w:t xml:space="preserve"> community composition indicator (</w:t>
      </w:r>
      <w:r w:rsidR="00CB709D">
        <w:fldChar w:fldCharType="begin"/>
      </w:r>
      <w:r w:rsidR="00CB709D">
        <w:instrText xml:space="preserve"> REF _Ref438120452 \h </w:instrText>
      </w:r>
      <w:r w:rsidR="00CB709D">
        <w:fldChar w:fldCharType="separate"/>
      </w:r>
      <w:r w:rsidR="00B61881">
        <w:t xml:space="preserve">Figure </w:t>
      </w:r>
      <w:r w:rsidR="00B61881">
        <w:rPr>
          <w:noProof/>
        </w:rPr>
        <w:t>9</w:t>
      </w:r>
      <w:r w:rsidR="00CB709D">
        <w:fldChar w:fldCharType="end"/>
      </w:r>
      <w:r w:rsidR="00B22379">
        <w:t xml:space="preserve">f) as well as </w:t>
      </w:r>
      <w:r w:rsidR="001A6D4F">
        <w:t xml:space="preserve">the </w:t>
      </w:r>
      <w:r w:rsidR="00B22379">
        <w:t>increase in coral cover (</w:t>
      </w:r>
      <w:r w:rsidR="00CB709D">
        <w:fldChar w:fldCharType="begin"/>
      </w:r>
      <w:r w:rsidR="00CB709D">
        <w:instrText xml:space="preserve"> REF _Ref438120452 \h </w:instrText>
      </w:r>
      <w:r w:rsidR="00CB709D">
        <w:fldChar w:fldCharType="separate"/>
      </w:r>
      <w:r w:rsidR="00B61881">
        <w:t xml:space="preserve">Figure </w:t>
      </w:r>
      <w:r w:rsidR="00B61881">
        <w:rPr>
          <w:noProof/>
        </w:rPr>
        <w:t>9</w:t>
      </w:r>
      <w:r w:rsidR="00CB709D">
        <w:fldChar w:fldCharType="end"/>
      </w:r>
      <w:r w:rsidR="00B22379">
        <w:t xml:space="preserve">b). </w:t>
      </w:r>
    </w:p>
    <w:p w14:paraId="52B62979" w14:textId="77777777" w:rsidR="00EA753F" w:rsidRPr="00EA753F" w:rsidRDefault="00B22379" w:rsidP="003045D3">
      <w:pPr>
        <w:rPr>
          <w:rFonts w:cs="Arial"/>
        </w:rPr>
      </w:pPr>
      <w:r>
        <w:t>On balance</w:t>
      </w:r>
      <w:r w:rsidR="00D64814">
        <w:t>,</w:t>
      </w:r>
      <w:r>
        <w:t xml:space="preserve"> given the severe impacts resulting from tropical cyclone</w:t>
      </w:r>
      <w:r w:rsidR="00D6687A">
        <w:t>s</w:t>
      </w:r>
      <w:r w:rsidR="00EE5DC8">
        <w:t>,</w:t>
      </w:r>
      <w:r w:rsidR="00EA5E10">
        <w:t xml:space="preserve"> it is difficult to assess the chronic pressures potentially associated with poor water quality. </w:t>
      </w:r>
      <w:r w:rsidR="00D64814">
        <w:t xml:space="preserve"> That said</w:t>
      </w:r>
      <w:r w:rsidR="00EE5DC8">
        <w:t>,</w:t>
      </w:r>
      <w:r w:rsidR="00D64814">
        <w:t xml:space="preserve"> </w:t>
      </w:r>
      <w:r w:rsidR="00D6687A">
        <w:t xml:space="preserve">the persistence of high proportions of macroalgae </w:t>
      </w:r>
      <w:r w:rsidR="00D3741B">
        <w:t>on all reefs</w:t>
      </w:r>
      <w:r w:rsidR="00EE5DC8">
        <w:t>,</w:t>
      </w:r>
      <w:r w:rsidR="00D3741B">
        <w:t xml:space="preserve"> with the exce</w:t>
      </w:r>
      <w:r w:rsidR="00EE5DC8">
        <w:t xml:space="preserve">ption of Barnards </w:t>
      </w:r>
      <w:r w:rsidR="00D3741B">
        <w:t>where chlorophyll and turbidity levels are lowest</w:t>
      </w:r>
      <w:r w:rsidR="0006421A">
        <w:t xml:space="preserve"> (</w:t>
      </w:r>
      <w:r w:rsidR="009E59F0">
        <w:fldChar w:fldCharType="begin"/>
      </w:r>
      <w:r w:rsidR="009E59F0">
        <w:instrText xml:space="preserve"> REF _Ref460485602 \h </w:instrText>
      </w:r>
      <w:r w:rsidR="009E59F0">
        <w:fldChar w:fldCharType="separate"/>
      </w:r>
      <w:r w:rsidR="00B61881">
        <w:t xml:space="preserve">Figure </w:t>
      </w:r>
      <w:proofErr w:type="gramStart"/>
      <w:r w:rsidR="00B61881">
        <w:t>A</w:t>
      </w:r>
      <w:proofErr w:type="gramEnd"/>
      <w:r w:rsidR="00B61881">
        <w:t xml:space="preserve"> </w:t>
      </w:r>
      <w:r w:rsidR="00B61881">
        <w:rPr>
          <w:noProof/>
        </w:rPr>
        <w:t>3</w:t>
      </w:r>
      <w:r w:rsidR="009E59F0">
        <w:fldChar w:fldCharType="end"/>
      </w:r>
      <w:r w:rsidR="00EE5DC8">
        <w:t xml:space="preserve">, </w:t>
      </w:r>
      <w:r w:rsidR="009E59F0">
        <w:fldChar w:fldCharType="begin"/>
      </w:r>
      <w:r w:rsidR="009E59F0">
        <w:instrText xml:space="preserve"> REF _Ref460423145 \h </w:instrText>
      </w:r>
      <w:r w:rsidR="009E59F0">
        <w:fldChar w:fldCharType="separate"/>
      </w:r>
      <w:r w:rsidR="00B61881">
        <w:t xml:space="preserve">Table A </w:t>
      </w:r>
      <w:r w:rsidR="00B61881">
        <w:rPr>
          <w:noProof/>
        </w:rPr>
        <w:t>4</w:t>
      </w:r>
      <w:r w:rsidR="009E59F0">
        <w:fldChar w:fldCharType="end"/>
      </w:r>
      <w:r w:rsidR="0006421A">
        <w:t>)</w:t>
      </w:r>
      <w:r w:rsidR="00EE5DC8">
        <w:t>,</w:t>
      </w:r>
      <w:r w:rsidR="00D3741B">
        <w:t xml:space="preserve"> </w:t>
      </w:r>
      <w:r w:rsidR="00D6687A">
        <w:t xml:space="preserve">does imply a </w:t>
      </w:r>
      <w:r w:rsidR="00867E23">
        <w:t xml:space="preserve">nutrient </w:t>
      </w:r>
      <w:r w:rsidR="00D6687A">
        <w:t>related limitation to th</w:t>
      </w:r>
      <w:r w:rsidR="00EA5E10">
        <w:t>e</w:t>
      </w:r>
      <w:r w:rsidR="00D6687A">
        <w:t xml:space="preserve"> resilience</w:t>
      </w:r>
      <w:r w:rsidR="00EA5E10">
        <w:t xml:space="preserve"> of these reefs</w:t>
      </w:r>
      <w:r w:rsidR="00D6687A">
        <w:t>.</w:t>
      </w:r>
      <w:r w:rsidR="0006421A">
        <w:t xml:space="preserve"> The proportion of macroalgae on reefs within the nearshore GBR shows a clear relationship with chlorophyll levels (see section 6.2.2) a proxy for nutrient availability.</w:t>
      </w:r>
    </w:p>
    <w:p w14:paraId="3161F0C2" w14:textId="77777777" w:rsidR="00EA753F" w:rsidRPr="00EA753F" w:rsidRDefault="00EA753F" w:rsidP="000C6FCB"/>
    <w:p w14:paraId="155E083D" w14:textId="77777777" w:rsidR="000C6FCB" w:rsidRDefault="000C6FCB" w:rsidP="000C6FCB"/>
    <w:p w14:paraId="536EC3C2" w14:textId="77777777" w:rsidR="000C6FCB" w:rsidRDefault="000C6FCB" w:rsidP="000C6FCB"/>
    <w:p w14:paraId="5B58BAC6" w14:textId="77777777" w:rsidR="00D64814" w:rsidRDefault="00523D87" w:rsidP="000C6FCB">
      <w:r>
        <w:rPr>
          <w:noProof/>
          <w:lang w:val="en-AU" w:eastAsia="en-AU"/>
        </w:rPr>
        <w:lastRenderedPageBreak/>
        <w:drawing>
          <wp:inline distT="0" distB="0" distL="0" distR="0" wp14:anchorId="36347769" wp14:editId="15D5BEA1">
            <wp:extent cx="6120765" cy="6120765"/>
            <wp:effectExtent l="0" t="0" r="0" b="0"/>
            <wp:docPr id="234" name="Picture 234" descr="Figure 9: Coral reef community and water quality trends in the Herbert Tully sub-region. 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in records of chlorophyll a and turbidity (g, h) from ECO FLNTUSB instruments are represented in red, individual records are not displayed. Dashed reference lines indicate GBRMPA (2010) guideline values." title="Figure 9: Coral reef community and water quality trends in the Herbert Tully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Tully_Herbert.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76021AD6" w14:textId="77777777" w:rsidR="00EA753F" w:rsidRPr="006B3B22" w:rsidRDefault="006B3B22" w:rsidP="00E56CF1">
      <w:pPr>
        <w:pStyle w:val="Caption"/>
        <w:rPr>
          <w:vanish/>
          <w:color w:val="0070C0"/>
        </w:rPr>
      </w:pPr>
      <w:bookmarkStart w:id="147" w:name="_Ref438120452"/>
      <w:bookmarkStart w:id="148" w:name="_Toc437423854"/>
      <w:bookmarkStart w:id="149" w:name="_Toc437424033"/>
      <w:bookmarkStart w:id="150" w:name="_Toc437424302"/>
      <w:bookmarkStart w:id="151" w:name="_Toc437597635"/>
      <w:bookmarkStart w:id="152" w:name="_Toc460490778"/>
      <w:r>
        <w:t xml:space="preserve">Figure </w:t>
      </w:r>
      <w:r w:rsidR="005D2F9F">
        <w:fldChar w:fldCharType="begin"/>
      </w:r>
      <w:r w:rsidR="005D2F9F">
        <w:instrText xml:space="preserve"> SEQ Figure \* ARABIC </w:instrText>
      </w:r>
      <w:r w:rsidR="005D2F9F">
        <w:fldChar w:fldCharType="separate"/>
      </w:r>
      <w:r w:rsidR="00B61881">
        <w:rPr>
          <w:noProof/>
        </w:rPr>
        <w:t>9</w:t>
      </w:r>
      <w:r w:rsidR="005D2F9F">
        <w:rPr>
          <w:noProof/>
        </w:rPr>
        <w:fldChar w:fldCharType="end"/>
      </w:r>
      <w:bookmarkEnd w:id="147"/>
      <w:r>
        <w:t xml:space="preserve">: </w:t>
      </w:r>
      <w:r w:rsidR="00D64814" w:rsidRPr="007412B9">
        <w:t>Coral reef community and water quality trends in the Herbert Tully sub-region.</w:t>
      </w:r>
      <w:bookmarkEnd w:id="148"/>
      <w:bookmarkEnd w:id="149"/>
      <w:bookmarkEnd w:id="150"/>
      <w:bookmarkEnd w:id="151"/>
      <w:bookmarkEnd w:id="152"/>
      <w:r w:rsidR="0041191E">
        <w:t xml:space="preserve"> </w:t>
      </w:r>
    </w:p>
    <w:p w14:paraId="49CC8CF0" w14:textId="77777777" w:rsidR="005E0BA2" w:rsidRPr="00D64814" w:rsidRDefault="005E0BA2" w:rsidP="009155F8">
      <w:pPr>
        <w:rPr>
          <w:rStyle w:val="IntenseReference"/>
          <w:rFonts w:eastAsiaTheme="minorHAnsi"/>
        </w:rPr>
      </w:pPr>
      <w:r w:rsidRPr="00D64814">
        <w:rPr>
          <w:rStyle w:val="IntenseReference"/>
          <w:rFonts w:eastAsiaTheme="minorHAnsi"/>
        </w:rPr>
        <w:t xml:space="preserve">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w:t>
      </w:r>
      <w:r w:rsidR="00FA3AF5" w:rsidRPr="00D64814">
        <w:rPr>
          <w:rStyle w:val="IntenseReference"/>
          <w:rFonts w:eastAsiaTheme="minorHAnsi"/>
        </w:rPr>
        <w:t>in</w:t>
      </w:r>
      <w:r w:rsidRPr="00D64814">
        <w:rPr>
          <w:rStyle w:val="IntenseReference"/>
          <w:rFonts w:eastAsiaTheme="minorHAnsi"/>
        </w:rPr>
        <w:t xml:space="preserve"> records of chlorophyll a and turbidity (g, h) from ECO FLNTUSB instruments are represented in red, individual records are not displayed. Dashed reference lines indicate GBRMPA (2010) guideline values.</w:t>
      </w:r>
    </w:p>
    <w:p w14:paraId="47479D24" w14:textId="77777777" w:rsidR="000C6FCB" w:rsidRDefault="000C6FCB">
      <w:pPr>
        <w:rPr>
          <w:rFonts w:ascii="Arial Narrow" w:eastAsia="SimSun" w:hAnsi="Arial Narrow"/>
          <w:sz w:val="20"/>
          <w:szCs w:val="24"/>
        </w:rPr>
      </w:pPr>
      <w:r>
        <w:rPr>
          <w:rFonts w:ascii="Arial Narrow" w:eastAsia="SimSun" w:hAnsi="Arial Narrow"/>
          <w:sz w:val="20"/>
          <w:szCs w:val="24"/>
        </w:rPr>
        <w:br w:type="page"/>
      </w:r>
    </w:p>
    <w:p w14:paraId="216452A2" w14:textId="77777777" w:rsidR="002A5249" w:rsidRPr="000119B3" w:rsidRDefault="00F352CD" w:rsidP="00F352CD">
      <w:pPr>
        <w:pStyle w:val="Heading2"/>
      </w:pPr>
      <w:bookmarkStart w:id="153" w:name="_Toc437424409"/>
      <w:bookmarkStart w:id="154" w:name="_Toc437424533"/>
      <w:bookmarkStart w:id="155" w:name="_Toc437432464"/>
      <w:bookmarkStart w:id="156" w:name="_Toc437432537"/>
      <w:bookmarkStart w:id="157" w:name="_Toc460490664"/>
      <w:r>
        <w:lastRenderedPageBreak/>
        <w:t>5</w:t>
      </w:r>
      <w:r w:rsidR="002A28EE">
        <w:t>.</w:t>
      </w:r>
      <w:r w:rsidR="002A5249" w:rsidRPr="002A5249">
        <w:t>4</w:t>
      </w:r>
      <w:r w:rsidR="002A5249" w:rsidRPr="002A5249">
        <w:tab/>
        <w:t>Burdekin Region</w:t>
      </w:r>
      <w:bookmarkEnd w:id="153"/>
      <w:bookmarkEnd w:id="154"/>
      <w:bookmarkEnd w:id="155"/>
      <w:bookmarkEnd w:id="156"/>
      <w:bookmarkEnd w:id="157"/>
    </w:p>
    <w:p w14:paraId="20C2E18D" w14:textId="77777777" w:rsidR="000260D6" w:rsidRDefault="002A5249" w:rsidP="00406BD7">
      <w:r w:rsidRPr="002A5249">
        <w:t xml:space="preserve">The Burdekin Region is one of the two large dry tropical catchment regions adjacent to the Reef, with cattle grazing as the primary land use on over 95% of the catchment area (Brodie </w:t>
      </w:r>
      <w:r w:rsidRPr="002A5249">
        <w:rPr>
          <w:i/>
        </w:rPr>
        <w:t>et al.</w:t>
      </w:r>
      <w:r w:rsidRPr="002A5249">
        <w:t xml:space="preserve"> 2003, GBRMPA 2012). There is also extensive irrigated planting of sugarcane on the floodplains of the Burdekin and Haughton rivers. Fluctuations in climate and cattle numbers greatly affect the state and nature of vegetation cover, and, therefore, the susceptibility of soils to erosion and off-site transport of suspended sediments and associated nutrients. </w:t>
      </w:r>
    </w:p>
    <w:p w14:paraId="6F53A9BF" w14:textId="77777777" w:rsidR="000260D6" w:rsidRPr="009155F8" w:rsidRDefault="00523D87" w:rsidP="000C6FCB">
      <w:r>
        <w:rPr>
          <w:noProof/>
          <w:lang w:val="en-AU" w:eastAsia="en-AU"/>
        </w:rPr>
        <w:drawing>
          <wp:inline distT="0" distB="0" distL="0" distR="0" wp14:anchorId="43FEE4E7" wp14:editId="24A05786">
            <wp:extent cx="6120765" cy="6120765"/>
            <wp:effectExtent l="0" t="0" r="0" b="0"/>
            <wp:docPr id="235" name="Picture 235" descr="Figure 10: Burdekin region reef locations, environmental conditions and disturbances. A composite figure owith four panels. a) Location of monitoring sites red symbols MMP, black symbols LTMP, mean exposure to secondary plume type waters (Álvarez-Romero et al. 2013) during the wet season: December to March, over the period 2003-2015 indicated by colour. b) break-down and level of disturbances causing loss of hard coral cover over the period 2005-2015, level of disturbance is scaled to the maximum disturbance rate of 16% reduction in hard coral per year that occurred in the Tully Herbert sub-region (outer black ring), loss due to disturbance type ‘none’ reflects a short fall in rate of cover increase during years free from acute disturbances. c) Seasonally adjusted temperature deviation, timing of cyclones and storms indicated by black arrows, accumulated degree heating days over the summer period (1st December to 31 March) each year indicated by black symbols d) Combined daily (blue) and annual (red) discharge for the Burdekin River, red dashed line represents long-term median discharge (1970-2000)" title="Figure 10: Burdekin region reef locations, environmental conditions and disturba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env_Burdekin.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77A4082F" w14:textId="77777777" w:rsidR="006B3B22" w:rsidRPr="006B3B22" w:rsidRDefault="006B3B22" w:rsidP="00E56CF1">
      <w:pPr>
        <w:pStyle w:val="Caption"/>
        <w:rPr>
          <w:rStyle w:val="IntenseReference"/>
          <w:rFonts w:eastAsia="SimSun"/>
          <w:vanish/>
        </w:rPr>
      </w:pPr>
      <w:bookmarkStart w:id="158" w:name="_Ref438120590"/>
      <w:bookmarkStart w:id="159" w:name="_Toc437597636"/>
      <w:bookmarkStart w:id="160" w:name="_Toc460490779"/>
      <w:bookmarkStart w:id="161" w:name="_Toc437423855"/>
      <w:bookmarkStart w:id="162" w:name="_Toc437424034"/>
      <w:bookmarkStart w:id="163" w:name="_Toc437424303"/>
      <w:r>
        <w:t xml:space="preserve">Figure </w:t>
      </w:r>
      <w:r w:rsidR="005D2F9F">
        <w:fldChar w:fldCharType="begin"/>
      </w:r>
      <w:r w:rsidR="005D2F9F">
        <w:instrText xml:space="preserve"> SEQ Figure \* ARABIC </w:instrText>
      </w:r>
      <w:r w:rsidR="005D2F9F">
        <w:fldChar w:fldCharType="separate"/>
      </w:r>
      <w:r w:rsidR="00B61881">
        <w:rPr>
          <w:noProof/>
        </w:rPr>
        <w:t>10</w:t>
      </w:r>
      <w:r w:rsidR="005D2F9F">
        <w:rPr>
          <w:noProof/>
        </w:rPr>
        <w:fldChar w:fldCharType="end"/>
      </w:r>
      <w:bookmarkEnd w:id="158"/>
      <w:r>
        <w:t xml:space="preserve">: </w:t>
      </w:r>
      <w:r w:rsidR="00D64814" w:rsidRPr="00D64814">
        <w:t xml:space="preserve">Burdekin region reef locations, environmental conditions </w:t>
      </w:r>
      <w:r w:rsidR="00D64814" w:rsidRPr="009155F8">
        <w:rPr>
          <w:rStyle w:val="IntenseReference"/>
          <w:rFonts w:eastAsia="SimSun"/>
        </w:rPr>
        <w:t>and disturbances</w:t>
      </w:r>
      <w:bookmarkEnd w:id="159"/>
      <w:bookmarkEnd w:id="160"/>
    </w:p>
    <w:p w14:paraId="6ADAE064" w14:textId="77777777" w:rsidR="002A5249" w:rsidRDefault="00D64814" w:rsidP="00E56CF1">
      <w:pPr>
        <w:pStyle w:val="Caption"/>
        <w:rPr>
          <w:rStyle w:val="IntenseReference"/>
          <w:rFonts w:eastAsia="SimSun"/>
        </w:rPr>
      </w:pPr>
      <w:bookmarkStart w:id="164" w:name="_Toc437597637"/>
      <w:r w:rsidRPr="009155F8">
        <w:rPr>
          <w:rStyle w:val="IntenseReference"/>
          <w:rFonts w:eastAsia="SimSun"/>
        </w:rPr>
        <w:t>.</w:t>
      </w:r>
      <w:bookmarkEnd w:id="161"/>
      <w:bookmarkEnd w:id="162"/>
      <w:bookmarkEnd w:id="163"/>
      <w:r w:rsidR="00667AB6">
        <w:rPr>
          <w:rStyle w:val="IntenseReference"/>
          <w:rFonts w:eastAsia="SimSun"/>
        </w:rPr>
        <w:t xml:space="preserve"> </w:t>
      </w:r>
      <w:r w:rsidR="000260D6" w:rsidRPr="009155F8">
        <w:rPr>
          <w:rStyle w:val="IntenseReference"/>
          <w:rFonts w:eastAsia="SimSun"/>
        </w:rPr>
        <w:t xml:space="preserve">a) Location of monitoring sites red symbols MMP, black symbols LTMP, mean exposure to secondary plume type waters (Álvarez-Romero </w:t>
      </w:r>
      <w:r w:rsidR="000260D6" w:rsidRPr="00051C52">
        <w:rPr>
          <w:rStyle w:val="IntenseReference"/>
          <w:rFonts w:eastAsia="SimSun"/>
          <w:i/>
        </w:rPr>
        <w:t>et al.</w:t>
      </w:r>
      <w:r w:rsidR="000260D6" w:rsidRPr="009155F8">
        <w:rPr>
          <w:rStyle w:val="IntenseReference"/>
          <w:rFonts w:eastAsia="SimSun"/>
        </w:rPr>
        <w:t xml:space="preserve"> 2013) during the wet season: December to March, over the period 2003-2015 indicated by colour. b) break-down and level of disturbances causing loss of hard coral cover</w:t>
      </w:r>
      <w:r w:rsidR="00646DCA">
        <w:rPr>
          <w:rStyle w:val="IntenseReference"/>
          <w:rFonts w:eastAsia="SimSun"/>
        </w:rPr>
        <w:t xml:space="preserve"> over the period 2005-2015</w:t>
      </w:r>
      <w:r w:rsidR="000260D6" w:rsidRPr="009155F8">
        <w:rPr>
          <w:rStyle w:val="IntenseReference"/>
          <w:rFonts w:eastAsia="SimSun"/>
        </w:rPr>
        <w:t xml:space="preserve">, level of disturbance is scaled to the maximum disturbance rate of 16% reduction in hard coral per year that occurred in the Tully Herbert sub-region (outer black ring), loss due to disturbance type ‘none’ reflects a </w:t>
      </w:r>
      <w:r w:rsidR="00A77C75">
        <w:rPr>
          <w:rStyle w:val="IntenseReference"/>
          <w:rFonts w:eastAsia="SimSun"/>
        </w:rPr>
        <w:t>shortfall</w:t>
      </w:r>
      <w:r w:rsidR="000260D6" w:rsidRPr="009155F8">
        <w:rPr>
          <w:rStyle w:val="IntenseReference"/>
          <w:rFonts w:eastAsia="SimSun"/>
        </w:rPr>
        <w:t xml:space="preserve"> in rate of cover increase during years free from acute disturbances. c) Seasonally adjusted temperature deviation, timing of cyclones and storms indicated by black arrows, accumulated degree heating days over </w:t>
      </w:r>
      <w:r w:rsidR="00C40387">
        <w:rPr>
          <w:rStyle w:val="IntenseReference"/>
          <w:rFonts w:eastAsia="SimSun"/>
        </w:rPr>
        <w:t>the summer period (1</w:t>
      </w:r>
      <w:r w:rsidR="00C40387" w:rsidRPr="00C40387">
        <w:rPr>
          <w:rStyle w:val="IntenseReference"/>
          <w:rFonts w:eastAsia="SimSun"/>
          <w:vertAlign w:val="superscript"/>
        </w:rPr>
        <w:t>st</w:t>
      </w:r>
      <w:r w:rsidR="00C40387">
        <w:rPr>
          <w:rStyle w:val="IntenseReference"/>
          <w:rFonts w:eastAsia="SimSun"/>
        </w:rPr>
        <w:t xml:space="preserve"> December</w:t>
      </w:r>
      <w:r w:rsidR="000260D6" w:rsidRPr="009155F8">
        <w:rPr>
          <w:rStyle w:val="IntenseReference"/>
          <w:rFonts w:eastAsia="SimSun"/>
        </w:rPr>
        <w:t xml:space="preserve"> to 31 March</w:t>
      </w:r>
      <w:r w:rsidR="00C40387">
        <w:rPr>
          <w:rStyle w:val="IntenseReference"/>
          <w:rFonts w:eastAsia="SimSun"/>
        </w:rPr>
        <w:t>)</w:t>
      </w:r>
      <w:r w:rsidR="000260D6" w:rsidRPr="009155F8">
        <w:rPr>
          <w:rStyle w:val="IntenseReference"/>
          <w:rFonts w:eastAsia="SimSun"/>
        </w:rPr>
        <w:t xml:space="preserve"> each year indicated by black symbols d) Combined daily (blue) and annual (red) discharge for the Burdekin River, red dashed line represents long-term median discharge (1970-2000)</w:t>
      </w:r>
      <w:bookmarkEnd w:id="164"/>
    </w:p>
    <w:p w14:paraId="69DF5D21" w14:textId="77777777" w:rsidR="000C6FCB" w:rsidRDefault="000C6FCB">
      <w:r>
        <w:br w:type="page"/>
      </w:r>
    </w:p>
    <w:p w14:paraId="39049E1F" w14:textId="77777777" w:rsidR="002A5249" w:rsidRDefault="002A5249" w:rsidP="003045D3">
      <w:r w:rsidRPr="002A5249">
        <w:lastRenderedPageBreak/>
        <w:t>Ten reefs are sampled for</w:t>
      </w:r>
      <w:r w:rsidR="00EC0B7A">
        <w:t xml:space="preserve"> estimation of the </w:t>
      </w:r>
      <w:r w:rsidRPr="002A5249">
        <w:t xml:space="preserve">coral </w:t>
      </w:r>
      <w:r w:rsidR="00EC0B7A">
        <w:t>index</w:t>
      </w:r>
      <w:r w:rsidRPr="002A5249">
        <w:t xml:space="preserve"> in this region, with three water quality sampling locations co-located at Magnetic, Pandora Reef, and Palms West (</w:t>
      </w:r>
      <w:r w:rsidR="00CB709D">
        <w:fldChar w:fldCharType="begin"/>
      </w:r>
      <w:r w:rsidR="00CB709D">
        <w:instrText xml:space="preserve"> REF _Ref438120590 \h </w:instrText>
      </w:r>
      <w:r w:rsidR="00CB709D">
        <w:fldChar w:fldCharType="separate"/>
      </w:r>
      <w:r w:rsidR="00B61881">
        <w:t xml:space="preserve">Figure </w:t>
      </w:r>
      <w:r w:rsidR="00B61881">
        <w:rPr>
          <w:noProof/>
        </w:rPr>
        <w:t>10</w:t>
      </w:r>
      <w:r w:rsidR="00CB709D">
        <w:fldChar w:fldCharType="end"/>
      </w:r>
      <w:r w:rsidRPr="002A5249">
        <w:t>a). The inner reefs of Middle, Magnetic, and Lady Elliot are</w:t>
      </w:r>
      <w:r w:rsidR="00D6687A">
        <w:t>, on average,</w:t>
      </w:r>
      <w:r w:rsidRPr="002A5249">
        <w:t xml:space="preserve"> exposed to secondary plume</w:t>
      </w:r>
      <w:r w:rsidR="00D6687A">
        <w:t>-type waters</w:t>
      </w:r>
      <w:r w:rsidR="00815D1D">
        <w:t xml:space="preserve"> for more than 75% of the </w:t>
      </w:r>
      <w:r w:rsidR="00D6687A">
        <w:t>we</w:t>
      </w:r>
      <w:r w:rsidR="00815D1D">
        <w:t>t</w:t>
      </w:r>
      <w:r w:rsidR="00D6687A">
        <w:t xml:space="preserve"> season</w:t>
      </w:r>
      <w:r w:rsidR="00815D1D">
        <w:t xml:space="preserve"> (</w:t>
      </w:r>
      <w:r w:rsidR="00CB709D">
        <w:fldChar w:fldCharType="begin"/>
      </w:r>
      <w:r w:rsidR="00CB709D">
        <w:instrText xml:space="preserve"> REF _Ref438120590 \h </w:instrText>
      </w:r>
      <w:r w:rsidR="00CB709D">
        <w:fldChar w:fldCharType="separate"/>
      </w:r>
      <w:r w:rsidR="00B61881">
        <w:t xml:space="preserve">Figure </w:t>
      </w:r>
      <w:r w:rsidR="00B61881">
        <w:rPr>
          <w:noProof/>
        </w:rPr>
        <w:t>10</w:t>
      </w:r>
      <w:r w:rsidR="00CB709D">
        <w:fldChar w:fldCharType="end"/>
      </w:r>
      <w:r w:rsidR="00815D1D">
        <w:t>a)</w:t>
      </w:r>
      <w:r w:rsidRPr="002A5249">
        <w:t xml:space="preserve">. </w:t>
      </w:r>
      <w:r w:rsidR="00D6687A">
        <w:t xml:space="preserve">Exposure to secondary plume-type waters then declines through </w:t>
      </w:r>
      <w:r w:rsidRPr="002A5249">
        <w:t>Pandora</w:t>
      </w:r>
      <w:r w:rsidR="00ED2811">
        <w:t>, Havannah and Palms West to Palms East that is exposed for an average of 13% of the wet season (</w:t>
      </w:r>
      <w:r w:rsidR="00CB709D">
        <w:fldChar w:fldCharType="begin"/>
      </w:r>
      <w:r w:rsidR="00CB709D">
        <w:instrText xml:space="preserve"> REF _Ref438120590 \h </w:instrText>
      </w:r>
      <w:r w:rsidR="00CB709D">
        <w:fldChar w:fldCharType="separate"/>
      </w:r>
      <w:r w:rsidR="00B61881">
        <w:t xml:space="preserve">Figure </w:t>
      </w:r>
      <w:r w:rsidR="00B61881">
        <w:rPr>
          <w:noProof/>
        </w:rPr>
        <w:t>10</w:t>
      </w:r>
      <w:r w:rsidR="00CB709D">
        <w:fldChar w:fldCharType="end"/>
      </w:r>
      <w:r w:rsidR="00ED2811">
        <w:t>a,</w:t>
      </w:r>
      <w:r w:rsidR="00B21EAD">
        <w:t xml:space="preserve"> </w:t>
      </w:r>
      <w:r w:rsidR="00B21EAD">
        <w:fldChar w:fldCharType="begin"/>
      </w:r>
      <w:r w:rsidR="00B21EAD">
        <w:instrText xml:space="preserve"> REF _Ref460423145 \h </w:instrText>
      </w:r>
      <w:r w:rsidR="00B21EAD">
        <w:fldChar w:fldCharType="separate"/>
      </w:r>
      <w:r w:rsidR="00B61881">
        <w:t xml:space="preserve">Table </w:t>
      </w:r>
      <w:proofErr w:type="gramStart"/>
      <w:r w:rsidR="00B61881">
        <w:t>A</w:t>
      </w:r>
      <w:proofErr w:type="gramEnd"/>
      <w:r w:rsidR="00B61881">
        <w:t xml:space="preserve"> </w:t>
      </w:r>
      <w:r w:rsidR="00B61881">
        <w:rPr>
          <w:noProof/>
        </w:rPr>
        <w:t>4</w:t>
      </w:r>
      <w:r w:rsidR="00B21EAD">
        <w:fldChar w:fldCharType="end"/>
      </w:r>
      <w:r w:rsidR="00ED2811">
        <w:t>).</w:t>
      </w:r>
      <w:r w:rsidRPr="002A5249">
        <w:t xml:space="preserve"> </w:t>
      </w:r>
      <w:r w:rsidR="00ED2811">
        <w:t xml:space="preserve">At over 100km from the mouth </w:t>
      </w:r>
      <w:r w:rsidR="00867E23">
        <w:t>of the Burdekin River r</w:t>
      </w:r>
      <w:r w:rsidR="00ED2811">
        <w:t xml:space="preserve">eefs at </w:t>
      </w:r>
      <w:r w:rsidRPr="002A5249">
        <w:t>Magnetic</w:t>
      </w:r>
      <w:r w:rsidR="00ED2811">
        <w:t xml:space="preserve"> Island are the closest well developed coral communities in the inshore area to this major river. </w:t>
      </w:r>
    </w:p>
    <w:p w14:paraId="0132CAA8" w14:textId="77777777" w:rsidR="00E91677" w:rsidRPr="002A5249" w:rsidRDefault="00E91677" w:rsidP="00E91677">
      <w:r w:rsidRPr="002A5249">
        <w:t xml:space="preserve">The composition of coral communities vary in response to environmental gradients. Within the Burdekin region there is a shift from communities dominated by the families Acroporidae, Pocilloporidae and Poritidae (genus </w:t>
      </w:r>
      <w:r w:rsidRPr="002A5249">
        <w:rPr>
          <w:i/>
        </w:rPr>
        <w:t>Porites</w:t>
      </w:r>
      <w:r w:rsidRPr="002A5249">
        <w:t xml:space="preserve">) in clearer waters through to communities dominated by families such as Agariciidae, Oculinidae, Pectiniidae and Poritidae (Genus </w:t>
      </w:r>
      <w:r w:rsidRPr="002A5249">
        <w:rPr>
          <w:i/>
        </w:rPr>
        <w:t>Goniopora</w:t>
      </w:r>
      <w:r w:rsidRPr="002A5249">
        <w:t>) in more turbid and sheltered settings (</w:t>
      </w:r>
      <w:r w:rsidR="00B21EAD">
        <w:fldChar w:fldCharType="begin"/>
      </w:r>
      <w:r w:rsidR="00B21EAD">
        <w:instrText xml:space="preserve"> REF _Ref460485785 \h </w:instrText>
      </w:r>
      <w:r w:rsidR="00B21EAD">
        <w:fldChar w:fldCharType="separate"/>
      </w:r>
      <w:r w:rsidR="00B61881">
        <w:t xml:space="preserve">Figure </w:t>
      </w:r>
      <w:proofErr w:type="gramStart"/>
      <w:r w:rsidR="00B61881">
        <w:t>A</w:t>
      </w:r>
      <w:proofErr w:type="gramEnd"/>
      <w:r w:rsidR="00B61881">
        <w:t xml:space="preserve"> </w:t>
      </w:r>
      <w:r w:rsidR="00B61881">
        <w:rPr>
          <w:noProof/>
        </w:rPr>
        <w:t>4</w:t>
      </w:r>
      <w:r w:rsidR="00B21EAD">
        <w:fldChar w:fldCharType="end"/>
      </w:r>
      <w:r w:rsidRPr="002A5249">
        <w:t>).</w:t>
      </w:r>
      <w:r>
        <w:t xml:space="preserve"> </w:t>
      </w:r>
      <w:r w:rsidRPr="002A5249">
        <w:t>In addition to selecting for different community types, the environmental setting of these reefs has also resulted in differential exposure to disturbances. The orientation of the reef differentially exposes corals to physical damage by cyclone-driven waves (e</w:t>
      </w:r>
      <w:r>
        <w:t>.</w:t>
      </w:r>
      <w:r w:rsidRPr="002A5249">
        <w:t>g. Palms East vs Palms West), and those locations in the north of the region have experienced more cyclonic events than those in the south (</w:t>
      </w:r>
      <w:r w:rsidR="00B21EAD">
        <w:fldChar w:fldCharType="begin"/>
      </w:r>
      <w:r w:rsidR="00B21EAD">
        <w:instrText xml:space="preserve"> REF _Ref460423821 \h  \* MERGEFORMAT </w:instrText>
      </w:r>
      <w:r w:rsidR="00B21EAD">
        <w:fldChar w:fldCharType="separate"/>
      </w:r>
      <w:r w:rsidR="00B61881" w:rsidRPr="00B61881">
        <w:rPr>
          <w:rFonts w:eastAsia="SimSun"/>
        </w:rPr>
        <w:t xml:space="preserve">Table </w:t>
      </w:r>
      <w:proofErr w:type="gramStart"/>
      <w:r w:rsidR="00B61881" w:rsidRPr="00B61881">
        <w:rPr>
          <w:rFonts w:eastAsia="SimSun"/>
        </w:rPr>
        <w:t>A</w:t>
      </w:r>
      <w:proofErr w:type="gramEnd"/>
      <w:r w:rsidR="00B61881" w:rsidRPr="00B61881">
        <w:rPr>
          <w:rFonts w:eastAsia="SimSun"/>
        </w:rPr>
        <w:t xml:space="preserve"> 2</w:t>
      </w:r>
      <w:r w:rsidR="00B21EAD">
        <w:fldChar w:fldCharType="end"/>
      </w:r>
      <w:r>
        <w:t>).</w:t>
      </w:r>
      <w:r w:rsidRPr="002A5249">
        <w:t xml:space="preserve"> Differences in community composition also result in differential impact of bleaching events as susceptibility to thermal stress varies among species (</w:t>
      </w:r>
      <w:proofErr w:type="gramStart"/>
      <w:r w:rsidR="001252BF" w:rsidRPr="002A5249">
        <w:t xml:space="preserve">Marshall </w:t>
      </w:r>
      <w:r w:rsidR="001252BF">
        <w:t>&amp;</w:t>
      </w:r>
      <w:proofErr w:type="gramEnd"/>
      <w:r w:rsidRPr="002A5249">
        <w:t xml:space="preserve"> Baird 2000). The coral communities </w:t>
      </w:r>
      <w:r>
        <w:t xml:space="preserve">in clear waters or shallow depths in more turbid waters tend to be </w:t>
      </w:r>
      <w:r w:rsidRPr="002A5249">
        <w:t xml:space="preserve">dominated by Acroporidae </w:t>
      </w:r>
      <w:r>
        <w:t>and</w:t>
      </w:r>
      <w:r w:rsidRPr="002A5249">
        <w:t xml:space="preserve"> have been most damaged by cyclones and bleaching events, and continue to share very low coral cover (</w:t>
      </w:r>
      <w:r w:rsidR="00B21EAD">
        <w:fldChar w:fldCharType="begin"/>
      </w:r>
      <w:r w:rsidR="00B21EAD">
        <w:instrText xml:space="preserve"> REF _Ref460485785 \h </w:instrText>
      </w:r>
      <w:r w:rsidR="00B21EAD">
        <w:fldChar w:fldCharType="separate"/>
      </w:r>
      <w:r w:rsidR="00B61881">
        <w:t xml:space="preserve">Figure A </w:t>
      </w:r>
      <w:r w:rsidR="00B61881">
        <w:rPr>
          <w:noProof/>
        </w:rPr>
        <w:t>4</w:t>
      </w:r>
      <w:r w:rsidR="00B21EAD">
        <w:fldChar w:fldCharType="end"/>
      </w:r>
      <w:r w:rsidRPr="002A5249">
        <w:t xml:space="preserve">). The exception is Havannah where the Acroporidae at 2m was sheltered from Cyclone Yasi and cover has </w:t>
      </w:r>
      <w:r>
        <w:t xml:space="preserve">shown a marked </w:t>
      </w:r>
      <w:r w:rsidRPr="002A5249">
        <w:t xml:space="preserve">increase. Conversely, the relatively sheltered communities at Middle Reef, Lady Elliot Reef (5m), and Pandora North, maintain a moderate coral cover as they have been less exposed to recent cyclones and have a high representation of slow growing species relatively resistant to thermal stress, and high turbidity. </w:t>
      </w:r>
    </w:p>
    <w:p w14:paraId="149535C6" w14:textId="77777777" w:rsidR="00973E32" w:rsidRDefault="002A5249" w:rsidP="003045D3">
      <w:r w:rsidRPr="002A5249">
        <w:t xml:space="preserve">Since </w:t>
      </w:r>
      <w:r w:rsidR="00ED2811">
        <w:t>monitoring began cyclones</w:t>
      </w:r>
      <w:r w:rsidRPr="002A5249">
        <w:t xml:space="preserve"> account for &gt;50% of </w:t>
      </w:r>
      <w:r w:rsidR="00556F68">
        <w:t xml:space="preserve">declines in coral cover observed </w:t>
      </w:r>
      <w:r w:rsidRPr="002A5249">
        <w:t>within the region (</w:t>
      </w:r>
      <w:r w:rsidR="00CB709D">
        <w:fldChar w:fldCharType="begin"/>
      </w:r>
      <w:r w:rsidR="00CB709D">
        <w:instrText xml:space="preserve"> REF _Ref438120590 \h </w:instrText>
      </w:r>
      <w:r w:rsidR="00CB709D">
        <w:fldChar w:fldCharType="separate"/>
      </w:r>
      <w:r w:rsidR="00B61881">
        <w:t xml:space="preserve">Figure </w:t>
      </w:r>
      <w:r w:rsidR="00B61881">
        <w:rPr>
          <w:noProof/>
        </w:rPr>
        <w:t>10</w:t>
      </w:r>
      <w:r w:rsidR="00CB709D">
        <w:fldChar w:fldCharType="end"/>
      </w:r>
      <w:r w:rsidRPr="002A5249">
        <w:t>b). East-facing locations, such as Palms East and Lady Elliot, are particularly exposed to storm driven seas, and show the impacts of Cyclone Larry (2006) and Cyclone Yasi (2011) (</w:t>
      </w:r>
      <w:r w:rsidR="00B21EAD">
        <w:fldChar w:fldCharType="begin"/>
      </w:r>
      <w:r w:rsidR="00B21EAD">
        <w:instrText xml:space="preserve"> REF _Ref460485785 \h </w:instrText>
      </w:r>
      <w:r w:rsidR="00B21EAD">
        <w:fldChar w:fldCharType="separate"/>
      </w:r>
      <w:r w:rsidR="00B61881">
        <w:t xml:space="preserve">Figure A </w:t>
      </w:r>
      <w:r w:rsidR="00B61881">
        <w:rPr>
          <w:noProof/>
        </w:rPr>
        <w:t>4</w:t>
      </w:r>
      <w:r w:rsidR="00B21EAD">
        <w:fldChar w:fldCharType="end"/>
      </w:r>
      <w:r w:rsidR="00B21EAD">
        <w:t xml:space="preserve">, </w:t>
      </w:r>
      <w:r w:rsidR="00B21EAD" w:rsidRPr="00B21EAD">
        <w:fldChar w:fldCharType="begin"/>
      </w:r>
      <w:r w:rsidR="00B21EAD" w:rsidRPr="00B21EAD">
        <w:instrText xml:space="preserve"> REF _Ref460423821 \h </w:instrText>
      </w:r>
      <w:r w:rsidR="00B21EAD">
        <w:instrText xml:space="preserve"> \* MERGEFORMAT </w:instrText>
      </w:r>
      <w:r w:rsidR="00B21EAD" w:rsidRPr="00B21EAD">
        <w:fldChar w:fldCharType="separate"/>
      </w:r>
      <w:r w:rsidR="00B61881" w:rsidRPr="00B61881">
        <w:rPr>
          <w:rFonts w:eastAsia="SimSun"/>
        </w:rPr>
        <w:t>Table A 2</w:t>
      </w:r>
      <w:r w:rsidR="00B21EAD" w:rsidRPr="00B21EAD">
        <w:fldChar w:fldCharType="end"/>
      </w:r>
      <w:r w:rsidRPr="002A5249">
        <w:t>). A period of excessive monsoonal floodwaters (200</w:t>
      </w:r>
      <w:r w:rsidR="000F2D5C">
        <w:t>7</w:t>
      </w:r>
      <w:r w:rsidRPr="002A5249">
        <w:t xml:space="preserve"> – 2012) has been the only other identifiable </w:t>
      </w:r>
      <w:r w:rsidR="00EA5E10">
        <w:t>pressure</w:t>
      </w:r>
      <w:r w:rsidR="00EA5E10" w:rsidRPr="002A5249">
        <w:t xml:space="preserve"> </w:t>
      </w:r>
      <w:r w:rsidRPr="002A5249">
        <w:t xml:space="preserve">over the last ten years. </w:t>
      </w:r>
      <w:r w:rsidR="000F2D5C">
        <w:t>This period saw Burdekin River discharge at well above median flows following a period of several years of drought (</w:t>
      </w:r>
      <w:r w:rsidR="00CB709D">
        <w:fldChar w:fldCharType="begin"/>
      </w:r>
      <w:r w:rsidR="00CB709D">
        <w:instrText xml:space="preserve"> REF _Ref438120590 \h </w:instrText>
      </w:r>
      <w:r w:rsidR="00CB709D">
        <w:fldChar w:fldCharType="separate"/>
      </w:r>
      <w:r w:rsidR="00B61881">
        <w:t xml:space="preserve">Figure </w:t>
      </w:r>
      <w:r w:rsidR="00B61881">
        <w:rPr>
          <w:noProof/>
        </w:rPr>
        <w:t>10</w:t>
      </w:r>
      <w:r w:rsidR="00CB709D">
        <w:fldChar w:fldCharType="end"/>
      </w:r>
      <w:r w:rsidR="000F2D5C">
        <w:t>d,</w:t>
      </w:r>
      <w:r w:rsidR="00B21EAD">
        <w:t xml:space="preserve"> </w:t>
      </w:r>
      <w:r w:rsidR="00B21EAD">
        <w:fldChar w:fldCharType="begin"/>
      </w:r>
      <w:r w:rsidR="00B21EAD">
        <w:instrText xml:space="preserve"> REF _Ref460423784 \h </w:instrText>
      </w:r>
      <w:r w:rsidR="00B21EAD">
        <w:fldChar w:fldCharType="separate"/>
      </w:r>
      <w:r w:rsidR="00B61881">
        <w:t xml:space="preserve">Table </w:t>
      </w:r>
      <w:proofErr w:type="gramStart"/>
      <w:r w:rsidR="00B61881">
        <w:t>A</w:t>
      </w:r>
      <w:proofErr w:type="gramEnd"/>
      <w:r w:rsidR="00B61881">
        <w:t xml:space="preserve"> </w:t>
      </w:r>
      <w:r w:rsidR="00B61881">
        <w:rPr>
          <w:noProof/>
        </w:rPr>
        <w:t>1</w:t>
      </w:r>
      <w:r w:rsidR="00B21EAD">
        <w:fldChar w:fldCharType="end"/>
      </w:r>
      <w:r w:rsidR="000F2D5C">
        <w:t>)</w:t>
      </w:r>
      <w:r w:rsidR="000F2D5C" w:rsidRPr="002A5249">
        <w:t>.</w:t>
      </w:r>
      <w:r w:rsidR="000F2D5C" w:rsidRPr="000F2D5C">
        <w:t xml:space="preserve"> </w:t>
      </w:r>
      <w:r w:rsidR="00FD5CB7">
        <w:t xml:space="preserve">Although not </w:t>
      </w:r>
      <w:r w:rsidR="00EA5E10">
        <w:t>c</w:t>
      </w:r>
      <w:r w:rsidR="00843642">
        <w:t>ategori</w:t>
      </w:r>
      <w:r w:rsidR="00EA5E10">
        <w:t>s</w:t>
      </w:r>
      <w:r w:rsidR="00843642">
        <w:t>ed</w:t>
      </w:r>
      <w:r w:rsidR="00FD5CB7">
        <w:t xml:space="preserve"> as a disease outbreak</w:t>
      </w:r>
      <w:r w:rsidR="00EA5E10">
        <w:t xml:space="preserve"> for the purpose of disturbance estimation</w:t>
      </w:r>
      <w:r w:rsidR="00843642">
        <w:t xml:space="preserve"> (Figure 10b)</w:t>
      </w:r>
      <w:r w:rsidR="00FD5CB7">
        <w:t>, e</w:t>
      </w:r>
      <w:r w:rsidR="000F2D5C">
        <w:t xml:space="preserve">levated levels of disease </w:t>
      </w:r>
      <w:r w:rsidR="00FD5CB7">
        <w:t xml:space="preserve">where observed </w:t>
      </w:r>
      <w:r w:rsidR="000F2D5C">
        <w:t xml:space="preserve">from 2007 to 2009 </w:t>
      </w:r>
      <w:r w:rsidR="00FD5CB7">
        <w:t>(</w:t>
      </w:r>
      <w:r w:rsidR="00B21EAD">
        <w:fldChar w:fldCharType="begin"/>
      </w:r>
      <w:r w:rsidR="00B21EAD">
        <w:instrText xml:space="preserve"> REF _Ref460423979 \h </w:instrText>
      </w:r>
      <w:r w:rsidR="00B21EAD">
        <w:fldChar w:fldCharType="separate"/>
      </w:r>
      <w:r w:rsidR="00B61881">
        <w:t xml:space="preserve">Figure A </w:t>
      </w:r>
      <w:r w:rsidR="00B61881">
        <w:rPr>
          <w:noProof/>
        </w:rPr>
        <w:t>7</w:t>
      </w:r>
      <w:r w:rsidR="00B21EAD">
        <w:fldChar w:fldCharType="end"/>
      </w:r>
      <w:r w:rsidR="00FD5CB7">
        <w:t>) consistent with the selection against sensitive species as a result of increased loads of sediment and nutrients being delivered from the catchment</w:t>
      </w:r>
      <w:r w:rsidR="00973E32">
        <w:t xml:space="preserve"> </w:t>
      </w:r>
      <w:r w:rsidR="00EA5E10">
        <w:t>(</w:t>
      </w:r>
      <w:r w:rsidR="00843642" w:rsidRPr="00F30518">
        <w:rPr>
          <w:rFonts w:cs="Arial"/>
          <w:color w:val="000000" w:themeColor="text1"/>
        </w:rPr>
        <w:t xml:space="preserve">Joo </w:t>
      </w:r>
      <w:r w:rsidR="00843642" w:rsidRPr="00051C52">
        <w:rPr>
          <w:rFonts w:cs="Arial"/>
          <w:i/>
          <w:color w:val="000000" w:themeColor="text1"/>
        </w:rPr>
        <w:t>et al.</w:t>
      </w:r>
      <w:r w:rsidR="00843642" w:rsidRPr="00F30518">
        <w:rPr>
          <w:rFonts w:cs="Arial"/>
          <w:color w:val="000000" w:themeColor="text1"/>
        </w:rPr>
        <w:t xml:space="preserve"> 20</w:t>
      </w:r>
      <w:r w:rsidR="00843642">
        <w:rPr>
          <w:rFonts w:cs="Arial"/>
          <w:color w:val="000000" w:themeColor="text1"/>
        </w:rPr>
        <w:t>12</w:t>
      </w:r>
      <w:r w:rsidR="00843642" w:rsidRPr="00F30518">
        <w:rPr>
          <w:rFonts w:cs="Arial"/>
          <w:color w:val="000000" w:themeColor="text1"/>
        </w:rPr>
        <w:t xml:space="preserve">, Turner </w:t>
      </w:r>
      <w:r w:rsidR="00843642" w:rsidRPr="00051C52">
        <w:rPr>
          <w:rFonts w:cs="Arial"/>
          <w:i/>
          <w:color w:val="000000" w:themeColor="text1"/>
        </w:rPr>
        <w:t>et al.</w:t>
      </w:r>
      <w:r w:rsidR="00843642">
        <w:rPr>
          <w:rFonts w:cs="Arial"/>
          <w:color w:val="000000" w:themeColor="text1"/>
        </w:rPr>
        <w:t xml:space="preserve"> 2012, 2013). This loss of </w:t>
      </w:r>
      <w:r w:rsidR="00843642" w:rsidRPr="00FA06C2">
        <w:rPr>
          <w:rFonts w:cs="Arial"/>
          <w:i/>
          <w:color w:val="000000" w:themeColor="text1"/>
        </w:rPr>
        <w:t>Acropora</w:t>
      </w:r>
      <w:r w:rsidR="00843642">
        <w:rPr>
          <w:rFonts w:cs="Arial"/>
          <w:color w:val="000000" w:themeColor="text1"/>
        </w:rPr>
        <w:t xml:space="preserve"> </w:t>
      </w:r>
      <w:r w:rsidR="00843642" w:rsidRPr="00FA06C2">
        <w:rPr>
          <w:rFonts w:cs="Arial"/>
          <w:i/>
          <w:color w:val="000000" w:themeColor="text1"/>
        </w:rPr>
        <w:t>spp</w:t>
      </w:r>
      <w:r w:rsidR="00843642">
        <w:rPr>
          <w:rFonts w:cs="Arial"/>
          <w:color w:val="000000" w:themeColor="text1"/>
        </w:rPr>
        <w:t>. cover, in particular, contributed to</w:t>
      </w:r>
      <w:r w:rsidR="00843642">
        <w:t xml:space="preserve"> the</w:t>
      </w:r>
      <w:r w:rsidR="00973E32">
        <w:t xml:space="preserve"> </w:t>
      </w:r>
      <w:r w:rsidR="00843642">
        <w:t xml:space="preserve">slight </w:t>
      </w:r>
      <w:r w:rsidR="00973E32">
        <w:t>d</w:t>
      </w:r>
      <w:r w:rsidR="00FD5CB7">
        <w:t xml:space="preserve">ecline in </w:t>
      </w:r>
      <w:r w:rsidR="00843642">
        <w:t xml:space="preserve">the </w:t>
      </w:r>
      <w:r w:rsidR="00FD5CB7">
        <w:t>composition indicator (Figure 11f)</w:t>
      </w:r>
      <w:r w:rsidR="00492116">
        <w:t xml:space="preserve">, the coral change indicator and also the </w:t>
      </w:r>
      <w:r w:rsidR="00FD5CB7">
        <w:t xml:space="preserve">coral cover </w:t>
      </w:r>
      <w:r w:rsidR="00492116">
        <w:t xml:space="preserve">indicator </w:t>
      </w:r>
      <w:r w:rsidR="00FD5CB7">
        <w:t>over the period of high river discharge (Figure 11</w:t>
      </w:r>
      <w:r w:rsidR="00492116">
        <w:t>b,</w:t>
      </w:r>
      <w:r w:rsidR="00FD5CB7">
        <w:t>e,</w:t>
      </w:r>
      <w:r w:rsidR="00492116">
        <w:t>f).</w:t>
      </w:r>
      <w:r w:rsidR="000F2D5C" w:rsidRPr="002A5249">
        <w:t>.</w:t>
      </w:r>
      <w:r w:rsidR="000F2D5C">
        <w:t xml:space="preserve"> </w:t>
      </w:r>
    </w:p>
    <w:p w14:paraId="3B3C9CE3" w14:textId="77777777" w:rsidR="000260D6" w:rsidRPr="002A5249" w:rsidRDefault="002A5249" w:rsidP="003045D3">
      <w:r w:rsidRPr="002A5249">
        <w:t>There has been no outbreak of COTS at these locations</w:t>
      </w:r>
      <w:r w:rsidR="000F2D5C">
        <w:t xml:space="preserve"> since the MMP began in 2005.</w:t>
      </w:r>
      <w:r w:rsidR="000260D6">
        <w:t xml:space="preserve"> </w:t>
      </w:r>
      <w:r w:rsidRPr="002A5249">
        <w:t xml:space="preserve">Temperature records since 2005 reveal no extreme temperature events that would be expected to cause </w:t>
      </w:r>
      <w:r w:rsidR="006D3890">
        <w:t>extensive coral bleaching (</w:t>
      </w:r>
      <w:r w:rsidR="00715958">
        <w:fldChar w:fldCharType="begin"/>
      </w:r>
      <w:r w:rsidR="00715958">
        <w:instrText xml:space="preserve"> REF _Ref438120590 \h </w:instrText>
      </w:r>
      <w:r w:rsidR="00715958">
        <w:fldChar w:fldCharType="separate"/>
      </w:r>
      <w:r w:rsidR="00B61881">
        <w:t xml:space="preserve">Figure </w:t>
      </w:r>
      <w:r w:rsidR="00B61881">
        <w:rPr>
          <w:noProof/>
        </w:rPr>
        <w:t>10</w:t>
      </w:r>
      <w:r w:rsidR="00715958">
        <w:fldChar w:fldCharType="end"/>
      </w:r>
      <w:r w:rsidR="006D3890">
        <w:t>c).</w:t>
      </w:r>
      <w:r w:rsidRPr="002A5249">
        <w:t xml:space="preserve"> </w:t>
      </w:r>
      <w:r w:rsidR="00ED2811">
        <w:t>Prior to the temperatur</w:t>
      </w:r>
      <w:r w:rsidR="004D2745">
        <w:t>e records provided here</w:t>
      </w:r>
      <w:r w:rsidR="00667AB6">
        <w:t>,</w:t>
      </w:r>
      <w:r w:rsidR="004D2745">
        <w:t xml:space="preserve"> thermal bleaching </w:t>
      </w:r>
      <w:r w:rsidR="006D3890">
        <w:t xml:space="preserve">in 1998 </w:t>
      </w:r>
      <w:r w:rsidR="004D2745">
        <w:t xml:space="preserve">was responsible for </w:t>
      </w:r>
      <w:r w:rsidR="004D2745" w:rsidRPr="00667AB6">
        <w:t xml:space="preserve">losses </w:t>
      </w:r>
      <w:r w:rsidR="00556F68">
        <w:t xml:space="preserve">of </w:t>
      </w:r>
      <w:r w:rsidR="00667AB6" w:rsidRPr="00667AB6">
        <w:t>49</w:t>
      </w:r>
      <w:r w:rsidR="006D3890" w:rsidRPr="00667AB6">
        <w:t xml:space="preserve">% and </w:t>
      </w:r>
      <w:r w:rsidR="00667AB6" w:rsidRPr="00667AB6">
        <w:t>11</w:t>
      </w:r>
      <w:r w:rsidR="006D3890" w:rsidRPr="00667AB6">
        <w:t>%</w:t>
      </w:r>
      <w:r w:rsidR="006D3890">
        <w:t xml:space="preserve"> of the hard coral cover at Havannah North and Pandora North respectively (</w:t>
      </w:r>
      <w:r w:rsidR="00B21EAD" w:rsidRPr="00B21EAD">
        <w:fldChar w:fldCharType="begin"/>
      </w:r>
      <w:r w:rsidR="00B21EAD" w:rsidRPr="00B21EAD">
        <w:instrText xml:space="preserve"> REF _Ref460423821 \h </w:instrText>
      </w:r>
      <w:r w:rsidR="00B21EAD">
        <w:instrText xml:space="preserve"> \* MERGEFORMAT </w:instrText>
      </w:r>
      <w:r w:rsidR="00B21EAD" w:rsidRPr="00B21EAD">
        <w:fldChar w:fldCharType="separate"/>
      </w:r>
      <w:r w:rsidR="00B61881" w:rsidRPr="00B61881">
        <w:rPr>
          <w:rFonts w:eastAsia="SimSun"/>
        </w:rPr>
        <w:t>Table A 2</w:t>
      </w:r>
      <w:r w:rsidR="00B21EAD" w:rsidRPr="00B21EAD">
        <w:fldChar w:fldCharType="end"/>
      </w:r>
      <w:r w:rsidR="006D3890">
        <w:t>)</w:t>
      </w:r>
      <w:r w:rsidR="00867E23">
        <w:t xml:space="preserve"> with impacts wide spread across the reefs in this region (Berkelmans </w:t>
      </w:r>
      <w:r w:rsidR="00867E23" w:rsidRPr="00FA06C2">
        <w:rPr>
          <w:i/>
        </w:rPr>
        <w:t>et al.</w:t>
      </w:r>
      <w:r w:rsidR="00867E23">
        <w:t xml:space="preserve"> 2004</w:t>
      </w:r>
      <w:r w:rsidR="002A6792">
        <w:t xml:space="preserve">) and recovery slow (Done </w:t>
      </w:r>
      <w:r w:rsidR="002A6792" w:rsidRPr="00FA06C2">
        <w:rPr>
          <w:i/>
        </w:rPr>
        <w:t>et al.</w:t>
      </w:r>
      <w:r w:rsidR="002A6792">
        <w:t xml:space="preserve"> 2007, </w:t>
      </w:r>
      <w:r w:rsidR="00867E23">
        <w:t xml:space="preserve">Sweatman </w:t>
      </w:r>
      <w:r w:rsidR="00867E23" w:rsidRPr="00FA06C2">
        <w:rPr>
          <w:i/>
        </w:rPr>
        <w:t>et al.</w:t>
      </w:r>
      <w:r w:rsidR="00867E23">
        <w:t xml:space="preserve"> 2007</w:t>
      </w:r>
      <w:r w:rsidR="002A6792">
        <w:t xml:space="preserve">, Cheal </w:t>
      </w:r>
      <w:r w:rsidR="002A6792" w:rsidRPr="00FA06C2">
        <w:rPr>
          <w:i/>
        </w:rPr>
        <w:t>et al.</w:t>
      </w:r>
      <w:r w:rsidR="00EE5DC8">
        <w:t xml:space="preserve"> 2013</w:t>
      </w:r>
      <w:r w:rsidR="00867E23">
        <w:t>)</w:t>
      </w:r>
    </w:p>
    <w:p w14:paraId="1F5B7909" w14:textId="77777777" w:rsidR="002A5249" w:rsidRDefault="00C25FB8" w:rsidP="003045D3">
      <w:r>
        <w:t>The coral index declined from a moderate condition in 2010 to poor as result</w:t>
      </w:r>
      <w:r w:rsidR="00E97BB1">
        <w:t xml:space="preserve"> of the impact of C</w:t>
      </w:r>
      <w:r>
        <w:t xml:space="preserve">yclone Yasi </w:t>
      </w:r>
      <w:r w:rsidR="00E97BB1">
        <w:t>and associated extreme flooding (</w:t>
      </w:r>
      <w:r w:rsidR="00715958">
        <w:fldChar w:fldCharType="begin"/>
      </w:r>
      <w:r w:rsidR="00715958">
        <w:instrText xml:space="preserve"> REF _Ref438120590 \h </w:instrText>
      </w:r>
      <w:r w:rsidR="00715958">
        <w:fldChar w:fldCharType="separate"/>
      </w:r>
      <w:r w:rsidR="00B61881">
        <w:t xml:space="preserve">Figure </w:t>
      </w:r>
      <w:r w:rsidR="00B61881">
        <w:rPr>
          <w:noProof/>
        </w:rPr>
        <w:t>10</w:t>
      </w:r>
      <w:r w:rsidR="00715958">
        <w:fldChar w:fldCharType="end"/>
      </w:r>
      <w:r w:rsidR="00E97BB1">
        <w:t>c,d)</w:t>
      </w:r>
      <w:r w:rsidR="007E0446">
        <w:t xml:space="preserve"> then </w:t>
      </w:r>
      <w:r>
        <w:t>continued to decline through to 2013</w:t>
      </w:r>
      <w:r w:rsidR="007E0446">
        <w:t xml:space="preserve"> (</w:t>
      </w:r>
      <w:r w:rsidR="00715958">
        <w:fldChar w:fldCharType="begin"/>
      </w:r>
      <w:r w:rsidR="00715958">
        <w:instrText xml:space="preserve"> REF _Ref438120796 \h </w:instrText>
      </w:r>
      <w:r w:rsidR="00715958">
        <w:fldChar w:fldCharType="separate"/>
      </w:r>
      <w:r w:rsidR="00B61881">
        <w:t xml:space="preserve">Figure </w:t>
      </w:r>
      <w:r w:rsidR="00B61881">
        <w:rPr>
          <w:noProof/>
        </w:rPr>
        <w:t>11</w:t>
      </w:r>
      <w:r w:rsidR="00715958">
        <w:fldChar w:fldCharType="end"/>
      </w:r>
      <w:r w:rsidR="007E0446">
        <w:t>a)</w:t>
      </w:r>
      <w:r>
        <w:t xml:space="preserve">. </w:t>
      </w:r>
      <w:r w:rsidR="00E97BB1">
        <w:t>Both the high representation of macroalgae and continually low densities of juvenile corals (</w:t>
      </w:r>
      <w:r w:rsidR="00715958">
        <w:fldChar w:fldCharType="begin"/>
      </w:r>
      <w:r w:rsidR="00715958">
        <w:instrText xml:space="preserve"> REF _Ref438120796 \h </w:instrText>
      </w:r>
      <w:r w:rsidR="00715958">
        <w:fldChar w:fldCharType="separate"/>
      </w:r>
      <w:r w:rsidR="00B61881">
        <w:t xml:space="preserve">Figure </w:t>
      </w:r>
      <w:r w:rsidR="00B61881">
        <w:rPr>
          <w:noProof/>
        </w:rPr>
        <w:t>11</w:t>
      </w:r>
      <w:r w:rsidR="00715958">
        <w:fldChar w:fldCharType="end"/>
      </w:r>
      <w:r w:rsidR="00E97BB1">
        <w:t>,c,d) along with the loss of species sensitive to water quality at some reefs (</w:t>
      </w:r>
      <w:r w:rsidR="00715958">
        <w:fldChar w:fldCharType="begin"/>
      </w:r>
      <w:r w:rsidR="00715958">
        <w:instrText xml:space="preserve"> REF _Ref438120796 \h </w:instrText>
      </w:r>
      <w:r w:rsidR="00715958">
        <w:fldChar w:fldCharType="separate"/>
      </w:r>
      <w:r w:rsidR="00B61881">
        <w:t xml:space="preserve">Figure </w:t>
      </w:r>
      <w:r w:rsidR="00B61881">
        <w:rPr>
          <w:noProof/>
        </w:rPr>
        <w:t>11</w:t>
      </w:r>
      <w:r w:rsidR="00715958">
        <w:fldChar w:fldCharType="end"/>
      </w:r>
      <w:r w:rsidR="00E97BB1">
        <w:t xml:space="preserve">f, below 0.5) suggest </w:t>
      </w:r>
      <w:r w:rsidR="007E0446">
        <w:t xml:space="preserve">general </w:t>
      </w:r>
      <w:r w:rsidR="00E97BB1">
        <w:t>suppression of coral community resilience</w:t>
      </w:r>
      <w:r w:rsidR="007E0446">
        <w:t xml:space="preserve"> through to 2013</w:t>
      </w:r>
      <w:r w:rsidR="00E97BB1">
        <w:t xml:space="preserve">. </w:t>
      </w:r>
      <w:r w:rsidR="002A5249" w:rsidRPr="002A5249">
        <w:t>After the impact of Cy</w:t>
      </w:r>
      <w:r w:rsidR="00F07815">
        <w:t>c</w:t>
      </w:r>
      <w:r w:rsidR="002A5249" w:rsidRPr="002A5249">
        <w:t xml:space="preserve">lone Yasi the coral index could have dropped lower but was offset by the physical </w:t>
      </w:r>
      <w:r w:rsidR="00F07815">
        <w:t>removal</w:t>
      </w:r>
      <w:r w:rsidR="002A5249" w:rsidRPr="002A5249">
        <w:t xml:space="preserve"> of macroalgae. Macroalgae was</w:t>
      </w:r>
      <w:r w:rsidR="00AC6692">
        <w:t>,</w:t>
      </w:r>
      <w:r w:rsidR="002A5249" w:rsidRPr="002A5249">
        <w:t xml:space="preserve"> </w:t>
      </w:r>
      <w:r w:rsidR="00AC6692">
        <w:t xml:space="preserve">however, </w:t>
      </w:r>
      <w:r w:rsidR="002A5249" w:rsidRPr="002A5249">
        <w:t>quick to re-establish on the newly available space</w:t>
      </w:r>
      <w:r w:rsidR="00F07815">
        <w:t xml:space="preserve">. </w:t>
      </w:r>
      <w:r w:rsidR="00C860B5">
        <w:t>Coinciding with l</w:t>
      </w:r>
      <w:r w:rsidR="00F07815">
        <w:t>ower river flows in 2014 and 2015 (</w:t>
      </w:r>
      <w:r w:rsidR="00715958">
        <w:fldChar w:fldCharType="begin"/>
      </w:r>
      <w:r w:rsidR="00715958">
        <w:instrText xml:space="preserve"> REF _Ref438120590 \h </w:instrText>
      </w:r>
      <w:r w:rsidR="00715958">
        <w:fldChar w:fldCharType="separate"/>
      </w:r>
      <w:r w:rsidR="00B61881">
        <w:t xml:space="preserve">Figure </w:t>
      </w:r>
      <w:r w:rsidR="00B61881">
        <w:rPr>
          <w:noProof/>
        </w:rPr>
        <w:t>10</w:t>
      </w:r>
      <w:r w:rsidR="00715958">
        <w:fldChar w:fldCharType="end"/>
      </w:r>
      <w:r w:rsidR="00F07815">
        <w:t xml:space="preserve">d) </w:t>
      </w:r>
      <w:r w:rsidR="00C860B5">
        <w:t>was</w:t>
      </w:r>
      <w:r w:rsidR="00C860B5" w:rsidRPr="002A5249">
        <w:t xml:space="preserve"> </w:t>
      </w:r>
      <w:r w:rsidR="002A5249" w:rsidRPr="002A5249">
        <w:t xml:space="preserve">an increase </w:t>
      </w:r>
      <w:r w:rsidR="002A5249" w:rsidRPr="002A5249">
        <w:lastRenderedPageBreak/>
        <w:t xml:space="preserve">in </w:t>
      </w:r>
      <w:r w:rsidR="00F07815">
        <w:t xml:space="preserve">coral cover, </w:t>
      </w:r>
      <w:r w:rsidR="002A5249" w:rsidRPr="002A5249">
        <w:t>coral growth</w:t>
      </w:r>
      <w:r w:rsidR="00DA7F1D">
        <w:t xml:space="preserve">, </w:t>
      </w:r>
      <w:r w:rsidR="00F07815">
        <w:t xml:space="preserve">densities of juvenile corals </w:t>
      </w:r>
      <w:r w:rsidR="00DA7F1D">
        <w:t xml:space="preserve">along with an increase in the proportion of water quality sensitive species in the coral communities and corresponding reduction in the cover of macroalgae </w:t>
      </w:r>
      <w:r w:rsidR="00F07815">
        <w:t>(</w:t>
      </w:r>
      <w:r w:rsidR="00715958">
        <w:fldChar w:fldCharType="begin"/>
      </w:r>
      <w:r w:rsidR="00715958">
        <w:instrText xml:space="preserve"> REF _Ref438120796 \h </w:instrText>
      </w:r>
      <w:r w:rsidR="00715958">
        <w:fldChar w:fldCharType="separate"/>
      </w:r>
      <w:r w:rsidR="00B61881">
        <w:t xml:space="preserve">Figure </w:t>
      </w:r>
      <w:r w:rsidR="00B61881">
        <w:rPr>
          <w:noProof/>
        </w:rPr>
        <w:t>11</w:t>
      </w:r>
      <w:r w:rsidR="00715958">
        <w:fldChar w:fldCharType="end"/>
      </w:r>
      <w:r w:rsidR="00F07815">
        <w:t>b,</w:t>
      </w:r>
      <w:r w:rsidR="00DA7F1D">
        <w:t>c,</w:t>
      </w:r>
      <w:r w:rsidR="00F07815">
        <w:t>d,e</w:t>
      </w:r>
      <w:r w:rsidR="00DA7F1D">
        <w:t>,f</w:t>
      </w:r>
      <w:r w:rsidR="00F07815">
        <w:t>)</w:t>
      </w:r>
      <w:r w:rsidR="00DA7F1D">
        <w:t>.</w:t>
      </w:r>
      <w:r w:rsidR="002A6792">
        <w:t xml:space="preserve"> </w:t>
      </w:r>
      <w:r w:rsidR="00DA7F1D">
        <w:t xml:space="preserve">The rise in juvenile </w:t>
      </w:r>
      <w:r w:rsidR="002A5249" w:rsidRPr="002A5249">
        <w:t xml:space="preserve">density </w:t>
      </w:r>
      <w:r w:rsidR="00C860B5">
        <w:t xml:space="preserve">was </w:t>
      </w:r>
      <w:r w:rsidR="002A5249" w:rsidRPr="002A5249">
        <w:t xml:space="preserve">driven </w:t>
      </w:r>
      <w:r w:rsidR="00DA7F1D">
        <w:t xml:space="preserve">predominantly by </w:t>
      </w:r>
      <w:r w:rsidR="002A5249" w:rsidRPr="002A5249">
        <w:t xml:space="preserve">high numbers of </w:t>
      </w:r>
      <w:r w:rsidR="002A5249" w:rsidRPr="002A5249">
        <w:rPr>
          <w:i/>
        </w:rPr>
        <w:t xml:space="preserve">Turbinaria </w:t>
      </w:r>
      <w:r w:rsidR="002A5249" w:rsidRPr="002A5249">
        <w:t>sp</w:t>
      </w:r>
      <w:r w:rsidR="00974540">
        <w:t>p.</w:t>
      </w:r>
      <w:r w:rsidR="002A5249" w:rsidRPr="002A5249">
        <w:t xml:space="preserve"> at Lady Elliot (</w:t>
      </w:r>
      <w:r w:rsidR="00B21EAD">
        <w:fldChar w:fldCharType="begin"/>
      </w:r>
      <w:r w:rsidR="00B21EAD">
        <w:instrText xml:space="preserve"> REF _Ref460485785 \h </w:instrText>
      </w:r>
      <w:r w:rsidR="00B21EAD">
        <w:fldChar w:fldCharType="separate"/>
      </w:r>
      <w:r w:rsidR="00B61881">
        <w:t xml:space="preserve">Figure </w:t>
      </w:r>
      <w:proofErr w:type="gramStart"/>
      <w:r w:rsidR="00B61881">
        <w:t>A</w:t>
      </w:r>
      <w:proofErr w:type="gramEnd"/>
      <w:r w:rsidR="00B61881">
        <w:t xml:space="preserve"> </w:t>
      </w:r>
      <w:r w:rsidR="00B61881">
        <w:rPr>
          <w:noProof/>
        </w:rPr>
        <w:t>4</w:t>
      </w:r>
      <w:r w:rsidR="00B21EAD">
        <w:fldChar w:fldCharType="end"/>
      </w:r>
      <w:r w:rsidR="002A5249" w:rsidRPr="002A5249">
        <w:t>)</w:t>
      </w:r>
      <w:r w:rsidR="00F65711">
        <w:t xml:space="preserve">, a genus that favours turbid high nutrient environments. </w:t>
      </w:r>
      <w:r w:rsidR="00AC6692">
        <w:t>There were also increases in the density of Acroporidae juveniles most reefs in Halifax bay compared to that observed prior to 2011 (</w:t>
      </w:r>
      <w:r w:rsidR="00B21EAD">
        <w:fldChar w:fldCharType="begin"/>
      </w:r>
      <w:r w:rsidR="00B21EAD">
        <w:instrText xml:space="preserve"> REF _Ref460485785 \h </w:instrText>
      </w:r>
      <w:r w:rsidR="00B21EAD">
        <w:fldChar w:fldCharType="separate"/>
      </w:r>
      <w:r w:rsidR="00B61881">
        <w:t xml:space="preserve">Figure A </w:t>
      </w:r>
      <w:r w:rsidR="00B61881">
        <w:rPr>
          <w:noProof/>
        </w:rPr>
        <w:t>4</w:t>
      </w:r>
      <w:r w:rsidR="00B21EAD">
        <w:fldChar w:fldCharType="end"/>
      </w:r>
      <w:r w:rsidR="00AC6692">
        <w:t xml:space="preserve">) signalling an important return of this sensitive species to the communities. </w:t>
      </w:r>
    </w:p>
    <w:p w14:paraId="133F11DC" w14:textId="77777777" w:rsidR="00156D38" w:rsidRDefault="00156D38" w:rsidP="003045D3"/>
    <w:p w14:paraId="759CD240" w14:textId="77777777" w:rsidR="00156D38" w:rsidRDefault="00156D38" w:rsidP="00156D38">
      <w:pPr>
        <w:keepNext/>
      </w:pPr>
      <w:r>
        <w:rPr>
          <w:noProof/>
          <w:lang w:val="en-AU" w:eastAsia="en-AU"/>
        </w:rPr>
        <w:drawing>
          <wp:inline distT="0" distB="0" distL="0" distR="0" wp14:anchorId="364A6ED8" wp14:editId="608B3307">
            <wp:extent cx="6120765" cy="6120765"/>
            <wp:effectExtent l="0" t="0" r="0" b="0"/>
            <wp:docPr id="238" name="Picture 238" descr="Figure 11: Coral reef community and water quality trends in the Burdekin region. 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in records of chlorophyll a and turbidity (g, h) from ECO FLNTUSB instruments are represented in red, individual records are not displayed. Dashed reference lines indicate GBRMPA (2010) guideline values." title="Figure 11: Coral reef community and water quality trend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Burdekin.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1C3ADD55" w14:textId="77777777" w:rsidR="00156D38" w:rsidRPr="006B3B22" w:rsidRDefault="00156D38" w:rsidP="00156D38">
      <w:pPr>
        <w:pStyle w:val="Caption"/>
        <w:rPr>
          <w:vanish/>
        </w:rPr>
      </w:pPr>
      <w:bookmarkStart w:id="165" w:name="_Ref438120796"/>
      <w:bookmarkStart w:id="166" w:name="_Toc437423856"/>
      <w:bookmarkStart w:id="167" w:name="_Toc437424035"/>
      <w:bookmarkStart w:id="168" w:name="_Toc437424304"/>
      <w:bookmarkStart w:id="169" w:name="_Toc437597638"/>
      <w:bookmarkStart w:id="170" w:name="_Toc460490780"/>
      <w:r>
        <w:t xml:space="preserve">Figure </w:t>
      </w:r>
      <w:r w:rsidR="005D2F9F">
        <w:fldChar w:fldCharType="begin"/>
      </w:r>
      <w:r w:rsidR="005D2F9F">
        <w:instrText xml:space="preserve"> SEQ Figure \* ARABIC </w:instrText>
      </w:r>
      <w:r w:rsidR="005D2F9F">
        <w:fldChar w:fldCharType="separate"/>
      </w:r>
      <w:r w:rsidR="00B61881">
        <w:rPr>
          <w:noProof/>
        </w:rPr>
        <w:t>11</w:t>
      </w:r>
      <w:r w:rsidR="005D2F9F">
        <w:rPr>
          <w:noProof/>
        </w:rPr>
        <w:fldChar w:fldCharType="end"/>
      </w:r>
      <w:bookmarkEnd w:id="165"/>
      <w:r>
        <w:t xml:space="preserve">: </w:t>
      </w:r>
      <w:r w:rsidRPr="00BB6D1F">
        <w:t>Coral reef community and water quality trends in the Burdekin region.</w:t>
      </w:r>
      <w:bookmarkEnd w:id="166"/>
      <w:bookmarkEnd w:id="167"/>
      <w:bookmarkEnd w:id="168"/>
      <w:bookmarkEnd w:id="169"/>
      <w:bookmarkEnd w:id="170"/>
      <w:r w:rsidRPr="00BB6D1F">
        <w:t xml:space="preserve"> </w:t>
      </w:r>
    </w:p>
    <w:p w14:paraId="1949D7EE" w14:textId="77777777" w:rsidR="00156D38" w:rsidRPr="003045D3" w:rsidRDefault="00156D38" w:rsidP="00156D38">
      <w:pPr>
        <w:rPr>
          <w:rFonts w:ascii="Arial Narrow" w:eastAsiaTheme="minorHAnsi" w:hAnsi="Arial Narrow"/>
          <w:bCs/>
          <w:color w:val="000000" w:themeColor="text1"/>
          <w:sz w:val="20"/>
        </w:rPr>
      </w:pPr>
      <w:r w:rsidRPr="009155F8">
        <w:rPr>
          <w:rStyle w:val="IntenseReference"/>
          <w:rFonts w:eastAsiaTheme="minorHAnsi"/>
        </w:rPr>
        <w:t>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in records of chlorophyll a and turbidity (g, h) from ECO FLNTUSB instruments are represented in red, individual records are not displayed. Dashed reference lines indicate GBRMPA (2010) guideline values.</w:t>
      </w:r>
    </w:p>
    <w:p w14:paraId="40ED74F7" w14:textId="77777777" w:rsidR="00156D38" w:rsidRDefault="00156D38" w:rsidP="003045D3"/>
    <w:p w14:paraId="70AD07B6" w14:textId="77777777" w:rsidR="002A6792" w:rsidRPr="00FA06C2" w:rsidRDefault="002A6792" w:rsidP="003045D3">
      <w:pPr>
        <w:rPr>
          <w:color w:val="0070C0"/>
        </w:rPr>
      </w:pPr>
      <w:r w:rsidRPr="002A5249">
        <w:lastRenderedPageBreak/>
        <w:t xml:space="preserve">Macroalgae has maintained a dominant presence </w:t>
      </w:r>
      <w:r>
        <w:t>at most of</w:t>
      </w:r>
      <w:r w:rsidRPr="002A5249">
        <w:t xml:space="preserve"> the monitored locations</w:t>
      </w:r>
      <w:r>
        <w:t xml:space="preserve"> </w:t>
      </w:r>
      <w:r w:rsidRPr="002A5249">
        <w:t>(</w:t>
      </w:r>
      <w:r w:rsidR="00B21EAD">
        <w:fldChar w:fldCharType="begin"/>
      </w:r>
      <w:r w:rsidR="00B21EAD">
        <w:instrText xml:space="preserve"> REF _Ref438120796 \h </w:instrText>
      </w:r>
      <w:r w:rsidR="00B21EAD">
        <w:fldChar w:fldCharType="separate"/>
      </w:r>
      <w:r w:rsidR="00B61881">
        <w:t xml:space="preserve">Figure </w:t>
      </w:r>
      <w:r w:rsidR="00B61881">
        <w:rPr>
          <w:noProof/>
        </w:rPr>
        <w:t>11</w:t>
      </w:r>
      <w:r w:rsidR="00B21EAD">
        <w:fldChar w:fldCharType="end"/>
      </w:r>
      <w:r w:rsidR="00B21EAD">
        <w:t xml:space="preserve">c, </w:t>
      </w:r>
      <w:r w:rsidR="00B21EAD">
        <w:fldChar w:fldCharType="begin"/>
      </w:r>
      <w:r w:rsidR="00B21EAD">
        <w:instrText xml:space="preserve"> REF _Ref460485785 \h </w:instrText>
      </w:r>
      <w:r w:rsidR="00B21EAD">
        <w:fldChar w:fldCharType="separate"/>
      </w:r>
      <w:r w:rsidR="00B61881">
        <w:t xml:space="preserve">Figure </w:t>
      </w:r>
      <w:proofErr w:type="gramStart"/>
      <w:r w:rsidR="00B61881">
        <w:t>A</w:t>
      </w:r>
      <w:proofErr w:type="gramEnd"/>
      <w:r w:rsidR="00B61881">
        <w:t xml:space="preserve"> </w:t>
      </w:r>
      <w:r w:rsidR="00B61881">
        <w:rPr>
          <w:noProof/>
        </w:rPr>
        <w:t>4</w:t>
      </w:r>
      <w:r w:rsidR="00B21EAD">
        <w:fldChar w:fldCharType="end"/>
      </w:r>
      <w:r w:rsidRPr="002A5249">
        <w:t xml:space="preserve">), indicating the availability of nutrients, space, and appropriate light levels. </w:t>
      </w:r>
      <w:r>
        <w:t xml:space="preserve">Exceptions are </w:t>
      </w:r>
      <w:r w:rsidRPr="002A5249">
        <w:t xml:space="preserve">Palms East and West </w:t>
      </w:r>
      <w:r>
        <w:t>where nutrient levels are lowest and</w:t>
      </w:r>
      <w:r w:rsidRPr="002A5249">
        <w:t xml:space="preserve"> Middle Reef </w:t>
      </w:r>
      <w:r>
        <w:t>where there is</w:t>
      </w:r>
      <w:r w:rsidRPr="002A5249">
        <w:t xml:space="preserve"> limited space </w:t>
      </w:r>
      <w:r>
        <w:t xml:space="preserve">suitable for macroalgal colonisation due to high levels of silt deposited to the substrate, but also </w:t>
      </w:r>
      <w:r w:rsidRPr="002A5249">
        <w:t>high turbidity</w:t>
      </w:r>
      <w:r>
        <w:t xml:space="preserve"> limiting the light availa</w:t>
      </w:r>
      <w:r w:rsidR="00B21EAD">
        <w:t>ble to the algae (</w:t>
      </w:r>
      <w:r w:rsidR="00B21EAD">
        <w:fldChar w:fldCharType="begin"/>
      </w:r>
      <w:r w:rsidR="00B21EAD">
        <w:instrText xml:space="preserve"> REF _Ref460423145 \h </w:instrText>
      </w:r>
      <w:r w:rsidR="00B21EAD">
        <w:fldChar w:fldCharType="separate"/>
      </w:r>
      <w:r w:rsidR="00B61881">
        <w:t xml:space="preserve">Table A </w:t>
      </w:r>
      <w:r w:rsidR="00B61881">
        <w:rPr>
          <w:noProof/>
        </w:rPr>
        <w:t>4</w:t>
      </w:r>
      <w:r w:rsidR="00B21EAD">
        <w:fldChar w:fldCharType="end"/>
      </w:r>
      <w:r>
        <w:t>)</w:t>
      </w:r>
      <w:r w:rsidRPr="002A5249">
        <w:t xml:space="preserve">. Macroalgae cover was regionally high following the first flood of the Burdekin River in 2007, and has generally declined since </w:t>
      </w:r>
      <w:r w:rsidRPr="00D646D6">
        <w:t>(Figure 10c).</w:t>
      </w:r>
      <w:r w:rsidRPr="002A5249">
        <w:t xml:space="preserve"> Low cover </w:t>
      </w:r>
      <w:r>
        <w:t xml:space="preserve">of macroalgae </w:t>
      </w:r>
      <w:r w:rsidRPr="002A5249">
        <w:t xml:space="preserve">in 2011 </w:t>
      </w:r>
      <w:r>
        <w:t>coincided with Cyclone</w:t>
      </w:r>
      <w:r w:rsidRPr="002A5249">
        <w:t xml:space="preserve"> Yasi</w:t>
      </w:r>
      <w:r>
        <w:t xml:space="preserve"> and was likely the result of physical removal</w:t>
      </w:r>
      <w:r w:rsidRPr="002A5249">
        <w:t xml:space="preserve">. Recent regional declines in the cover of macroalgae following the decrease in Burdekin River flow will partially release their downward pressure on coral settlement and survival (Birrell </w:t>
      </w:r>
      <w:r w:rsidRPr="002A5249">
        <w:rPr>
          <w:i/>
        </w:rPr>
        <w:t>et al</w:t>
      </w:r>
      <w:r>
        <w:rPr>
          <w:i/>
        </w:rPr>
        <w:t>.</w:t>
      </w:r>
      <w:r w:rsidRPr="002A5249">
        <w:t xml:space="preserve"> 2008 a, b). </w:t>
      </w:r>
    </w:p>
    <w:p w14:paraId="390DC51B" w14:textId="77777777" w:rsidR="002A5249" w:rsidRDefault="006802CE" w:rsidP="003045D3">
      <w:r>
        <w:t xml:space="preserve">In contrast to the coral index the water </w:t>
      </w:r>
      <w:r w:rsidR="002A5249" w:rsidRPr="002A5249">
        <w:t xml:space="preserve">quality index for the Burdekin Region </w:t>
      </w:r>
      <w:r w:rsidR="00974540">
        <w:t>has</w:t>
      </w:r>
      <w:r>
        <w:t xml:space="preserve"> declined slightly from 2013 to 2015</w:t>
      </w:r>
      <w:r w:rsidR="00974540">
        <w:t xml:space="preserve"> </w:t>
      </w:r>
      <w:r>
        <w:t>though remains categorised as</w:t>
      </w:r>
      <w:r w:rsidR="002A5249" w:rsidRPr="002A5249">
        <w:t xml:space="preserve"> ‘good’</w:t>
      </w:r>
      <w:r w:rsidR="00974540">
        <w:t xml:space="preserve"> </w:t>
      </w:r>
      <w:r>
        <w:t>(</w:t>
      </w:r>
      <w:r w:rsidR="00B21EAD">
        <w:fldChar w:fldCharType="begin"/>
      </w:r>
      <w:r w:rsidR="00B21EAD">
        <w:instrText xml:space="preserve"> REF _Ref460486266 \h </w:instrText>
      </w:r>
      <w:r w:rsidR="00B21EAD">
        <w:fldChar w:fldCharType="separate"/>
      </w:r>
      <w:r w:rsidR="00B61881">
        <w:t xml:space="preserve">Figure A </w:t>
      </w:r>
      <w:r w:rsidR="00B61881">
        <w:rPr>
          <w:noProof/>
        </w:rPr>
        <w:t>13</w:t>
      </w:r>
      <w:r w:rsidR="00B21EAD">
        <w:fldChar w:fldCharType="end"/>
      </w:r>
      <w:r>
        <w:t>)</w:t>
      </w:r>
      <w:r w:rsidR="002A5249" w:rsidRPr="002A5249">
        <w:t xml:space="preserve">. </w:t>
      </w:r>
      <w:r>
        <w:t xml:space="preserve">Variables that did rise or were high over the 2011-2013 period </w:t>
      </w:r>
      <w:r w:rsidR="00A73FB8">
        <w:t>that coincided with a period of low rates of cover i</w:t>
      </w:r>
      <w:r w:rsidR="00B21EAD">
        <w:t>ncrease on most reefs (</w:t>
      </w:r>
      <w:r w:rsidR="00B21EAD">
        <w:fldChar w:fldCharType="begin"/>
      </w:r>
      <w:r w:rsidR="00B21EAD">
        <w:instrText xml:space="preserve"> REF _Ref438120796 \h </w:instrText>
      </w:r>
      <w:r w:rsidR="00B21EAD">
        <w:fldChar w:fldCharType="separate"/>
      </w:r>
      <w:r w:rsidR="00B61881">
        <w:t xml:space="preserve">Figure </w:t>
      </w:r>
      <w:r w:rsidR="00B61881">
        <w:rPr>
          <w:noProof/>
        </w:rPr>
        <w:t>11</w:t>
      </w:r>
      <w:r w:rsidR="00B21EAD">
        <w:fldChar w:fldCharType="end"/>
      </w:r>
      <w:r w:rsidR="00CF11EE">
        <w:t>e</w:t>
      </w:r>
      <w:r w:rsidR="00A73FB8">
        <w:t xml:space="preserve">), </w:t>
      </w:r>
      <w:r>
        <w:t xml:space="preserve">were </w:t>
      </w:r>
      <w:r w:rsidR="002A5249" w:rsidRPr="002A5249">
        <w:t xml:space="preserve">dissolved organic carbon (DOC) and oxides of nitrogen (NOx) </w:t>
      </w:r>
      <w:r w:rsidR="00B21EAD">
        <w:t>(</w:t>
      </w:r>
      <w:r w:rsidR="00B21EAD">
        <w:fldChar w:fldCharType="begin"/>
      </w:r>
      <w:r w:rsidR="00B21EAD">
        <w:instrText xml:space="preserve"> REF _Ref460486266 \h </w:instrText>
      </w:r>
      <w:r w:rsidR="00B21EAD">
        <w:fldChar w:fldCharType="separate"/>
      </w:r>
      <w:r w:rsidR="00B61881">
        <w:t xml:space="preserve">Figure A </w:t>
      </w:r>
      <w:r w:rsidR="00B61881">
        <w:rPr>
          <w:noProof/>
        </w:rPr>
        <w:t>13</w:t>
      </w:r>
      <w:r w:rsidR="00B21EAD">
        <w:fldChar w:fldCharType="end"/>
      </w:r>
      <w:r w:rsidR="004A1E57">
        <w:t>j</w:t>
      </w:r>
      <w:r w:rsidR="00B21EAD">
        <w:t>,</w:t>
      </w:r>
      <w:r w:rsidR="004A1E57">
        <w:t>d)</w:t>
      </w:r>
      <w:r>
        <w:t xml:space="preserve"> and</w:t>
      </w:r>
      <w:r w:rsidR="002A5249" w:rsidRPr="002A5249">
        <w:t xml:space="preserve"> turbidity (NTU) </w:t>
      </w:r>
      <w:r>
        <w:t>measured by co</w:t>
      </w:r>
      <w:r w:rsidR="000F2D5C">
        <w:t>ntinuous data loggers (</w:t>
      </w:r>
      <w:r w:rsidR="00715958">
        <w:fldChar w:fldCharType="begin"/>
      </w:r>
      <w:r w:rsidR="00715958">
        <w:instrText xml:space="preserve"> REF _Ref438120796 \h </w:instrText>
      </w:r>
      <w:r w:rsidR="00715958">
        <w:fldChar w:fldCharType="separate"/>
      </w:r>
      <w:r w:rsidR="00B61881">
        <w:t xml:space="preserve">Figure </w:t>
      </w:r>
      <w:r w:rsidR="00B61881">
        <w:rPr>
          <w:noProof/>
        </w:rPr>
        <w:t>11</w:t>
      </w:r>
      <w:r w:rsidR="00715958">
        <w:fldChar w:fldCharType="end"/>
      </w:r>
      <w:r>
        <w:t>h). The</w:t>
      </w:r>
      <w:r w:rsidR="002A5249" w:rsidRPr="002A5249">
        <w:t xml:space="preserve"> </w:t>
      </w:r>
      <w:r>
        <w:t xml:space="preserve">prolonged increase in these variables </w:t>
      </w:r>
      <w:r w:rsidR="002A5249" w:rsidRPr="002A5249">
        <w:t>suggests that there is a long residence time producing a distinctive lag in the decline of these metrics</w:t>
      </w:r>
      <w:r w:rsidR="00815D1D">
        <w:t xml:space="preserve"> (Brodie </w:t>
      </w:r>
      <w:r w:rsidR="00815D1D" w:rsidRPr="00815D1D">
        <w:rPr>
          <w:i/>
        </w:rPr>
        <w:t>et al</w:t>
      </w:r>
      <w:r w:rsidR="00051C52">
        <w:rPr>
          <w:i/>
        </w:rPr>
        <w:t>.</w:t>
      </w:r>
      <w:r w:rsidR="00815D1D">
        <w:t xml:space="preserve"> 2012</w:t>
      </w:r>
      <w:r w:rsidR="00A63E90">
        <w:t>a</w:t>
      </w:r>
      <w:r w:rsidR="00815D1D">
        <w:t>)</w:t>
      </w:r>
      <w:r w:rsidR="002A5249" w:rsidRPr="002A5249">
        <w:t xml:space="preserve">. </w:t>
      </w:r>
    </w:p>
    <w:p w14:paraId="604F7D8A" w14:textId="77777777" w:rsidR="001252BF" w:rsidRDefault="00F2172D" w:rsidP="0039303A">
      <w:r w:rsidRPr="002A5249">
        <w:t>In summary, recent gains in the coral index indicate that recovery is underway, and, if the change in weather patterns delivers another ‘drier’ wet season, improve</w:t>
      </w:r>
      <w:r>
        <w:t>ment</w:t>
      </w:r>
      <w:r w:rsidRPr="002A5249">
        <w:t xml:space="preserve"> </w:t>
      </w:r>
      <w:r>
        <w:t xml:space="preserve">in </w:t>
      </w:r>
      <w:r w:rsidR="002C2F1B">
        <w:t>water quality</w:t>
      </w:r>
      <w:r>
        <w:t xml:space="preserve"> and ongoing recovery should be </w:t>
      </w:r>
      <w:r w:rsidRPr="002A5249">
        <w:t>expected.</w:t>
      </w:r>
      <w:r>
        <w:t xml:space="preserve"> A caution</w:t>
      </w:r>
      <w:r w:rsidR="002C2F1B">
        <w:t>, however, is that</w:t>
      </w:r>
      <w:r>
        <w:t xml:space="preserve"> </w:t>
      </w:r>
      <w:r w:rsidR="002A5249" w:rsidRPr="00C839F8">
        <w:t>palaeo-ecological evidence suggest</w:t>
      </w:r>
      <w:r w:rsidR="002C2F1B">
        <w:t>s</w:t>
      </w:r>
      <w:r w:rsidR="002A5249" w:rsidRPr="00C839F8">
        <w:t xml:space="preserve"> that present-day coral assemblages </w:t>
      </w:r>
      <w:r>
        <w:t xml:space="preserve">on reefs </w:t>
      </w:r>
      <w:r w:rsidR="002A5249" w:rsidRPr="00C839F8">
        <w:t xml:space="preserve">in </w:t>
      </w:r>
      <w:r w:rsidR="002C2F1B">
        <w:t>Halifax Bay</w:t>
      </w:r>
      <w:r w:rsidR="002A5249" w:rsidRPr="00C839F8">
        <w:t xml:space="preserve"> are the result of a shifted baseline from dominant </w:t>
      </w:r>
      <w:r w:rsidRPr="00C839F8">
        <w:t xml:space="preserve">arborescent </w:t>
      </w:r>
      <w:r w:rsidRPr="00C839F8">
        <w:rPr>
          <w:i/>
        </w:rPr>
        <w:t>Acropora</w:t>
      </w:r>
      <w:r w:rsidRPr="00C839F8">
        <w:t xml:space="preserve"> </w:t>
      </w:r>
      <w:r>
        <w:t xml:space="preserve">communities to a </w:t>
      </w:r>
      <w:r w:rsidRPr="00C839F8">
        <w:t xml:space="preserve">remnant community of sparse </w:t>
      </w:r>
      <w:r w:rsidRPr="00C839F8">
        <w:rPr>
          <w:i/>
        </w:rPr>
        <w:t>Acropora</w:t>
      </w:r>
      <w:r w:rsidRPr="00C839F8">
        <w:t xml:space="preserve"> and/or dominant non-</w:t>
      </w:r>
      <w:r w:rsidRPr="00C839F8">
        <w:rPr>
          <w:i/>
        </w:rPr>
        <w:t>Acropora</w:t>
      </w:r>
      <w:r w:rsidRPr="00C839F8">
        <w:t xml:space="preserve"> species (Roff </w:t>
      </w:r>
      <w:r w:rsidRPr="00C839F8">
        <w:rPr>
          <w:i/>
        </w:rPr>
        <w:t>et al.</w:t>
      </w:r>
      <w:r w:rsidRPr="00C839F8">
        <w:t xml:space="preserve"> 2013). </w:t>
      </w:r>
      <w:r w:rsidR="002A5249" w:rsidRPr="00C839F8">
        <w:t xml:space="preserve">An implied cause of this change </w:t>
      </w:r>
      <w:r w:rsidR="00190BCA">
        <w:t>wa</w:t>
      </w:r>
      <w:r w:rsidR="00190BCA" w:rsidRPr="00C839F8">
        <w:t xml:space="preserve">s </w:t>
      </w:r>
      <w:r w:rsidR="002A5249" w:rsidRPr="00C839F8">
        <w:t>the</w:t>
      </w:r>
      <w:r w:rsidR="00190BCA" w:rsidRPr="00C839F8">
        <w:t xml:space="preserve"> </w:t>
      </w:r>
      <w:r w:rsidR="002A5249" w:rsidRPr="00C839F8">
        <w:t xml:space="preserve">sustained decline in water quality resulting from the expansion of agriculture in the catchment. Exposed to increased chronic stress the once ubiquitous suite of arborescent </w:t>
      </w:r>
      <w:r w:rsidR="002A5249" w:rsidRPr="00C839F8">
        <w:rPr>
          <w:i/>
        </w:rPr>
        <w:t>Acropora</w:t>
      </w:r>
      <w:r w:rsidR="002A5249" w:rsidRPr="00C839F8">
        <w:t xml:space="preserve"> species were no longer able to recover from recurring impacts of cyclones and floodwaters, suffering a systematic collapse between 1920 and 1955. </w:t>
      </w:r>
      <w:r w:rsidR="00E354F6">
        <w:t>The dynamics of the communities observed in this study broadly corroborate the interpretations of</w:t>
      </w:r>
      <w:r w:rsidR="001252BF">
        <w:t xml:space="preserve"> </w:t>
      </w:r>
      <w:r w:rsidR="002A5249" w:rsidRPr="00C839F8">
        <w:t xml:space="preserve">Roff </w:t>
      </w:r>
      <w:r w:rsidR="002A5249" w:rsidRPr="00C839F8">
        <w:rPr>
          <w:i/>
        </w:rPr>
        <w:t>et al</w:t>
      </w:r>
      <w:r w:rsidR="002A5249" w:rsidRPr="00C839F8">
        <w:t>. (2013)</w:t>
      </w:r>
      <w:r w:rsidR="00E354F6">
        <w:t xml:space="preserve">. </w:t>
      </w:r>
      <w:r w:rsidR="00B21EAD">
        <w:t>That o</w:t>
      </w:r>
      <w:r w:rsidR="00AD507D">
        <w:t>ur</w:t>
      </w:r>
      <w:r w:rsidR="00B21EAD">
        <w:t xml:space="preserve"> observation of increased level</w:t>
      </w:r>
      <w:r w:rsidR="00C839F8" w:rsidRPr="00C839F8">
        <w:t xml:space="preserve"> of disease in 2007-2009 (</w:t>
      </w:r>
      <w:r w:rsidR="00B21EAD">
        <w:fldChar w:fldCharType="begin"/>
      </w:r>
      <w:r w:rsidR="00B21EAD">
        <w:instrText xml:space="preserve"> REF _Ref460423979 \h </w:instrText>
      </w:r>
      <w:r w:rsidR="00B21EAD">
        <w:fldChar w:fldCharType="separate"/>
      </w:r>
      <w:r w:rsidR="00B61881">
        <w:t xml:space="preserve">Figure A </w:t>
      </w:r>
      <w:r w:rsidR="00B61881">
        <w:rPr>
          <w:noProof/>
        </w:rPr>
        <w:t>7</w:t>
      </w:r>
      <w:r w:rsidR="00B21EAD">
        <w:fldChar w:fldCharType="end"/>
      </w:r>
      <w:r w:rsidR="00C839F8" w:rsidRPr="00C839F8">
        <w:t>)</w:t>
      </w:r>
      <w:r w:rsidR="00132B90">
        <w:t xml:space="preserve">, decline in </w:t>
      </w:r>
      <w:r w:rsidR="00B21EAD">
        <w:t>the rate</w:t>
      </w:r>
      <w:r w:rsidR="00132B90">
        <w:t xml:space="preserve"> of coral cover increase</w:t>
      </w:r>
      <w:r w:rsidR="00B21EAD">
        <w:t>,</w:t>
      </w:r>
      <w:r w:rsidR="00132B90">
        <w:t xml:space="preserve"> and a slight shifts in coral community composition toward those more typical of turbid and nutrient rich habitats</w:t>
      </w:r>
      <w:r w:rsidR="00B21EAD">
        <w:t>,</w:t>
      </w:r>
      <w:r w:rsidR="00132B90">
        <w:t xml:space="preserve"> all </w:t>
      </w:r>
      <w:r w:rsidR="00C839F8" w:rsidRPr="00C839F8">
        <w:t>coincided with</w:t>
      </w:r>
      <w:r w:rsidR="00132B90">
        <w:t xml:space="preserve"> a period of high </w:t>
      </w:r>
      <w:r w:rsidR="00C839F8" w:rsidRPr="00C839F8">
        <w:t>discharge of the Burdekin River (</w:t>
      </w:r>
      <w:r w:rsidR="00715958">
        <w:fldChar w:fldCharType="begin"/>
      </w:r>
      <w:r w:rsidR="00715958">
        <w:instrText xml:space="preserve"> REF _Ref438120590 \h </w:instrText>
      </w:r>
      <w:r w:rsidR="00715958">
        <w:fldChar w:fldCharType="separate"/>
      </w:r>
      <w:r w:rsidR="00B61881">
        <w:t xml:space="preserve">Figure </w:t>
      </w:r>
      <w:r w:rsidR="00B61881">
        <w:rPr>
          <w:noProof/>
        </w:rPr>
        <w:t>10</w:t>
      </w:r>
      <w:r w:rsidR="00715958">
        <w:fldChar w:fldCharType="end"/>
      </w:r>
      <w:r w:rsidR="006561AA">
        <w:t>d</w:t>
      </w:r>
      <w:r w:rsidR="00B21EAD">
        <w:t xml:space="preserve">, </w:t>
      </w:r>
      <w:r w:rsidR="00B21EAD">
        <w:fldChar w:fldCharType="begin"/>
      </w:r>
      <w:r w:rsidR="00B21EAD">
        <w:instrText xml:space="preserve"> REF _Ref460423784 \h </w:instrText>
      </w:r>
      <w:r w:rsidR="00B21EAD">
        <w:fldChar w:fldCharType="separate"/>
      </w:r>
      <w:r w:rsidR="00B61881">
        <w:t xml:space="preserve">Table A </w:t>
      </w:r>
      <w:r w:rsidR="00B61881">
        <w:rPr>
          <w:noProof/>
        </w:rPr>
        <w:t>1</w:t>
      </w:r>
      <w:r w:rsidR="00B21EAD">
        <w:fldChar w:fldCharType="end"/>
      </w:r>
      <w:r w:rsidR="00C839F8" w:rsidRPr="00C839F8">
        <w:t xml:space="preserve">) suggest the ongoing selection </w:t>
      </w:r>
      <w:r w:rsidR="00AD507D">
        <w:t>against species in</w:t>
      </w:r>
      <w:r w:rsidR="0039303A">
        <w:t>sensitive to</w:t>
      </w:r>
      <w:r w:rsidR="00C839F8" w:rsidRPr="00C839F8">
        <w:t xml:space="preserve"> the elevated levels of pollutants delivered in flood plumes. </w:t>
      </w:r>
      <w:r w:rsidR="00190BCA">
        <w:t>C</w:t>
      </w:r>
      <w:r w:rsidR="00B71E5C">
        <w:t xml:space="preserve">ompounding the periodic impacts of poor water quality is that </w:t>
      </w:r>
      <w:r w:rsidR="00190BCA">
        <w:t xml:space="preserve">densities of juvenile corals </w:t>
      </w:r>
      <w:r w:rsidR="00132B90">
        <w:t>are regionally low</w:t>
      </w:r>
      <w:r w:rsidR="00B21EAD">
        <w:t xml:space="preserve"> (</w:t>
      </w:r>
      <w:r w:rsidR="00B21EAD">
        <w:fldChar w:fldCharType="begin"/>
      </w:r>
      <w:r w:rsidR="00B21EAD">
        <w:instrText xml:space="preserve"> REF _Ref438120796 \h </w:instrText>
      </w:r>
      <w:r w:rsidR="00B21EAD">
        <w:fldChar w:fldCharType="separate"/>
      </w:r>
      <w:r w:rsidR="00B61881">
        <w:t xml:space="preserve">Figure </w:t>
      </w:r>
      <w:r w:rsidR="00B61881">
        <w:rPr>
          <w:noProof/>
        </w:rPr>
        <w:t>11</w:t>
      </w:r>
      <w:r w:rsidR="00B21EAD">
        <w:fldChar w:fldCharType="end"/>
      </w:r>
      <w:r w:rsidR="00B21EAD">
        <w:t>d)</w:t>
      </w:r>
      <w:r w:rsidR="0039303A">
        <w:t>. H</w:t>
      </w:r>
      <w:r w:rsidR="0039303A" w:rsidRPr="002A5249">
        <w:t xml:space="preserve">ydrodynamic modelling (Luick </w:t>
      </w:r>
      <w:r w:rsidR="0039303A" w:rsidRPr="002A5249">
        <w:rPr>
          <w:i/>
        </w:rPr>
        <w:t>et al.</w:t>
      </w:r>
      <w:r w:rsidR="0039303A" w:rsidRPr="002A5249">
        <w:t xml:space="preserve"> 2007, Connie 2.0</w:t>
      </w:r>
      <w:r w:rsidR="0039303A" w:rsidRPr="002A5249">
        <w:rPr>
          <w:vertAlign w:val="superscript"/>
        </w:rPr>
        <w:footnoteReference w:id="1"/>
      </w:r>
      <w:r w:rsidR="0039303A" w:rsidRPr="002A5249">
        <w:t xml:space="preserve">) and differences in population genetics of corals (Mackenzie </w:t>
      </w:r>
      <w:r w:rsidR="0039303A" w:rsidRPr="002A5249">
        <w:rPr>
          <w:i/>
        </w:rPr>
        <w:t>et al.</w:t>
      </w:r>
      <w:r w:rsidR="0039303A" w:rsidRPr="002A5249">
        <w:t xml:space="preserve"> 2004) indicates limited connectivity between Halifax Bay and reefs further offshore. This isolation, coupled with the widespread loss of cover in 1998 and 2002 as a result of thermal bleaching (Berkelmans </w:t>
      </w:r>
      <w:r w:rsidR="0039303A" w:rsidRPr="002A5249">
        <w:rPr>
          <w:i/>
        </w:rPr>
        <w:t>et al</w:t>
      </w:r>
      <w:r w:rsidR="0039303A" w:rsidRPr="002A5249">
        <w:t xml:space="preserve">. 2004, Sweatman </w:t>
      </w:r>
      <w:r w:rsidR="0039303A" w:rsidRPr="002A5249">
        <w:rPr>
          <w:i/>
        </w:rPr>
        <w:t>et al</w:t>
      </w:r>
      <w:r w:rsidR="0039303A" w:rsidRPr="002A5249">
        <w:t xml:space="preserve">. 2007, </w:t>
      </w:r>
      <w:r w:rsidR="006A31B8" w:rsidRPr="006A31B8">
        <w:fldChar w:fldCharType="begin"/>
      </w:r>
      <w:r w:rsidR="006A31B8" w:rsidRPr="006A31B8">
        <w:instrText xml:space="preserve"> REF _Ref460423821 \h </w:instrText>
      </w:r>
      <w:r w:rsidR="006A31B8">
        <w:instrText xml:space="preserve"> \* MERGEFORMAT </w:instrText>
      </w:r>
      <w:r w:rsidR="006A31B8" w:rsidRPr="006A31B8">
        <w:fldChar w:fldCharType="separate"/>
      </w:r>
      <w:r w:rsidR="00B61881" w:rsidRPr="00B61881">
        <w:rPr>
          <w:rFonts w:eastAsia="SimSun"/>
        </w:rPr>
        <w:t>Table A 2</w:t>
      </w:r>
      <w:r w:rsidR="006A31B8" w:rsidRPr="006A31B8">
        <w:fldChar w:fldCharType="end"/>
      </w:r>
      <w:r w:rsidR="0039303A" w:rsidRPr="00D646D6">
        <w:t>)</w:t>
      </w:r>
      <w:r w:rsidR="00B21EAD">
        <w:t xml:space="preserve"> may explain the</w:t>
      </w:r>
      <w:r w:rsidR="0039303A" w:rsidRPr="002A5249">
        <w:t xml:space="preserve"> low densities of juvenile colonies observed (Done </w:t>
      </w:r>
      <w:r w:rsidR="0039303A" w:rsidRPr="002A5249">
        <w:rPr>
          <w:i/>
        </w:rPr>
        <w:t>et al.</w:t>
      </w:r>
      <w:r w:rsidR="0039303A" w:rsidRPr="002A5249">
        <w:t xml:space="preserve"> 2007, Sweatman </w:t>
      </w:r>
      <w:r w:rsidR="0039303A" w:rsidRPr="002A5249">
        <w:rPr>
          <w:i/>
        </w:rPr>
        <w:t>et al</w:t>
      </w:r>
      <w:r w:rsidR="0039303A" w:rsidRPr="002A5249">
        <w:t xml:space="preserve">. 2007). In late 2010, we recorded a strong settlement pulse of </w:t>
      </w:r>
      <w:r w:rsidR="0039303A" w:rsidRPr="002A5249">
        <w:rPr>
          <w:i/>
        </w:rPr>
        <w:t>Acropora</w:t>
      </w:r>
      <w:r w:rsidR="0039303A" w:rsidRPr="002A5249">
        <w:t xml:space="preserve"> to settlement tiles, potentially indicating that atypical currents provided greater connectivity to more distant brood-stock in that year (see case study in Thompson </w:t>
      </w:r>
      <w:r w:rsidR="0039303A" w:rsidRPr="002A5249">
        <w:rPr>
          <w:i/>
        </w:rPr>
        <w:t>et al</w:t>
      </w:r>
      <w:r w:rsidR="0039303A">
        <w:rPr>
          <w:i/>
        </w:rPr>
        <w:t>.</w:t>
      </w:r>
      <w:r w:rsidR="0039303A" w:rsidRPr="002A5249">
        <w:t xml:space="preserve"> 2013). However, their survival and progression into juvenile size classes </w:t>
      </w:r>
      <w:r w:rsidR="0039303A">
        <w:t>w</w:t>
      </w:r>
      <w:r w:rsidR="0039303A" w:rsidRPr="002A5249">
        <w:t xml:space="preserve">as not </w:t>
      </w:r>
      <w:r w:rsidR="0039303A">
        <w:t>strongly</w:t>
      </w:r>
      <w:r w:rsidR="0039303A" w:rsidRPr="002A5249">
        <w:t xml:space="preserve"> apparent (</w:t>
      </w:r>
      <w:r w:rsidR="00B21EAD">
        <w:fldChar w:fldCharType="begin"/>
      </w:r>
      <w:r w:rsidR="00B21EAD">
        <w:instrText xml:space="preserve"> REF _Ref438120796 \h </w:instrText>
      </w:r>
      <w:r w:rsidR="00B21EAD">
        <w:fldChar w:fldCharType="separate"/>
      </w:r>
      <w:r w:rsidR="00B61881">
        <w:t xml:space="preserve">Figure </w:t>
      </w:r>
      <w:r w:rsidR="00B61881">
        <w:rPr>
          <w:noProof/>
        </w:rPr>
        <w:t>11</w:t>
      </w:r>
      <w:r w:rsidR="00B21EAD">
        <w:fldChar w:fldCharType="end"/>
      </w:r>
      <w:r w:rsidR="0039303A" w:rsidRPr="002A5249">
        <w:t>). Recently slight increases in the density of Acroporidae juveniles at Palms East, Lady Elliot (2m), Pandora (5m), and Havannah North</w:t>
      </w:r>
      <w:r w:rsidR="00B21EAD">
        <w:t xml:space="preserve"> (</w:t>
      </w:r>
      <w:r w:rsidR="00B21EAD">
        <w:fldChar w:fldCharType="begin"/>
      </w:r>
      <w:r w:rsidR="00B21EAD">
        <w:instrText xml:space="preserve"> REF _Ref460485785 \h </w:instrText>
      </w:r>
      <w:r w:rsidR="00B21EAD">
        <w:fldChar w:fldCharType="separate"/>
      </w:r>
      <w:r w:rsidR="00B61881">
        <w:t xml:space="preserve">Figure </w:t>
      </w:r>
      <w:proofErr w:type="gramStart"/>
      <w:r w:rsidR="00B61881">
        <w:t>A</w:t>
      </w:r>
      <w:proofErr w:type="gramEnd"/>
      <w:r w:rsidR="00B61881">
        <w:t xml:space="preserve"> </w:t>
      </w:r>
      <w:r w:rsidR="00B61881">
        <w:rPr>
          <w:noProof/>
        </w:rPr>
        <w:t>4</w:t>
      </w:r>
      <w:r w:rsidR="00B21EAD">
        <w:fldChar w:fldCharType="end"/>
      </w:r>
      <w:r w:rsidR="00B21EAD">
        <w:t>)</w:t>
      </w:r>
      <w:r w:rsidR="0039303A" w:rsidRPr="002A5249">
        <w:t xml:space="preserve"> are an encouraging sign that community recovery is underway. </w:t>
      </w:r>
    </w:p>
    <w:p w14:paraId="64900414" w14:textId="77777777" w:rsidR="00DC4665" w:rsidRPr="002A5249" w:rsidRDefault="001252BF" w:rsidP="001252BF">
      <w:pPr>
        <w:jc w:val="left"/>
      </w:pPr>
      <w:r>
        <w:br w:type="page"/>
      </w:r>
    </w:p>
    <w:p w14:paraId="03F95128" w14:textId="77777777" w:rsidR="00F01E19" w:rsidRPr="00701352" w:rsidRDefault="00F352CD" w:rsidP="00F352CD">
      <w:pPr>
        <w:pStyle w:val="Heading2"/>
      </w:pPr>
      <w:bookmarkStart w:id="171" w:name="_Toc437424410"/>
      <w:bookmarkStart w:id="172" w:name="_Toc437424534"/>
      <w:bookmarkStart w:id="173" w:name="_Toc437432465"/>
      <w:bookmarkStart w:id="174" w:name="_Toc437432538"/>
      <w:bookmarkStart w:id="175" w:name="_Toc460490665"/>
      <w:bookmarkStart w:id="176" w:name="_Toc167192445"/>
      <w:bookmarkStart w:id="177" w:name="_Toc167192447"/>
      <w:r>
        <w:lastRenderedPageBreak/>
        <w:t>5</w:t>
      </w:r>
      <w:r w:rsidR="00F01E19" w:rsidRPr="00701352">
        <w:t>.5</w:t>
      </w:r>
      <w:r w:rsidR="00F01E19" w:rsidRPr="00701352">
        <w:tab/>
        <w:t>Mackay Whitsunday Region</w:t>
      </w:r>
      <w:bookmarkEnd w:id="171"/>
      <w:bookmarkEnd w:id="172"/>
      <w:bookmarkEnd w:id="173"/>
      <w:bookmarkEnd w:id="174"/>
      <w:bookmarkEnd w:id="175"/>
      <w:r w:rsidR="00F01E19" w:rsidRPr="00701352">
        <w:t xml:space="preserve"> </w:t>
      </w:r>
    </w:p>
    <w:bookmarkEnd w:id="176"/>
    <w:p w14:paraId="0EAB0F80" w14:textId="77777777" w:rsidR="00F01E19" w:rsidRPr="00661AF9" w:rsidRDefault="00F01E19" w:rsidP="003045D3">
      <w:r>
        <w:t>T</w:t>
      </w:r>
      <w:r w:rsidRPr="00661AF9">
        <w:t xml:space="preserve">he Proserpine, O’Connell, Pioneer and Plane catchments that enter the sea to the south </w:t>
      </w:r>
      <w:r>
        <w:t>are the most direct sources of runoff</w:t>
      </w:r>
      <w:r w:rsidRPr="00661AF9">
        <w:t xml:space="preserve">. The region is also potentially influenced by runoff from the Burdekin and Fitzroy rivers during extreme events or through longer-term transport and mixing. </w:t>
      </w:r>
      <w:r w:rsidR="00085A53">
        <w:t>L</w:t>
      </w:r>
      <w:r w:rsidRPr="00661AF9">
        <w:t xml:space="preserve">and </w:t>
      </w:r>
      <w:r w:rsidR="00085A53">
        <w:t>in this region is</w:t>
      </w:r>
      <w:r w:rsidRPr="00661AF9">
        <w:t xml:space="preserve"> dominated by agriculture broadly divided into grazing in the upper catchments and sugarcane cultivation on the coastal plains (Brodie </w:t>
      </w:r>
      <w:r w:rsidRPr="00661AF9">
        <w:rPr>
          <w:i/>
        </w:rPr>
        <w:t>et al.</w:t>
      </w:r>
      <w:r w:rsidRPr="00661AF9">
        <w:t xml:space="preserve"> 2003, GBRMPA 2012). In addition, there are expanding urban areas along the coast. </w:t>
      </w:r>
    </w:p>
    <w:p w14:paraId="537E5C2B" w14:textId="77777777" w:rsidR="005E7FC8" w:rsidRPr="009155F8" w:rsidRDefault="00523D87" w:rsidP="009155F8">
      <w:pPr>
        <w:spacing w:before="5"/>
        <w:ind w:left="5" w:right="5"/>
        <w:jc w:val="center"/>
        <w:rPr>
          <w:color w:val="0070C0"/>
        </w:rPr>
      </w:pPr>
      <w:r>
        <w:rPr>
          <w:noProof/>
          <w:color w:val="0070C0"/>
          <w:lang w:val="en-AU" w:eastAsia="en-AU"/>
        </w:rPr>
        <w:drawing>
          <wp:inline distT="0" distB="0" distL="0" distR="0" wp14:anchorId="57317639" wp14:editId="1F914B04">
            <wp:extent cx="6120765" cy="6120765"/>
            <wp:effectExtent l="0" t="0" r="0" b="0"/>
            <wp:docPr id="241" name="Picture 241" descr="Figure 12: Whitsunday Mackay Region reef locations, environmental conditions and disturbances. A composite figure with four panels  a) Location of monitoring sites red symbols MMP, black symbols LTMP, mean exposure to secondary plume type waters (Álvarez-Romero et al. 2013) during the wet season: December to March, over the period 2003-2015 indicated by colour. b) break-down and level of disturbances causing loss of hard coral cover over the period 2005-2015, level of disturbance is scaled to the maximum disturbance rate of 16% reduction in hard coral per year that occurred in the Tully Herbert sub-region (outer black ring), loss due to disturbance type ‘none’ reflects a short fall in rate of cover increase during years free from acute disturbances. c) Seasonally adjusted temperature deviation, timing of cyclones and storms indicated by black arrows, accumulated degree heating days over the summer (1st December to 31 March) each year indicated by black symbols, d) Combined daily (blue) and annual (red) discharge for the O’Connell and Pioneer rivers, red dashed line represents long-term median discharge (1970-2000). " title="Figure 12: Whitsunday Mackay Region reef locations, environmental conditions and disturba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env_Mackay_Whitsunday.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31A2C014" w14:textId="77777777" w:rsidR="006B3B22" w:rsidRPr="006B3B22" w:rsidRDefault="006B3B22" w:rsidP="00E56CF1">
      <w:pPr>
        <w:pStyle w:val="Caption"/>
        <w:rPr>
          <w:rStyle w:val="IntenseReference"/>
          <w:rFonts w:eastAsia="SimSun"/>
          <w:vanish/>
        </w:rPr>
      </w:pPr>
      <w:bookmarkStart w:id="178" w:name="_Ref438121092"/>
      <w:bookmarkStart w:id="179" w:name="_Toc437597639"/>
      <w:bookmarkStart w:id="180" w:name="_Toc460490781"/>
      <w:bookmarkStart w:id="181" w:name="_Toc437423857"/>
      <w:bookmarkStart w:id="182" w:name="_Toc437424036"/>
      <w:bookmarkStart w:id="183" w:name="_Toc437424305"/>
      <w:r>
        <w:t xml:space="preserve">Figure </w:t>
      </w:r>
      <w:r w:rsidR="005D2F9F">
        <w:fldChar w:fldCharType="begin"/>
      </w:r>
      <w:r w:rsidR="005D2F9F">
        <w:instrText xml:space="preserve"> SEQ Figure \* ARABIC </w:instrText>
      </w:r>
      <w:r w:rsidR="005D2F9F">
        <w:fldChar w:fldCharType="separate"/>
      </w:r>
      <w:r w:rsidR="00B61881">
        <w:rPr>
          <w:noProof/>
        </w:rPr>
        <w:t>12</w:t>
      </w:r>
      <w:r w:rsidR="005D2F9F">
        <w:rPr>
          <w:noProof/>
        </w:rPr>
        <w:fldChar w:fldCharType="end"/>
      </w:r>
      <w:bookmarkEnd w:id="178"/>
      <w:r>
        <w:t xml:space="preserve">: </w:t>
      </w:r>
      <w:r w:rsidR="005E7FC8" w:rsidRPr="009155F8">
        <w:t>Whitsunday Mackay Region reef locations, environmental conditions</w:t>
      </w:r>
      <w:r w:rsidR="005E7FC8" w:rsidRPr="00BB6D1F">
        <w:t xml:space="preserve"> </w:t>
      </w:r>
      <w:r w:rsidR="005E7FC8" w:rsidRPr="009155F8">
        <w:rPr>
          <w:rStyle w:val="IntenseReference"/>
          <w:rFonts w:eastAsia="SimSun"/>
        </w:rPr>
        <w:t>and disturbances</w:t>
      </w:r>
      <w:bookmarkEnd w:id="179"/>
      <w:bookmarkEnd w:id="180"/>
    </w:p>
    <w:p w14:paraId="4BAF8CAB" w14:textId="77777777" w:rsidR="00DB0747" w:rsidRDefault="005E7FC8" w:rsidP="00E56CF1">
      <w:pPr>
        <w:pStyle w:val="Caption"/>
        <w:rPr>
          <w:rStyle w:val="IntenseReference"/>
          <w:rFonts w:eastAsia="SimSun"/>
        </w:rPr>
      </w:pPr>
      <w:bookmarkStart w:id="184" w:name="_Toc437597640"/>
      <w:r w:rsidRPr="00BB6D1F">
        <w:t>.</w:t>
      </w:r>
      <w:bookmarkEnd w:id="181"/>
      <w:bookmarkEnd w:id="182"/>
      <w:bookmarkEnd w:id="183"/>
      <w:r w:rsidRPr="00BB6D1F">
        <w:t xml:space="preserve"> </w:t>
      </w:r>
      <w:bookmarkStart w:id="185" w:name="_Toc437424306"/>
      <w:bookmarkStart w:id="186" w:name="_Toc437432359"/>
      <w:r w:rsidR="006561AA">
        <w:t>a)</w:t>
      </w:r>
      <w:r w:rsidR="0054101D">
        <w:t xml:space="preserve"> </w:t>
      </w:r>
      <w:r w:rsidRPr="00BB6D1F">
        <w:rPr>
          <w:rStyle w:val="IntenseReference"/>
          <w:rFonts w:eastAsia="SimSun"/>
        </w:rPr>
        <w:t xml:space="preserve">Location of monitoring sites red symbols MMP, black symbols LTMP, mean exposure to secondary plume type waters (Álvarez-Romero </w:t>
      </w:r>
      <w:r w:rsidRPr="00051C52">
        <w:rPr>
          <w:rStyle w:val="IntenseReference"/>
          <w:rFonts w:eastAsia="SimSun"/>
          <w:i/>
        </w:rPr>
        <w:t>et al.</w:t>
      </w:r>
      <w:r w:rsidRPr="00BB6D1F">
        <w:rPr>
          <w:rStyle w:val="IntenseReference"/>
          <w:rFonts w:eastAsia="SimSun"/>
        </w:rPr>
        <w:t xml:space="preserve"> 2013) during the wet season: December to March, over the period 2003-2015 indicated by colour. b) break-down and level of disturbances causing loss of hard coral cover</w:t>
      </w:r>
      <w:r w:rsidR="00646DCA">
        <w:rPr>
          <w:rStyle w:val="IntenseReference"/>
          <w:rFonts w:eastAsia="SimSun"/>
        </w:rPr>
        <w:t xml:space="preserve"> over the period 2005-2015</w:t>
      </w:r>
      <w:r w:rsidRPr="00BB6D1F">
        <w:rPr>
          <w:rStyle w:val="IntenseReference"/>
          <w:rFonts w:eastAsia="SimSun"/>
        </w:rPr>
        <w:t xml:space="preserve">, level of disturbance is scaled to the maximum disturbance rate of 16% reduction in hard coral per year that occurred in the Tully Herbert sub-region (outer black ring), loss due to disturbance type ‘none’ reflects a </w:t>
      </w:r>
      <w:r w:rsidR="00A77C75">
        <w:rPr>
          <w:rStyle w:val="IntenseReference"/>
          <w:rFonts w:eastAsia="SimSun"/>
        </w:rPr>
        <w:t>shortfall</w:t>
      </w:r>
      <w:r w:rsidRPr="00BB6D1F">
        <w:rPr>
          <w:rStyle w:val="IntenseReference"/>
          <w:rFonts w:eastAsia="SimSun"/>
        </w:rPr>
        <w:t xml:space="preserve"> in rate of cover increase during years free from acute disturbances. c) Seasonally adjusted temperature deviation, timing of cyclones and storms indicated by black arrows, accumulated degree heating days over the summer </w:t>
      </w:r>
      <w:r w:rsidR="00C40387">
        <w:rPr>
          <w:rStyle w:val="IntenseReference"/>
          <w:rFonts w:eastAsia="SimSun"/>
        </w:rPr>
        <w:t>(1</w:t>
      </w:r>
      <w:r w:rsidR="00C40387" w:rsidRPr="00C40387">
        <w:rPr>
          <w:rStyle w:val="IntenseReference"/>
          <w:rFonts w:eastAsia="SimSun"/>
          <w:vertAlign w:val="superscript"/>
        </w:rPr>
        <w:t>st</w:t>
      </w:r>
      <w:r w:rsidR="00C40387">
        <w:rPr>
          <w:rStyle w:val="IntenseReference"/>
          <w:rFonts w:eastAsia="SimSun"/>
        </w:rPr>
        <w:t xml:space="preserve"> December </w:t>
      </w:r>
      <w:r w:rsidRPr="00BB6D1F">
        <w:rPr>
          <w:rStyle w:val="IntenseReference"/>
          <w:rFonts w:eastAsia="SimSun"/>
        </w:rPr>
        <w:t>to 31 March</w:t>
      </w:r>
      <w:r w:rsidR="00C40387">
        <w:rPr>
          <w:rStyle w:val="IntenseReference"/>
          <w:rFonts w:eastAsia="SimSun"/>
        </w:rPr>
        <w:t>)</w:t>
      </w:r>
      <w:r w:rsidRPr="00BB6D1F">
        <w:rPr>
          <w:rStyle w:val="IntenseReference"/>
          <w:rFonts w:eastAsia="SimSun"/>
        </w:rPr>
        <w:t xml:space="preserve"> each year indicated by black symbols, d) Combined daily (blue) and annual (red) discharge for the O’Connell and Pioneer rivers, red dashed line represents long-term median discharge (1970-2000).</w:t>
      </w:r>
      <w:bookmarkEnd w:id="184"/>
      <w:bookmarkEnd w:id="185"/>
      <w:bookmarkEnd w:id="186"/>
      <w:r w:rsidRPr="00BB6D1F">
        <w:rPr>
          <w:rStyle w:val="IntenseReference"/>
          <w:rFonts w:eastAsia="SimSun"/>
        </w:rPr>
        <w:t xml:space="preserve"> </w:t>
      </w:r>
    </w:p>
    <w:p w14:paraId="28B447F3" w14:textId="77777777" w:rsidR="006561AA" w:rsidRPr="006561AA" w:rsidRDefault="006561AA" w:rsidP="006561AA"/>
    <w:p w14:paraId="2739083A" w14:textId="77777777" w:rsidR="000C6FCB" w:rsidRDefault="000C6FCB" w:rsidP="000C6FCB">
      <w:r>
        <w:lastRenderedPageBreak/>
        <w:t>The coral communities in this r</w:t>
      </w:r>
      <w:r w:rsidRPr="00661AF9">
        <w:t>egion</w:t>
      </w:r>
      <w:r w:rsidR="00393289">
        <w:t xml:space="preserve"> (Figure 12a)</w:t>
      </w:r>
      <w:r w:rsidRPr="00661AF9">
        <w:t xml:space="preserve"> have had the lowest exposure to disturbance</w:t>
      </w:r>
      <w:r>
        <w:t xml:space="preserve">s of any of the regions reported </w:t>
      </w:r>
      <w:r w:rsidRPr="00661AF9">
        <w:t>(</w:t>
      </w:r>
      <w:r w:rsidR="00715958">
        <w:fldChar w:fldCharType="begin"/>
      </w:r>
      <w:r w:rsidR="00715958">
        <w:instrText xml:space="preserve"> REF _Ref438121092 \h </w:instrText>
      </w:r>
      <w:r w:rsidR="00715958">
        <w:fldChar w:fldCharType="separate"/>
      </w:r>
      <w:r w:rsidR="00B61881">
        <w:t xml:space="preserve">Figure </w:t>
      </w:r>
      <w:r w:rsidR="00B61881">
        <w:rPr>
          <w:noProof/>
        </w:rPr>
        <w:t>12</w:t>
      </w:r>
      <w:r w:rsidR="00715958">
        <w:fldChar w:fldCharType="end"/>
      </w:r>
      <w:r w:rsidRPr="00661AF9">
        <w:t>b). Temperature records since 2005 show no extreme temperature events that would have led to coral bleaching (</w:t>
      </w:r>
      <w:r w:rsidR="00715958">
        <w:fldChar w:fldCharType="begin"/>
      </w:r>
      <w:r w:rsidR="00715958">
        <w:instrText xml:space="preserve"> REF _Ref438121092 \h </w:instrText>
      </w:r>
      <w:r w:rsidR="00715958">
        <w:fldChar w:fldCharType="separate"/>
      </w:r>
      <w:r w:rsidR="00B61881">
        <w:t xml:space="preserve">Figure </w:t>
      </w:r>
      <w:r w:rsidR="00B61881">
        <w:rPr>
          <w:noProof/>
        </w:rPr>
        <w:t>12</w:t>
      </w:r>
      <w:r w:rsidR="00715958">
        <w:fldChar w:fldCharType="end"/>
      </w:r>
      <w:r>
        <w:t>c)</w:t>
      </w:r>
      <w:r w:rsidR="00393289">
        <w:t xml:space="preserve"> though </w:t>
      </w:r>
      <w:r>
        <w:t xml:space="preserve"> aerial surveys indicated extensive bleaching in the Whitsunday Islands </w:t>
      </w:r>
      <w:r w:rsidR="00393289">
        <w:t xml:space="preserve">in both 1998 and 2002 </w:t>
      </w:r>
      <w:r>
        <w:t xml:space="preserve">(Berkelmans </w:t>
      </w:r>
      <w:r w:rsidRPr="002610A3">
        <w:rPr>
          <w:i/>
        </w:rPr>
        <w:t>et al.</w:t>
      </w:r>
      <w:r>
        <w:t xml:space="preserve"> 2004,</w:t>
      </w:r>
      <w:r w:rsidR="00D36497">
        <w:t xml:space="preserve"> </w:t>
      </w:r>
      <w:r w:rsidR="00D36497" w:rsidRPr="00D36497">
        <w:fldChar w:fldCharType="begin"/>
      </w:r>
      <w:r w:rsidR="00D36497" w:rsidRPr="00D36497">
        <w:instrText xml:space="preserve"> REF _Ref460423821 \h </w:instrText>
      </w:r>
      <w:r w:rsidR="00D36497">
        <w:instrText xml:space="preserve"> \* MERGEFORMAT </w:instrText>
      </w:r>
      <w:r w:rsidR="00D36497" w:rsidRPr="00D36497">
        <w:fldChar w:fldCharType="separate"/>
      </w:r>
      <w:r w:rsidR="00B61881" w:rsidRPr="00B61881">
        <w:rPr>
          <w:rFonts w:eastAsia="SimSun"/>
        </w:rPr>
        <w:t>Table A 2</w:t>
      </w:r>
      <w:r w:rsidR="00D36497" w:rsidRPr="00D36497">
        <w:fldChar w:fldCharType="end"/>
      </w:r>
      <w:r w:rsidRPr="00D36497">
        <w:t>)</w:t>
      </w:r>
      <w:r>
        <w:t xml:space="preserve">. </w:t>
      </w:r>
      <w:r w:rsidRPr="00DE6E6B">
        <w:t xml:space="preserve">Observations from Dent and Daydream suggest an approximate 40% reduction in coral cover </w:t>
      </w:r>
      <w:r>
        <w:t xml:space="preserve">in shallow waters </w:t>
      </w:r>
      <w:r w:rsidRPr="00DE6E6B">
        <w:t xml:space="preserve">during 1998, while observations from AIMS LTMP monitoring sites </w:t>
      </w:r>
      <w:r>
        <w:t>further off shore and at depths of 6-8m record only marginal reductions</w:t>
      </w:r>
      <w:r w:rsidRPr="00DE6E6B">
        <w:t xml:space="preserve"> (Sweatman </w:t>
      </w:r>
      <w:r w:rsidRPr="00DE6E6B">
        <w:rPr>
          <w:i/>
        </w:rPr>
        <w:t>et al.</w:t>
      </w:r>
      <w:r w:rsidRPr="00DE6E6B">
        <w:t xml:space="preserve"> 2007). </w:t>
      </w:r>
    </w:p>
    <w:p w14:paraId="51FD4F78" w14:textId="77777777" w:rsidR="000C6FCB" w:rsidRDefault="000C6FCB" w:rsidP="00085A53">
      <w:r>
        <w:t>COTS outbreaks have not severely influenced any of the monitoring sites, though COTS have been observed in low numbers around Langford and Bird and also Hayman (pers. obs.) in the mid 1990’s with feeding scars also observed at LTMP sites in 2015.</w:t>
      </w:r>
    </w:p>
    <w:p w14:paraId="7DDE837C" w14:textId="77777777" w:rsidR="000C6FCB" w:rsidRDefault="000C6FCB" w:rsidP="00085A53">
      <w:r>
        <w:t>The most severe acute disturbance to coral communities</w:t>
      </w:r>
      <w:r w:rsidR="00393289">
        <w:t xml:space="preserve"> since monitoring began in 1992</w:t>
      </w:r>
      <w:r>
        <w:t xml:space="preserve"> was caused by Cyclones Ului in 2010. Loss of cover during the cyclone was highly variable ranging 53 % of coral cover lost at Daydream (5m), where stands of the fragile branching </w:t>
      </w:r>
      <w:r w:rsidRPr="005B473A">
        <w:rPr>
          <w:i/>
        </w:rPr>
        <w:t>Acropora</w:t>
      </w:r>
      <w:r>
        <w:t xml:space="preserve"> where patchily damaged though to no or negligible impacts at reefs sheltered from the storm (</w:t>
      </w:r>
      <w:r w:rsidR="00715958">
        <w:fldChar w:fldCharType="begin"/>
      </w:r>
      <w:r w:rsidR="00715958">
        <w:instrText xml:space="preserve"> REF _Ref438121092 \h </w:instrText>
      </w:r>
      <w:r w:rsidR="00715958">
        <w:fldChar w:fldCharType="separate"/>
      </w:r>
      <w:r w:rsidR="00B61881">
        <w:t xml:space="preserve">Figure </w:t>
      </w:r>
      <w:r w:rsidR="00B61881">
        <w:rPr>
          <w:noProof/>
        </w:rPr>
        <w:t>12</w:t>
      </w:r>
      <w:r w:rsidR="00715958">
        <w:fldChar w:fldCharType="end"/>
      </w:r>
      <w:r>
        <w:t>b</w:t>
      </w:r>
      <w:r w:rsidR="00D36497">
        <w:t xml:space="preserve">, </w:t>
      </w:r>
      <w:r w:rsidR="00D36497">
        <w:fldChar w:fldCharType="begin"/>
      </w:r>
      <w:r w:rsidR="00D36497">
        <w:instrText xml:space="preserve"> REF _Ref460486933 \h </w:instrText>
      </w:r>
      <w:r w:rsidR="00D36497">
        <w:fldChar w:fldCharType="separate"/>
      </w:r>
      <w:r w:rsidR="00B61881">
        <w:t xml:space="preserve">Figure A </w:t>
      </w:r>
      <w:r w:rsidR="00B61881">
        <w:rPr>
          <w:noProof/>
        </w:rPr>
        <w:t>5</w:t>
      </w:r>
      <w:r w:rsidR="00D36497">
        <w:fldChar w:fldCharType="end"/>
      </w:r>
      <w:r w:rsidR="00D36497">
        <w:t>).</w:t>
      </w:r>
      <w:r>
        <w:t xml:space="preserve"> </w:t>
      </w:r>
    </w:p>
    <w:p w14:paraId="5C672488" w14:textId="77777777" w:rsidR="000C6FCB" w:rsidRDefault="000C6FCB" w:rsidP="00085A53">
      <w:r>
        <w:t>O</w:t>
      </w:r>
      <w:r w:rsidRPr="00661AF9">
        <w:t>ver the period 2007 to 2013, annual discharge from the O’Connell and Pioneer rivers was above median levels (</w:t>
      </w:r>
      <w:r w:rsidR="00715958">
        <w:fldChar w:fldCharType="begin"/>
      </w:r>
      <w:r w:rsidR="00715958">
        <w:instrText xml:space="preserve"> REF _Ref438121092 \h </w:instrText>
      </w:r>
      <w:r w:rsidR="00715958">
        <w:fldChar w:fldCharType="separate"/>
      </w:r>
      <w:r w:rsidR="00B61881">
        <w:t xml:space="preserve">Figure </w:t>
      </w:r>
      <w:r w:rsidR="00B61881">
        <w:rPr>
          <w:noProof/>
        </w:rPr>
        <w:t>12</w:t>
      </w:r>
      <w:r w:rsidR="00715958">
        <w:fldChar w:fldCharType="end"/>
      </w:r>
      <w:r w:rsidRPr="00661AF9">
        <w:t>d,</w:t>
      </w:r>
      <w:r w:rsidR="00D36497">
        <w:t xml:space="preserve"> </w:t>
      </w:r>
      <w:r w:rsidR="00D36497">
        <w:fldChar w:fldCharType="begin"/>
      </w:r>
      <w:r w:rsidR="00D36497">
        <w:instrText xml:space="preserve"> REF _Ref460423784 \h </w:instrText>
      </w:r>
      <w:r w:rsidR="00D36497">
        <w:fldChar w:fldCharType="separate"/>
      </w:r>
      <w:r w:rsidR="00B61881">
        <w:t xml:space="preserve">Table </w:t>
      </w:r>
      <w:proofErr w:type="gramStart"/>
      <w:r w:rsidR="00B61881">
        <w:t>A</w:t>
      </w:r>
      <w:proofErr w:type="gramEnd"/>
      <w:r w:rsidR="00B61881">
        <w:t xml:space="preserve"> </w:t>
      </w:r>
      <w:r w:rsidR="00B61881">
        <w:rPr>
          <w:noProof/>
        </w:rPr>
        <w:t>1</w:t>
      </w:r>
      <w:r w:rsidR="00D36497">
        <w:fldChar w:fldCharType="end"/>
      </w:r>
      <w:r w:rsidR="00D36497">
        <w:t>)</w:t>
      </w:r>
      <w:r w:rsidRPr="00661AF9">
        <w:t xml:space="preserve">. The 2011 flood was the third largest on record for the O’Connell River. </w:t>
      </w:r>
      <w:r>
        <w:t xml:space="preserve">The onset of this period of high discharge </w:t>
      </w:r>
      <w:r w:rsidR="00D36497">
        <w:t xml:space="preserve">carrying </w:t>
      </w:r>
      <w:r>
        <w:t xml:space="preserve">elevated loads of nutrients and sediments (Turner </w:t>
      </w:r>
      <w:r w:rsidRPr="004C283C">
        <w:rPr>
          <w:i/>
        </w:rPr>
        <w:t>et al.</w:t>
      </w:r>
      <w:r>
        <w:t xml:space="preserve"> 2012, 2013, Wallace </w:t>
      </w:r>
      <w:r w:rsidRPr="004C283C">
        <w:rPr>
          <w:i/>
        </w:rPr>
        <w:t>et al</w:t>
      </w:r>
      <w:r>
        <w:t>. 2014, 2015) w</w:t>
      </w:r>
      <w:r w:rsidR="00D36497">
        <w:t>as</w:t>
      </w:r>
      <w:r w:rsidRPr="000F0421">
        <w:t xml:space="preserve"> </w:t>
      </w:r>
      <w:r w:rsidRPr="00661AF9">
        <w:t xml:space="preserve">accompanied by </w:t>
      </w:r>
      <w:r>
        <w:t xml:space="preserve">elevated incidence of coral </w:t>
      </w:r>
      <w:r w:rsidRPr="00661AF9">
        <w:t>disease</w:t>
      </w:r>
      <w:r w:rsidR="00D36497">
        <w:t xml:space="preserve"> (</w:t>
      </w:r>
      <w:r w:rsidR="00D36497">
        <w:fldChar w:fldCharType="begin"/>
      </w:r>
      <w:r w:rsidR="00D36497">
        <w:instrText xml:space="preserve"> REF _Ref460423979 \h </w:instrText>
      </w:r>
      <w:r w:rsidR="00D36497">
        <w:fldChar w:fldCharType="separate"/>
      </w:r>
      <w:r w:rsidR="00B61881">
        <w:t xml:space="preserve">Figure </w:t>
      </w:r>
      <w:proofErr w:type="gramStart"/>
      <w:r w:rsidR="00B61881">
        <w:t>A</w:t>
      </w:r>
      <w:proofErr w:type="gramEnd"/>
      <w:r w:rsidR="00B61881">
        <w:t xml:space="preserve"> </w:t>
      </w:r>
      <w:r w:rsidR="00B61881">
        <w:rPr>
          <w:noProof/>
        </w:rPr>
        <w:t>7</w:t>
      </w:r>
      <w:r w:rsidR="00D36497">
        <w:fldChar w:fldCharType="end"/>
      </w:r>
      <w:r w:rsidR="00393289">
        <w:t xml:space="preserve">). </w:t>
      </w:r>
      <w:r w:rsidR="00FA0DDB">
        <w:t xml:space="preserve"> The loss of coral</w:t>
      </w:r>
      <w:r w:rsidR="00D36497">
        <w:t xml:space="preserve"> attributed to floods (</w:t>
      </w:r>
      <w:r w:rsidR="00D36497">
        <w:fldChar w:fldCharType="begin"/>
      </w:r>
      <w:r w:rsidR="00D36497">
        <w:instrText xml:space="preserve"> REF _Ref438121092 \h </w:instrText>
      </w:r>
      <w:r w:rsidR="00D36497">
        <w:fldChar w:fldCharType="separate"/>
      </w:r>
      <w:r w:rsidR="00B61881">
        <w:t xml:space="preserve">Figure </w:t>
      </w:r>
      <w:r w:rsidR="00B61881">
        <w:rPr>
          <w:noProof/>
        </w:rPr>
        <w:t>12</w:t>
      </w:r>
      <w:r w:rsidR="00D36497">
        <w:fldChar w:fldCharType="end"/>
      </w:r>
      <w:r w:rsidR="00FA0DDB">
        <w:t>b) was categorised due to observed high loads of sediments on corals during surveys in 2009. The source of these sediments is not clear as the local rivers did not experience extreme flooding over the preceding summer (</w:t>
      </w:r>
      <w:r w:rsidR="00D36497">
        <w:fldChar w:fldCharType="begin"/>
      </w:r>
      <w:r w:rsidR="00D36497">
        <w:instrText xml:space="preserve"> REF _Ref438121092 \h </w:instrText>
      </w:r>
      <w:r w:rsidR="00D36497">
        <w:fldChar w:fldCharType="separate"/>
      </w:r>
      <w:r w:rsidR="00B61881">
        <w:t xml:space="preserve">Figure </w:t>
      </w:r>
      <w:r w:rsidR="00B61881">
        <w:rPr>
          <w:noProof/>
        </w:rPr>
        <w:t>12</w:t>
      </w:r>
      <w:r w:rsidR="00D36497">
        <w:fldChar w:fldCharType="end"/>
      </w:r>
      <w:r w:rsidR="00FA0DDB">
        <w:t>d). Very high loads of sediments were introduced to the north by the Burdekin River in 2008 and 2009 and to the south by the Fitzroy River in 2008</w:t>
      </w:r>
      <w:r w:rsidR="000D268E">
        <w:t xml:space="preserve"> (Joo </w:t>
      </w:r>
      <w:r w:rsidR="000D268E" w:rsidRPr="00FA06C2">
        <w:rPr>
          <w:i/>
        </w:rPr>
        <w:t>et al.</w:t>
      </w:r>
      <w:r w:rsidR="000D268E">
        <w:t xml:space="preserve"> 2012)</w:t>
      </w:r>
      <w:r w:rsidR="00FA0DDB">
        <w:t xml:space="preserve"> </w:t>
      </w:r>
      <w:r w:rsidR="000D268E">
        <w:t>potentially offering an explanation for the origin of these sediments.</w:t>
      </w:r>
      <w:r w:rsidR="00393289">
        <w:t xml:space="preserve"> </w:t>
      </w:r>
      <w:r w:rsidRPr="00661AF9">
        <w:t>The coral index for the Mackay Whitsunday region maintains a relatively stable profile, with a general assessment of ‘moderate’ (</w:t>
      </w:r>
      <w:r w:rsidR="00715958">
        <w:fldChar w:fldCharType="begin"/>
      </w:r>
      <w:r w:rsidR="00715958">
        <w:instrText xml:space="preserve"> REF _Ref438121221 \h </w:instrText>
      </w:r>
      <w:r w:rsidR="00715958">
        <w:fldChar w:fldCharType="separate"/>
      </w:r>
      <w:r w:rsidR="00B61881">
        <w:t xml:space="preserve">Figure </w:t>
      </w:r>
      <w:r w:rsidR="00B61881">
        <w:rPr>
          <w:noProof/>
        </w:rPr>
        <w:t>13</w:t>
      </w:r>
      <w:r w:rsidR="00715958">
        <w:fldChar w:fldCharType="end"/>
      </w:r>
      <w:r w:rsidRPr="00661AF9">
        <w:t xml:space="preserve">a). </w:t>
      </w:r>
      <w:r>
        <w:t>The generally high cover of corals and correspondingly low representation of macroalgae in the algal communities across the region serve as a base for the continued ‘moderate’ classification (</w:t>
      </w:r>
      <w:r w:rsidR="00715958">
        <w:fldChar w:fldCharType="begin"/>
      </w:r>
      <w:r w:rsidR="00715958">
        <w:instrText xml:space="preserve"> REF _Ref438121221 \h </w:instrText>
      </w:r>
      <w:r w:rsidR="00715958">
        <w:fldChar w:fldCharType="separate"/>
      </w:r>
      <w:r w:rsidR="00B61881">
        <w:t xml:space="preserve">Figure </w:t>
      </w:r>
      <w:r w:rsidR="00B61881">
        <w:rPr>
          <w:noProof/>
        </w:rPr>
        <w:t>13</w:t>
      </w:r>
      <w:r w:rsidR="00715958">
        <w:fldChar w:fldCharType="end"/>
      </w:r>
      <w:r>
        <w:t>b</w:t>
      </w:r>
      <w:proofErr w:type="gramStart"/>
      <w:r>
        <w:t>,c</w:t>
      </w:r>
      <w:proofErr w:type="gramEnd"/>
      <w:r>
        <w:t xml:space="preserve">). </w:t>
      </w:r>
      <w:r w:rsidRPr="00661AF9">
        <w:t xml:space="preserve">The index </w:t>
      </w:r>
      <w:r>
        <w:t>did</w:t>
      </w:r>
      <w:r w:rsidR="007706C0">
        <w:t>,</w:t>
      </w:r>
      <w:r>
        <w:t xml:space="preserve"> however</w:t>
      </w:r>
      <w:r w:rsidR="007706C0">
        <w:t>,</w:t>
      </w:r>
      <w:r>
        <w:t xml:space="preserve"> decline</w:t>
      </w:r>
      <w:r w:rsidRPr="00661AF9">
        <w:t xml:space="preserve"> to a low point in 2012 and has </w:t>
      </w:r>
      <w:r>
        <w:t xml:space="preserve">since </w:t>
      </w:r>
      <w:r w:rsidRPr="00661AF9">
        <w:t xml:space="preserve">recovered to 2008 levels </w:t>
      </w:r>
      <w:r>
        <w:t>in</w:t>
      </w:r>
      <w:r w:rsidRPr="00661AF9">
        <w:t xml:space="preserve"> 2015. </w:t>
      </w:r>
      <w:r w:rsidR="00EF030C">
        <w:t xml:space="preserve">Declines </w:t>
      </w:r>
      <w:proofErr w:type="gramStart"/>
      <w:r w:rsidR="00EF030C">
        <w:t xml:space="preserve">in </w:t>
      </w:r>
      <w:r>
        <w:t xml:space="preserve"> the</w:t>
      </w:r>
      <w:proofErr w:type="gramEnd"/>
      <w:r>
        <w:t xml:space="preserve"> index </w:t>
      </w:r>
      <w:r w:rsidR="00EF030C">
        <w:t>were</w:t>
      </w:r>
      <w:r w:rsidR="00346B37">
        <w:t xml:space="preserve"> influenced by</w:t>
      </w:r>
      <w:r w:rsidR="00EF030C">
        <w:t>;</w:t>
      </w:r>
      <w:r w:rsidR="00346B37">
        <w:t xml:space="preserve"> </w:t>
      </w:r>
      <w:r>
        <w:t xml:space="preserve">Cyclone Ului </w:t>
      </w:r>
      <w:r w:rsidR="00D947C0">
        <w:t>in 2010</w:t>
      </w:r>
      <w:r w:rsidR="00346B37">
        <w:t xml:space="preserve"> that caused a substantial </w:t>
      </w:r>
      <w:r w:rsidR="00EF030C">
        <w:t xml:space="preserve">loss of coral cover </w:t>
      </w:r>
      <w:r w:rsidR="00346B37">
        <w:t>at Daydr</w:t>
      </w:r>
      <w:r w:rsidR="004824E1">
        <w:t>eam</w:t>
      </w:r>
      <w:r w:rsidR="00346B37">
        <w:t xml:space="preserve"> in particular</w:t>
      </w:r>
      <w:r w:rsidR="00D36497">
        <w:t xml:space="preserve"> (</w:t>
      </w:r>
      <w:r w:rsidR="00D36497">
        <w:fldChar w:fldCharType="begin"/>
      </w:r>
      <w:r w:rsidR="00D36497">
        <w:instrText xml:space="preserve"> REF _Ref460486933 \h </w:instrText>
      </w:r>
      <w:r w:rsidR="00D36497">
        <w:fldChar w:fldCharType="separate"/>
      </w:r>
      <w:r w:rsidR="00B61881">
        <w:t xml:space="preserve">Figure A </w:t>
      </w:r>
      <w:r w:rsidR="00B61881">
        <w:rPr>
          <w:noProof/>
        </w:rPr>
        <w:t>5</w:t>
      </w:r>
      <w:r w:rsidR="00D36497">
        <w:fldChar w:fldCharType="end"/>
      </w:r>
      <w:r w:rsidR="00EF030C">
        <w:t>)</w:t>
      </w:r>
      <w:r w:rsidR="00346B37">
        <w:t>, declines in the density of juvenile corals</w:t>
      </w:r>
      <w:r w:rsidR="00D36497">
        <w:t xml:space="preserve"> (</w:t>
      </w:r>
      <w:r w:rsidR="00D36497">
        <w:fldChar w:fldCharType="begin"/>
      </w:r>
      <w:r w:rsidR="00D36497">
        <w:instrText xml:space="preserve"> REF _Ref438121221 \h </w:instrText>
      </w:r>
      <w:r w:rsidR="00D36497">
        <w:fldChar w:fldCharType="separate"/>
      </w:r>
      <w:r w:rsidR="00B61881">
        <w:t xml:space="preserve">Figure </w:t>
      </w:r>
      <w:r w:rsidR="00B61881">
        <w:rPr>
          <w:noProof/>
        </w:rPr>
        <w:t>13</w:t>
      </w:r>
      <w:r w:rsidR="00D36497">
        <w:fldChar w:fldCharType="end"/>
      </w:r>
      <w:r w:rsidR="00EF030C">
        <w:t>d)</w:t>
      </w:r>
      <w:r w:rsidR="00D36497">
        <w:t xml:space="preserve"> and a loss of</w:t>
      </w:r>
      <w:r w:rsidR="00346B37">
        <w:t xml:space="preserve"> sensitive coral species (</w:t>
      </w:r>
      <w:r w:rsidR="00346B37" w:rsidRPr="003C29A8">
        <w:rPr>
          <w:i/>
        </w:rPr>
        <w:t>Acropor</w:t>
      </w:r>
      <w:r w:rsidR="008D3312">
        <w:rPr>
          <w:i/>
        </w:rPr>
        <w:t>idae</w:t>
      </w:r>
      <w:r w:rsidR="00346B37">
        <w:t xml:space="preserve">) </w:t>
      </w:r>
      <w:r w:rsidR="008D3312">
        <w:t xml:space="preserve"> (</w:t>
      </w:r>
      <w:r w:rsidR="008D3312">
        <w:fldChar w:fldCharType="begin"/>
      </w:r>
      <w:r w:rsidR="008D3312">
        <w:instrText xml:space="preserve"> REF _Ref460486933 \h </w:instrText>
      </w:r>
      <w:r w:rsidR="008D3312">
        <w:fldChar w:fldCharType="separate"/>
      </w:r>
      <w:r w:rsidR="00B61881">
        <w:t xml:space="preserve">Figure A </w:t>
      </w:r>
      <w:r w:rsidR="00B61881">
        <w:rPr>
          <w:noProof/>
        </w:rPr>
        <w:t>5</w:t>
      </w:r>
      <w:r w:rsidR="008D3312">
        <w:fldChar w:fldCharType="end"/>
      </w:r>
      <w:r w:rsidR="008D3312">
        <w:t xml:space="preserve">) </w:t>
      </w:r>
      <w:r w:rsidR="00EF030C">
        <w:t xml:space="preserve">both of which occurred </w:t>
      </w:r>
      <w:r>
        <w:t xml:space="preserve"> during the period of high discharge from local rivers</w:t>
      </w:r>
      <w:r w:rsidR="008D3312">
        <w:t xml:space="preserve"> (</w:t>
      </w:r>
      <w:r w:rsidR="008D3312">
        <w:fldChar w:fldCharType="begin"/>
      </w:r>
      <w:r w:rsidR="008D3312">
        <w:instrText xml:space="preserve"> REF _Ref460423784 \h </w:instrText>
      </w:r>
      <w:r w:rsidR="008D3312">
        <w:fldChar w:fldCharType="separate"/>
      </w:r>
      <w:r w:rsidR="00B61881">
        <w:t xml:space="preserve">Table A </w:t>
      </w:r>
      <w:r w:rsidR="00B61881">
        <w:rPr>
          <w:noProof/>
        </w:rPr>
        <w:t>1</w:t>
      </w:r>
      <w:r w:rsidR="008D3312">
        <w:fldChar w:fldCharType="end"/>
      </w:r>
      <w:r>
        <w:t xml:space="preserve">. The upturn to 2015 </w:t>
      </w:r>
      <w:r w:rsidR="00EF030C">
        <w:t>largely reflects the return of these indicators to levels observed a</w:t>
      </w:r>
      <w:r w:rsidR="008D3312">
        <w:t>t the beginning of the program.</w:t>
      </w:r>
    </w:p>
    <w:p w14:paraId="7BF1523D" w14:textId="77777777" w:rsidR="00DB0747" w:rsidRPr="00661AF9" w:rsidRDefault="00DB0747" w:rsidP="001252BF">
      <w:pPr>
        <w:rPr>
          <w:rFonts w:cs="Arial"/>
          <w:szCs w:val="22"/>
        </w:rPr>
      </w:pPr>
      <w:r>
        <w:t>Despite being situated in an area frequently exposed to tropical cyclones (</w:t>
      </w:r>
      <w:r w:rsidR="008D3312">
        <w:fldChar w:fldCharType="begin"/>
      </w:r>
      <w:r w:rsidR="008D3312">
        <w:instrText xml:space="preserve"> REF _Ref460487629 \h </w:instrText>
      </w:r>
      <w:r w:rsidR="008D3312">
        <w:fldChar w:fldCharType="separate"/>
      </w:r>
      <w:r w:rsidR="00B61881">
        <w:t xml:space="preserve">Figure </w:t>
      </w:r>
      <w:proofErr w:type="gramStart"/>
      <w:r w:rsidR="00B61881">
        <w:t>A</w:t>
      </w:r>
      <w:proofErr w:type="gramEnd"/>
      <w:r w:rsidR="00B61881">
        <w:t xml:space="preserve"> </w:t>
      </w:r>
      <w:r w:rsidR="00B61881">
        <w:rPr>
          <w:noProof/>
        </w:rPr>
        <w:t>8</w:t>
      </w:r>
      <w:r w:rsidR="008D3312">
        <w:fldChar w:fldCharType="end"/>
      </w:r>
      <w:r>
        <w:t>) p</w:t>
      </w:r>
      <w:r w:rsidRPr="00661AF9">
        <w:t xml:space="preserve">hysical damage from storms is </w:t>
      </w:r>
      <w:r>
        <w:t xml:space="preserve">limited </w:t>
      </w:r>
      <w:r w:rsidR="008D3312">
        <w:t>(</w:t>
      </w:r>
      <w:r w:rsidR="008D3312">
        <w:fldChar w:fldCharType="begin"/>
      </w:r>
      <w:r w:rsidR="008D3312">
        <w:instrText xml:space="preserve"> REF _Ref438121092 \h </w:instrText>
      </w:r>
      <w:r w:rsidR="008D3312">
        <w:fldChar w:fldCharType="separate"/>
      </w:r>
      <w:r w:rsidR="00B61881">
        <w:t xml:space="preserve">Figure </w:t>
      </w:r>
      <w:r w:rsidR="00B61881">
        <w:rPr>
          <w:noProof/>
        </w:rPr>
        <w:t>12</w:t>
      </w:r>
      <w:r w:rsidR="008D3312">
        <w:fldChar w:fldCharType="end"/>
      </w:r>
      <w:r w:rsidR="006F0F0B">
        <w:t xml:space="preserve">b) </w:t>
      </w:r>
      <w:r>
        <w:t xml:space="preserve">as </w:t>
      </w:r>
      <w:r w:rsidRPr="00661AF9">
        <w:t>the fringing reefs are reasonably sheltered by the surrounding continent</w:t>
      </w:r>
      <w:r w:rsidR="001252BF">
        <w:t xml:space="preserve">al islands and mainland hills. </w:t>
      </w:r>
      <w:r w:rsidRPr="00661AF9">
        <w:rPr>
          <w:rFonts w:cs="Arial"/>
          <w:szCs w:val="22"/>
        </w:rPr>
        <w:t xml:space="preserve">High coral cover on these reefs appears to be the result of both the low incidence of recent disturbance events </w:t>
      </w:r>
      <w:r w:rsidR="008D3312">
        <w:rPr>
          <w:rFonts w:cs="Arial"/>
          <w:szCs w:val="22"/>
        </w:rPr>
        <w:t>(</w:t>
      </w:r>
      <w:r w:rsidR="008D3312">
        <w:rPr>
          <w:rFonts w:cs="Arial"/>
          <w:szCs w:val="22"/>
        </w:rPr>
        <w:fldChar w:fldCharType="begin"/>
      </w:r>
      <w:r w:rsidR="008D3312">
        <w:rPr>
          <w:rFonts w:cs="Arial"/>
          <w:szCs w:val="22"/>
        </w:rPr>
        <w:instrText xml:space="preserve"> REF _Ref438121092 \h </w:instrText>
      </w:r>
      <w:r w:rsidR="008D3312">
        <w:rPr>
          <w:rFonts w:cs="Arial"/>
          <w:szCs w:val="22"/>
        </w:rPr>
      </w:r>
      <w:r w:rsidR="008D3312">
        <w:rPr>
          <w:rFonts w:cs="Arial"/>
          <w:szCs w:val="22"/>
        </w:rPr>
        <w:fldChar w:fldCharType="separate"/>
      </w:r>
      <w:r w:rsidR="00B61881">
        <w:t xml:space="preserve">Figure </w:t>
      </w:r>
      <w:r w:rsidR="00B61881">
        <w:rPr>
          <w:noProof/>
        </w:rPr>
        <w:t>12</w:t>
      </w:r>
      <w:r w:rsidR="008D3312">
        <w:rPr>
          <w:rFonts w:cs="Arial"/>
          <w:szCs w:val="22"/>
        </w:rPr>
        <w:fldChar w:fldCharType="end"/>
      </w:r>
      <w:r w:rsidR="00C8364D">
        <w:rPr>
          <w:rFonts w:cs="Arial"/>
          <w:szCs w:val="22"/>
        </w:rPr>
        <w:t xml:space="preserve">b) </w:t>
      </w:r>
      <w:r w:rsidRPr="00661AF9">
        <w:rPr>
          <w:rFonts w:cs="Arial"/>
          <w:szCs w:val="22"/>
        </w:rPr>
        <w:t xml:space="preserve">and the predominance of species </w:t>
      </w:r>
      <w:r>
        <w:rPr>
          <w:rFonts w:cs="Arial"/>
          <w:szCs w:val="22"/>
        </w:rPr>
        <w:t>that tolerate</w:t>
      </w:r>
      <w:r w:rsidRPr="00661AF9">
        <w:rPr>
          <w:rFonts w:cs="Arial"/>
          <w:szCs w:val="22"/>
        </w:rPr>
        <w:t xml:space="preserve"> the high turbidity and nutrient levels in this region (</w:t>
      </w:r>
      <w:r w:rsidR="008D3312">
        <w:fldChar w:fldCharType="begin"/>
      </w:r>
      <w:r w:rsidR="008D3312">
        <w:rPr>
          <w:rFonts w:cs="Arial"/>
          <w:szCs w:val="22"/>
        </w:rPr>
        <w:instrText xml:space="preserve"> REF _Ref460486933 \h </w:instrText>
      </w:r>
      <w:r w:rsidR="008D3312">
        <w:fldChar w:fldCharType="separate"/>
      </w:r>
      <w:r w:rsidR="00B61881">
        <w:t xml:space="preserve">Figure A </w:t>
      </w:r>
      <w:r w:rsidR="00B61881">
        <w:rPr>
          <w:noProof/>
        </w:rPr>
        <w:t>5</w:t>
      </w:r>
      <w:r w:rsidR="008D3312">
        <w:fldChar w:fldCharType="end"/>
      </w:r>
      <w:r w:rsidR="008D3312">
        <w:t xml:space="preserve">, </w:t>
      </w:r>
      <w:r w:rsidR="008D3312">
        <w:fldChar w:fldCharType="begin"/>
      </w:r>
      <w:r w:rsidR="008D3312">
        <w:instrText xml:space="preserve"> REF _Ref438121221 \h </w:instrText>
      </w:r>
      <w:r w:rsidR="008D3312">
        <w:fldChar w:fldCharType="separate"/>
      </w:r>
      <w:r w:rsidR="00B61881">
        <w:t xml:space="preserve">Figure </w:t>
      </w:r>
      <w:r w:rsidR="00B61881">
        <w:rPr>
          <w:noProof/>
        </w:rPr>
        <w:t>13</w:t>
      </w:r>
      <w:r w:rsidR="008D3312">
        <w:fldChar w:fldCharType="end"/>
      </w:r>
      <w:r w:rsidR="008D3312">
        <w:t>g,h</w:t>
      </w:r>
      <w:r w:rsidRPr="00661AF9">
        <w:rPr>
          <w:rFonts w:cs="Arial"/>
          <w:szCs w:val="22"/>
        </w:rPr>
        <w:t>).</w:t>
      </w:r>
      <w:r>
        <w:rPr>
          <w:rFonts w:cs="Arial"/>
          <w:szCs w:val="22"/>
        </w:rPr>
        <w:t xml:space="preserve"> </w:t>
      </w:r>
      <w:r w:rsidR="00C8364D">
        <w:rPr>
          <w:rFonts w:cs="Arial"/>
          <w:szCs w:val="22"/>
        </w:rPr>
        <w:t>In the sheltered locations of most of the coral sites high</w:t>
      </w:r>
      <w:r w:rsidR="001252BF">
        <w:rPr>
          <w:rFonts w:cs="Arial"/>
          <w:szCs w:val="22"/>
        </w:rPr>
        <w:t xml:space="preserve"> </w:t>
      </w:r>
      <w:r w:rsidR="00C8364D">
        <w:rPr>
          <w:rFonts w:cs="Arial"/>
          <w:szCs w:val="22"/>
        </w:rPr>
        <w:t>t</w:t>
      </w:r>
      <w:r w:rsidRPr="00661AF9">
        <w:rPr>
          <w:rFonts w:cs="Arial"/>
          <w:szCs w:val="22"/>
        </w:rPr>
        <w:t>urbidity, represent</w:t>
      </w:r>
      <w:r w:rsidR="00C8364D">
        <w:rPr>
          <w:rFonts w:cs="Arial"/>
          <w:szCs w:val="22"/>
        </w:rPr>
        <w:t xml:space="preserve">s both </w:t>
      </w:r>
      <w:r w:rsidRPr="00661AF9">
        <w:rPr>
          <w:rFonts w:cs="Arial"/>
          <w:szCs w:val="22"/>
        </w:rPr>
        <w:t>rapid light attrition</w:t>
      </w:r>
      <w:r w:rsidR="00937BA6">
        <w:rPr>
          <w:rFonts w:cs="Arial"/>
          <w:szCs w:val="22"/>
        </w:rPr>
        <w:t xml:space="preserve"> and </w:t>
      </w:r>
      <w:r w:rsidR="00937BA6" w:rsidRPr="00661AF9">
        <w:rPr>
          <w:rFonts w:cs="Arial"/>
          <w:szCs w:val="22"/>
        </w:rPr>
        <w:t>high rates of sedimentation</w:t>
      </w:r>
      <w:r w:rsidR="001252BF">
        <w:rPr>
          <w:rFonts w:cs="Arial"/>
          <w:szCs w:val="22"/>
        </w:rPr>
        <w:t xml:space="preserve"> resulting in</w:t>
      </w:r>
      <w:r w:rsidRPr="00661AF9">
        <w:rPr>
          <w:rFonts w:cs="Arial"/>
          <w:szCs w:val="22"/>
        </w:rPr>
        <w:t xml:space="preserve"> selective pressure</w:t>
      </w:r>
      <w:r w:rsidR="00937BA6">
        <w:rPr>
          <w:rFonts w:cs="Arial"/>
          <w:szCs w:val="22"/>
        </w:rPr>
        <w:t>s that</w:t>
      </w:r>
      <w:r w:rsidRPr="00661AF9">
        <w:rPr>
          <w:rFonts w:cs="Arial"/>
          <w:szCs w:val="22"/>
        </w:rPr>
        <w:t xml:space="preserve"> </w:t>
      </w:r>
      <w:r w:rsidR="00937BA6">
        <w:rPr>
          <w:rFonts w:cs="Arial"/>
          <w:szCs w:val="22"/>
        </w:rPr>
        <w:t>have</w:t>
      </w:r>
      <w:r w:rsidRPr="00661AF9">
        <w:rPr>
          <w:rFonts w:cs="Arial"/>
          <w:szCs w:val="22"/>
        </w:rPr>
        <w:t xml:space="preserve"> clearly influenced the composition of both adult and juvenile coral communities</w:t>
      </w:r>
      <w:r w:rsidR="00937BA6" w:rsidRPr="00937BA6">
        <w:rPr>
          <w:rFonts w:cs="Arial"/>
          <w:szCs w:val="22"/>
        </w:rPr>
        <w:t xml:space="preserve"> </w:t>
      </w:r>
      <w:r w:rsidR="00937BA6" w:rsidRPr="00661AF9">
        <w:rPr>
          <w:rFonts w:cs="Arial"/>
          <w:szCs w:val="22"/>
        </w:rPr>
        <w:t xml:space="preserve">(Thompson </w:t>
      </w:r>
      <w:r w:rsidR="00937BA6" w:rsidRPr="00661AF9">
        <w:rPr>
          <w:rFonts w:cs="Arial"/>
          <w:i/>
          <w:szCs w:val="22"/>
        </w:rPr>
        <w:t>et al</w:t>
      </w:r>
      <w:r w:rsidR="00937BA6" w:rsidRPr="00661AF9">
        <w:rPr>
          <w:rFonts w:cs="Arial"/>
          <w:szCs w:val="22"/>
        </w:rPr>
        <w:t>. 2012)</w:t>
      </w:r>
      <w:r w:rsidR="00937BA6">
        <w:rPr>
          <w:rFonts w:cs="Arial"/>
          <w:szCs w:val="22"/>
        </w:rPr>
        <w:t>.</w:t>
      </w:r>
      <w:r>
        <w:rPr>
          <w:rFonts w:cs="Arial"/>
          <w:szCs w:val="22"/>
        </w:rPr>
        <w:t xml:space="preserve"> </w:t>
      </w:r>
      <w:r w:rsidR="00937BA6">
        <w:rPr>
          <w:rFonts w:cs="Arial"/>
          <w:szCs w:val="22"/>
        </w:rPr>
        <w:t>M</w:t>
      </w:r>
      <w:r w:rsidRPr="00661AF9">
        <w:rPr>
          <w:rFonts w:cs="Arial"/>
          <w:szCs w:val="22"/>
        </w:rPr>
        <w:t>arked differences in composition of coral communities between 2m and 5m indicates a steep gradient in environmental conditions</w:t>
      </w:r>
      <w:r w:rsidR="008D3312">
        <w:rPr>
          <w:rFonts w:cs="Arial"/>
          <w:szCs w:val="22"/>
        </w:rPr>
        <w:t xml:space="preserve">; </w:t>
      </w:r>
      <w:r w:rsidR="00BC39AE">
        <w:rPr>
          <w:rFonts w:cs="Arial"/>
          <w:szCs w:val="22"/>
        </w:rPr>
        <w:t>t</w:t>
      </w:r>
      <w:r w:rsidRPr="00661AF9">
        <w:rPr>
          <w:rFonts w:cs="Arial"/>
          <w:szCs w:val="22"/>
        </w:rPr>
        <w:t xml:space="preserve">here is a clear predominance of corals tolerant to low light and high rates of sedimentation at 5m (e.g. families Oculinidae, Pectinidae, Agariciidae, genus </w:t>
      </w:r>
      <w:r w:rsidRPr="00661AF9">
        <w:rPr>
          <w:rFonts w:cs="Arial"/>
          <w:i/>
          <w:szCs w:val="22"/>
        </w:rPr>
        <w:t>Goniopora</w:t>
      </w:r>
      <w:r w:rsidRPr="00661AF9">
        <w:rPr>
          <w:rFonts w:cs="Arial"/>
          <w:szCs w:val="22"/>
        </w:rPr>
        <w:t xml:space="preserve">) compared to the 2 m depth where Acroporidae and </w:t>
      </w:r>
      <w:r w:rsidRPr="00661AF9">
        <w:rPr>
          <w:rFonts w:cs="Arial"/>
          <w:i/>
          <w:szCs w:val="22"/>
        </w:rPr>
        <w:t>Porites</w:t>
      </w:r>
      <w:r w:rsidRPr="00661AF9">
        <w:rPr>
          <w:rFonts w:cs="Arial"/>
          <w:szCs w:val="22"/>
        </w:rPr>
        <w:t xml:space="preserve"> are most represented (</w:t>
      </w:r>
      <w:r w:rsidR="008D3312">
        <w:rPr>
          <w:rFonts w:cs="Arial"/>
          <w:szCs w:val="22"/>
        </w:rPr>
        <w:fldChar w:fldCharType="begin"/>
      </w:r>
      <w:r w:rsidR="008D3312">
        <w:rPr>
          <w:rFonts w:cs="Arial"/>
          <w:szCs w:val="22"/>
        </w:rPr>
        <w:instrText xml:space="preserve"> REF _Ref460486933 \h </w:instrText>
      </w:r>
      <w:r w:rsidR="008D3312">
        <w:rPr>
          <w:rFonts w:cs="Arial"/>
          <w:szCs w:val="22"/>
        </w:rPr>
      </w:r>
      <w:r w:rsidR="008D3312">
        <w:rPr>
          <w:rFonts w:cs="Arial"/>
          <w:szCs w:val="22"/>
        </w:rPr>
        <w:fldChar w:fldCharType="separate"/>
      </w:r>
      <w:r w:rsidR="00B61881">
        <w:t xml:space="preserve">Figure A </w:t>
      </w:r>
      <w:r w:rsidR="00B61881">
        <w:rPr>
          <w:noProof/>
        </w:rPr>
        <w:t>5</w:t>
      </w:r>
      <w:r w:rsidR="008D3312">
        <w:rPr>
          <w:rFonts w:cs="Arial"/>
          <w:szCs w:val="22"/>
        </w:rPr>
        <w:fldChar w:fldCharType="end"/>
      </w:r>
      <w:r w:rsidRPr="00661AF9">
        <w:rPr>
          <w:rFonts w:cs="Arial"/>
          <w:szCs w:val="22"/>
        </w:rPr>
        <w:t>).</w:t>
      </w:r>
      <w:r w:rsidR="00937BA6">
        <w:t xml:space="preserve"> </w:t>
      </w:r>
    </w:p>
    <w:p w14:paraId="73ECF062" w14:textId="77777777" w:rsidR="00D61C95" w:rsidRPr="00D61C95" w:rsidRDefault="00DB0747" w:rsidP="00085A53">
      <w:pPr>
        <w:rPr>
          <w:rFonts w:cs="Arial"/>
          <w:szCs w:val="22"/>
        </w:rPr>
      </w:pPr>
      <w:r w:rsidRPr="00661AF9">
        <w:rPr>
          <w:rFonts w:cs="Arial"/>
          <w:szCs w:val="22"/>
        </w:rPr>
        <w:t>The cover of macroalgae has remained stable and low throug</w:t>
      </w:r>
      <w:r>
        <w:rPr>
          <w:rFonts w:cs="Arial"/>
          <w:szCs w:val="22"/>
        </w:rPr>
        <w:t xml:space="preserve">hout the region. Only Pine and Seaforth </w:t>
      </w:r>
      <w:r w:rsidRPr="00661AF9">
        <w:rPr>
          <w:rFonts w:cs="Arial"/>
          <w:szCs w:val="22"/>
        </w:rPr>
        <w:t>maintain significant macroalgal cover (</w:t>
      </w:r>
      <w:r w:rsidR="008D3312">
        <w:rPr>
          <w:rFonts w:cs="Arial"/>
          <w:szCs w:val="22"/>
        </w:rPr>
        <w:fldChar w:fldCharType="begin"/>
      </w:r>
      <w:r w:rsidR="008D3312">
        <w:rPr>
          <w:rFonts w:cs="Arial"/>
          <w:szCs w:val="22"/>
        </w:rPr>
        <w:instrText xml:space="preserve"> REF _Ref460486933 \h </w:instrText>
      </w:r>
      <w:r w:rsidR="008D3312">
        <w:rPr>
          <w:rFonts w:cs="Arial"/>
          <w:szCs w:val="22"/>
        </w:rPr>
      </w:r>
      <w:r w:rsidR="008D3312">
        <w:rPr>
          <w:rFonts w:cs="Arial"/>
          <w:szCs w:val="22"/>
        </w:rPr>
        <w:fldChar w:fldCharType="separate"/>
      </w:r>
      <w:r w:rsidR="00B61881">
        <w:t xml:space="preserve">Figure </w:t>
      </w:r>
      <w:proofErr w:type="gramStart"/>
      <w:r w:rsidR="00B61881">
        <w:t>A</w:t>
      </w:r>
      <w:proofErr w:type="gramEnd"/>
      <w:r w:rsidR="00B61881">
        <w:t xml:space="preserve"> </w:t>
      </w:r>
      <w:r w:rsidR="00B61881">
        <w:rPr>
          <w:noProof/>
        </w:rPr>
        <w:t>5</w:t>
      </w:r>
      <w:r w:rsidR="008D3312">
        <w:rPr>
          <w:rFonts w:cs="Arial"/>
          <w:szCs w:val="22"/>
        </w:rPr>
        <w:fldChar w:fldCharType="end"/>
      </w:r>
      <w:r w:rsidRPr="00661AF9">
        <w:rPr>
          <w:rFonts w:cs="Arial"/>
          <w:szCs w:val="22"/>
        </w:rPr>
        <w:t xml:space="preserve">). </w:t>
      </w:r>
      <w:r w:rsidR="0083458F">
        <w:rPr>
          <w:rFonts w:cs="Arial"/>
          <w:szCs w:val="22"/>
        </w:rPr>
        <w:t xml:space="preserve">Of all the reefs monitored Pine has the highest exposure to secondary plume type waters, </w:t>
      </w:r>
      <w:r w:rsidR="009109BA">
        <w:rPr>
          <w:rFonts w:cs="Arial"/>
          <w:szCs w:val="22"/>
        </w:rPr>
        <w:t xml:space="preserve">chlorophyll </w:t>
      </w:r>
      <w:r w:rsidR="0083458F">
        <w:rPr>
          <w:rFonts w:cs="Arial"/>
          <w:szCs w:val="22"/>
        </w:rPr>
        <w:t>a concentration and turbidity (</w:t>
      </w:r>
      <w:r w:rsidR="008D3312">
        <w:rPr>
          <w:rFonts w:cs="Arial"/>
          <w:szCs w:val="22"/>
        </w:rPr>
        <w:fldChar w:fldCharType="begin"/>
      </w:r>
      <w:r w:rsidR="008D3312">
        <w:rPr>
          <w:rFonts w:cs="Arial"/>
          <w:szCs w:val="22"/>
        </w:rPr>
        <w:instrText xml:space="preserve"> REF _Ref438121092 \h </w:instrText>
      </w:r>
      <w:r w:rsidR="008D3312">
        <w:rPr>
          <w:rFonts w:cs="Arial"/>
          <w:szCs w:val="22"/>
        </w:rPr>
      </w:r>
      <w:r w:rsidR="008D3312">
        <w:rPr>
          <w:rFonts w:cs="Arial"/>
          <w:szCs w:val="22"/>
        </w:rPr>
        <w:fldChar w:fldCharType="separate"/>
      </w:r>
      <w:r w:rsidR="00B61881">
        <w:t xml:space="preserve">Figure </w:t>
      </w:r>
      <w:r w:rsidR="00B61881">
        <w:rPr>
          <w:noProof/>
        </w:rPr>
        <w:t>12</w:t>
      </w:r>
      <w:r w:rsidR="008D3312">
        <w:rPr>
          <w:rFonts w:cs="Arial"/>
          <w:szCs w:val="22"/>
        </w:rPr>
        <w:fldChar w:fldCharType="end"/>
      </w:r>
      <w:r w:rsidR="008D3312">
        <w:rPr>
          <w:rFonts w:cs="Arial"/>
          <w:szCs w:val="22"/>
        </w:rPr>
        <w:t xml:space="preserve">a, </w:t>
      </w:r>
      <w:r w:rsidR="008D3312">
        <w:rPr>
          <w:rFonts w:cs="Arial"/>
          <w:szCs w:val="22"/>
        </w:rPr>
        <w:fldChar w:fldCharType="begin"/>
      </w:r>
      <w:r w:rsidR="008D3312">
        <w:rPr>
          <w:rFonts w:cs="Arial"/>
          <w:szCs w:val="22"/>
        </w:rPr>
        <w:instrText xml:space="preserve"> REF _Ref460423145 \h </w:instrText>
      </w:r>
      <w:r w:rsidR="008D3312">
        <w:rPr>
          <w:rFonts w:cs="Arial"/>
          <w:szCs w:val="22"/>
        </w:rPr>
      </w:r>
      <w:r w:rsidR="008D3312">
        <w:rPr>
          <w:rFonts w:cs="Arial"/>
          <w:szCs w:val="22"/>
        </w:rPr>
        <w:fldChar w:fldCharType="separate"/>
      </w:r>
      <w:r w:rsidR="00B61881">
        <w:t xml:space="preserve">Table A </w:t>
      </w:r>
      <w:r w:rsidR="00B61881">
        <w:rPr>
          <w:noProof/>
        </w:rPr>
        <w:t>4</w:t>
      </w:r>
      <w:r w:rsidR="008D3312">
        <w:rPr>
          <w:rFonts w:cs="Arial"/>
          <w:szCs w:val="22"/>
        </w:rPr>
        <w:fldChar w:fldCharType="end"/>
      </w:r>
      <w:r w:rsidR="008D3312">
        <w:rPr>
          <w:rFonts w:cs="Arial"/>
          <w:szCs w:val="22"/>
        </w:rPr>
        <w:t xml:space="preserve">, </w:t>
      </w:r>
      <w:r w:rsidR="008D3312">
        <w:rPr>
          <w:rFonts w:cs="Arial"/>
          <w:szCs w:val="22"/>
        </w:rPr>
        <w:fldChar w:fldCharType="begin"/>
      </w:r>
      <w:r w:rsidR="008D3312">
        <w:rPr>
          <w:rFonts w:cs="Arial"/>
          <w:szCs w:val="22"/>
        </w:rPr>
        <w:instrText xml:space="preserve"> REF _Ref438121221 \h </w:instrText>
      </w:r>
      <w:r w:rsidR="008D3312">
        <w:rPr>
          <w:rFonts w:cs="Arial"/>
          <w:szCs w:val="22"/>
        </w:rPr>
      </w:r>
      <w:r w:rsidR="008D3312">
        <w:rPr>
          <w:rFonts w:cs="Arial"/>
          <w:szCs w:val="22"/>
        </w:rPr>
        <w:fldChar w:fldCharType="separate"/>
      </w:r>
      <w:r w:rsidR="00B61881">
        <w:t xml:space="preserve">Figure </w:t>
      </w:r>
      <w:r w:rsidR="00B61881">
        <w:rPr>
          <w:noProof/>
        </w:rPr>
        <w:t>13</w:t>
      </w:r>
      <w:r w:rsidR="008D3312">
        <w:rPr>
          <w:rFonts w:cs="Arial"/>
          <w:szCs w:val="22"/>
        </w:rPr>
        <w:fldChar w:fldCharType="end"/>
      </w:r>
      <w:r w:rsidR="008D3312">
        <w:rPr>
          <w:rFonts w:cs="Arial"/>
          <w:szCs w:val="22"/>
        </w:rPr>
        <w:t>g</w:t>
      </w:r>
      <w:proofErr w:type="gramStart"/>
      <w:r w:rsidR="008D3312">
        <w:rPr>
          <w:rFonts w:cs="Arial"/>
          <w:szCs w:val="22"/>
        </w:rPr>
        <w:t>,h</w:t>
      </w:r>
      <w:proofErr w:type="gramEnd"/>
      <w:r w:rsidR="0083458F">
        <w:rPr>
          <w:rFonts w:cs="Arial"/>
          <w:szCs w:val="22"/>
        </w:rPr>
        <w:t xml:space="preserve">). Seaforth also has high concentrations of </w:t>
      </w:r>
      <w:r w:rsidR="009109BA">
        <w:rPr>
          <w:rFonts w:cs="Arial"/>
          <w:szCs w:val="22"/>
        </w:rPr>
        <w:t xml:space="preserve">chlorophyll </w:t>
      </w:r>
      <w:r w:rsidR="0083458F">
        <w:rPr>
          <w:rFonts w:cs="Arial"/>
          <w:szCs w:val="22"/>
        </w:rPr>
        <w:t>a though conditions are not worse than experienced at Shute harbo</w:t>
      </w:r>
      <w:r w:rsidR="00BC6B0B">
        <w:rPr>
          <w:rFonts w:cs="Arial"/>
          <w:szCs w:val="22"/>
        </w:rPr>
        <w:t>ur, Dent or Daydream (</w:t>
      </w:r>
      <w:r w:rsidR="00BC6B0B">
        <w:rPr>
          <w:rFonts w:cs="Arial"/>
          <w:szCs w:val="22"/>
        </w:rPr>
        <w:fldChar w:fldCharType="begin"/>
      </w:r>
      <w:r w:rsidR="00BC6B0B">
        <w:rPr>
          <w:rFonts w:cs="Arial"/>
          <w:szCs w:val="22"/>
        </w:rPr>
        <w:instrText xml:space="preserve"> REF _Ref460423145 \h </w:instrText>
      </w:r>
      <w:r w:rsidR="00BC6B0B">
        <w:rPr>
          <w:rFonts w:cs="Arial"/>
          <w:szCs w:val="22"/>
        </w:rPr>
      </w:r>
      <w:r w:rsidR="00BC6B0B">
        <w:rPr>
          <w:rFonts w:cs="Arial"/>
          <w:szCs w:val="22"/>
        </w:rPr>
        <w:fldChar w:fldCharType="separate"/>
      </w:r>
      <w:r w:rsidR="00B61881">
        <w:t xml:space="preserve">Table </w:t>
      </w:r>
      <w:proofErr w:type="gramStart"/>
      <w:r w:rsidR="00B61881">
        <w:t>A</w:t>
      </w:r>
      <w:proofErr w:type="gramEnd"/>
      <w:r w:rsidR="00B61881">
        <w:t xml:space="preserve"> </w:t>
      </w:r>
      <w:r w:rsidR="00B61881">
        <w:rPr>
          <w:noProof/>
        </w:rPr>
        <w:t>4</w:t>
      </w:r>
      <w:r w:rsidR="00BC6B0B">
        <w:rPr>
          <w:rFonts w:cs="Arial"/>
          <w:szCs w:val="22"/>
        </w:rPr>
        <w:fldChar w:fldCharType="end"/>
      </w:r>
      <w:r w:rsidR="0083458F">
        <w:rPr>
          <w:rFonts w:cs="Arial"/>
          <w:szCs w:val="22"/>
        </w:rPr>
        <w:t xml:space="preserve">) and so </w:t>
      </w:r>
      <w:r w:rsidR="0083458F">
        <w:rPr>
          <w:rFonts w:cs="Arial"/>
          <w:szCs w:val="22"/>
        </w:rPr>
        <w:lastRenderedPageBreak/>
        <w:t>i</w:t>
      </w:r>
      <w:r w:rsidRPr="00661AF9">
        <w:rPr>
          <w:rFonts w:cs="Arial"/>
          <w:szCs w:val="22"/>
        </w:rPr>
        <w:t>t is not certain what has inhibited macroalgal cover at the</w:t>
      </w:r>
      <w:r w:rsidR="0083458F">
        <w:rPr>
          <w:rFonts w:cs="Arial"/>
          <w:szCs w:val="22"/>
        </w:rPr>
        <w:t>se</w:t>
      </w:r>
      <w:r w:rsidRPr="00661AF9">
        <w:rPr>
          <w:rFonts w:cs="Arial"/>
          <w:szCs w:val="22"/>
        </w:rPr>
        <w:t xml:space="preserve"> reefs. One possible explanation is a difference in grazing pressure. Herbivory has been demonstrated as critically important for the maintenance of reefs in a coral-dominated state (Hughes </w:t>
      </w:r>
      <w:r w:rsidRPr="00661AF9">
        <w:rPr>
          <w:rFonts w:cs="Arial"/>
          <w:i/>
          <w:szCs w:val="22"/>
        </w:rPr>
        <w:t>et al</w:t>
      </w:r>
      <w:r w:rsidRPr="00661AF9">
        <w:rPr>
          <w:rFonts w:cs="Arial"/>
          <w:szCs w:val="22"/>
        </w:rPr>
        <w:t xml:space="preserve">. 2007), and postulated to offer resilience to conditions that may otherwise support a shift to algal dominance (Cheal </w:t>
      </w:r>
      <w:r w:rsidRPr="00661AF9">
        <w:rPr>
          <w:rFonts w:cs="Arial"/>
          <w:i/>
          <w:szCs w:val="22"/>
        </w:rPr>
        <w:t>et al.</w:t>
      </w:r>
      <w:r w:rsidRPr="00661AF9">
        <w:rPr>
          <w:rFonts w:cs="Arial"/>
          <w:szCs w:val="22"/>
        </w:rPr>
        <w:t xml:space="preserve"> 2013). For example, at Daydream Is, we consistently see higher numbers of the grazing urchin </w:t>
      </w:r>
      <w:r w:rsidRPr="00661AF9">
        <w:rPr>
          <w:rFonts w:cs="Arial"/>
          <w:i/>
          <w:szCs w:val="22"/>
        </w:rPr>
        <w:t>Diadema sp</w:t>
      </w:r>
      <w:r w:rsidRPr="00661AF9">
        <w:rPr>
          <w:rFonts w:cs="Arial"/>
          <w:szCs w:val="22"/>
        </w:rPr>
        <w:t xml:space="preserve">. than at Pine Is. </w:t>
      </w:r>
    </w:p>
    <w:p w14:paraId="63CED41D" w14:textId="77777777" w:rsidR="00BC6B0B" w:rsidRDefault="00DB0747" w:rsidP="003045D3">
      <w:r w:rsidRPr="00661AF9">
        <w:t xml:space="preserve">Overall, the influence of prevailing environmental conditions such as high turbidity, nutrient availability and sedimentation have clearly selected for coral species tolerant of those conditions. </w:t>
      </w:r>
      <w:r>
        <w:t xml:space="preserve">Although recovery from the relatively minor disturbance attributed to Cyclone Ului is occurring, the generally </w:t>
      </w:r>
      <w:r w:rsidRPr="00661AF9">
        <w:t>slow rate of coral cover increase</w:t>
      </w:r>
      <w:r>
        <w:t xml:space="preserve"> </w:t>
      </w:r>
      <w:r w:rsidR="004304DE">
        <w:t>(</w:t>
      </w:r>
      <w:r>
        <w:t>coral change indicator consistently below 0.5</w:t>
      </w:r>
      <w:r w:rsidR="004304DE">
        <w:t>,</w:t>
      </w:r>
      <w:r w:rsidRPr="00661AF9">
        <w:t xml:space="preserve"> </w:t>
      </w:r>
      <w:r w:rsidR="00BB3908">
        <w:fldChar w:fldCharType="begin"/>
      </w:r>
      <w:r w:rsidR="00BB3908">
        <w:instrText xml:space="preserve"> REF _Ref438121221 \h </w:instrText>
      </w:r>
      <w:r w:rsidR="00BB3908">
        <w:fldChar w:fldCharType="separate"/>
      </w:r>
      <w:r w:rsidR="00B61881">
        <w:t xml:space="preserve">Figure </w:t>
      </w:r>
      <w:r w:rsidR="00B61881">
        <w:rPr>
          <w:noProof/>
        </w:rPr>
        <w:t>13</w:t>
      </w:r>
      <w:r w:rsidR="00BB3908">
        <w:fldChar w:fldCharType="end"/>
      </w:r>
      <w:r>
        <w:t>e) question</w:t>
      </w:r>
      <w:r w:rsidR="004304DE">
        <w:t>s</w:t>
      </w:r>
      <w:r>
        <w:t xml:space="preserve"> the resilience these communities would show to a more severe and widespread disturbance if water quality remains at recently observed levels.</w:t>
      </w:r>
    </w:p>
    <w:p w14:paraId="10AC47C3" w14:textId="77777777" w:rsidR="00BC6B0B" w:rsidRDefault="00BC6B0B" w:rsidP="00BC6B0B">
      <w:r>
        <w:br w:type="page"/>
      </w:r>
    </w:p>
    <w:p w14:paraId="3C49B48B" w14:textId="77777777" w:rsidR="00D60FB4" w:rsidRPr="00D60FB4" w:rsidRDefault="00523D87" w:rsidP="00AD5099">
      <w:pPr>
        <w:rPr>
          <w:rFonts w:asciiTheme="minorHAnsi" w:eastAsiaTheme="minorHAnsi" w:hAnsiTheme="minorHAnsi" w:cstheme="minorBidi"/>
          <w:szCs w:val="22"/>
          <w:lang w:val="en-AU"/>
        </w:rPr>
      </w:pPr>
      <w:r>
        <w:rPr>
          <w:rFonts w:asciiTheme="minorHAnsi" w:eastAsiaTheme="minorHAnsi" w:hAnsiTheme="minorHAnsi" w:cstheme="minorBidi"/>
          <w:noProof/>
          <w:szCs w:val="22"/>
          <w:lang w:val="en-AU" w:eastAsia="en-AU"/>
        </w:rPr>
        <w:lastRenderedPageBreak/>
        <w:drawing>
          <wp:inline distT="0" distB="0" distL="0" distR="0" wp14:anchorId="23F797EB" wp14:editId="6C8BE670">
            <wp:extent cx="6120765" cy="6120765"/>
            <wp:effectExtent l="0" t="0" r="0" b="0"/>
            <wp:docPr id="242" name="Picture 242" descr="Figure 13: Coral reef community and water quality trends in the Mackay Whitsunday region. 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in records of chlorophyll a and turbidity (g, h) from ECO FLNTUSB instruments are represented in red, individual records are not displayed. Dashed reference lines indicate GBRMPA (2010) guideline values." title="Figure 13: Coral reef community and water quality trend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Mackay_Whitsunday.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72A014E1" w14:textId="77777777" w:rsidR="00BB6D1F" w:rsidRDefault="00BB6D1F" w:rsidP="000C6FCB">
      <w:bookmarkStart w:id="187" w:name="_Toc392930507"/>
    </w:p>
    <w:p w14:paraId="024DFA85" w14:textId="77777777" w:rsidR="006B3B22" w:rsidRPr="006B3B22" w:rsidRDefault="006B3B22" w:rsidP="00E56CF1">
      <w:pPr>
        <w:pStyle w:val="Caption"/>
        <w:rPr>
          <w:vanish/>
        </w:rPr>
      </w:pPr>
      <w:bookmarkStart w:id="188" w:name="_Ref438121221"/>
      <w:bookmarkStart w:id="189" w:name="_Toc437423858"/>
      <w:bookmarkStart w:id="190" w:name="_Toc437424037"/>
      <w:bookmarkStart w:id="191" w:name="_Toc437424307"/>
      <w:bookmarkStart w:id="192" w:name="_Toc437597641"/>
      <w:bookmarkStart w:id="193" w:name="_Toc460490782"/>
      <w:r>
        <w:t xml:space="preserve">Figure </w:t>
      </w:r>
      <w:r w:rsidR="005D2F9F">
        <w:fldChar w:fldCharType="begin"/>
      </w:r>
      <w:r w:rsidR="005D2F9F">
        <w:instrText xml:space="preserve"> SEQ Figure \* ARABIC </w:instrText>
      </w:r>
      <w:r w:rsidR="005D2F9F">
        <w:fldChar w:fldCharType="separate"/>
      </w:r>
      <w:r w:rsidR="00B61881">
        <w:rPr>
          <w:noProof/>
        </w:rPr>
        <w:t>13</w:t>
      </w:r>
      <w:r w:rsidR="005D2F9F">
        <w:rPr>
          <w:noProof/>
        </w:rPr>
        <w:fldChar w:fldCharType="end"/>
      </w:r>
      <w:bookmarkEnd w:id="188"/>
      <w:r>
        <w:t xml:space="preserve">: </w:t>
      </w:r>
      <w:r w:rsidR="00D60FB4" w:rsidRPr="00BB6D1F">
        <w:t xml:space="preserve">Coral reef community </w:t>
      </w:r>
      <w:r w:rsidR="00D61C95">
        <w:t xml:space="preserve">and water quality </w:t>
      </w:r>
      <w:r w:rsidR="00D60FB4" w:rsidRPr="00BB6D1F">
        <w:t>trends in the Mackay Whitsunday region.</w:t>
      </w:r>
      <w:bookmarkEnd w:id="187"/>
      <w:bookmarkEnd w:id="189"/>
      <w:bookmarkEnd w:id="190"/>
      <w:bookmarkEnd w:id="191"/>
      <w:bookmarkEnd w:id="192"/>
      <w:bookmarkEnd w:id="193"/>
    </w:p>
    <w:p w14:paraId="049080AF" w14:textId="77777777" w:rsidR="00D60FB4" w:rsidRDefault="00D60FB4" w:rsidP="00E56CF1">
      <w:pPr>
        <w:pStyle w:val="Caption"/>
        <w:rPr>
          <w:rStyle w:val="IntenseReference"/>
          <w:rFonts w:eastAsiaTheme="minorHAnsi"/>
        </w:rPr>
      </w:pPr>
      <w:r w:rsidRPr="00BB6D1F">
        <w:t xml:space="preserve"> </w:t>
      </w:r>
      <w:bookmarkStart w:id="194" w:name="_Toc437597642"/>
      <w:r w:rsidRPr="003045D3">
        <w:rPr>
          <w:rStyle w:val="IntenseReference"/>
          <w:rFonts w:eastAsiaTheme="minorHAnsi"/>
        </w:rPr>
        <w:t xml:space="preserve">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w:t>
      </w:r>
      <w:r w:rsidR="002A5249" w:rsidRPr="003045D3">
        <w:rPr>
          <w:rStyle w:val="IntenseReference"/>
          <w:rFonts w:eastAsiaTheme="minorHAnsi"/>
        </w:rPr>
        <w:t xml:space="preserve">(g) </w:t>
      </w:r>
      <w:r w:rsidRPr="003045D3">
        <w:rPr>
          <w:rStyle w:val="IntenseReference"/>
          <w:rFonts w:eastAsiaTheme="minorHAnsi"/>
        </w:rPr>
        <w:t xml:space="preserve">are represented by blue lines with blue shaded areas defining 95% confidence intervals of those trends, black dots represent observed data. Trends </w:t>
      </w:r>
      <w:r w:rsidR="00FA3AF5" w:rsidRPr="003045D3">
        <w:rPr>
          <w:rStyle w:val="IntenseReference"/>
          <w:rFonts w:eastAsiaTheme="minorHAnsi"/>
        </w:rPr>
        <w:t>in</w:t>
      </w:r>
      <w:r w:rsidRPr="003045D3">
        <w:rPr>
          <w:rStyle w:val="IntenseReference"/>
          <w:rFonts w:eastAsiaTheme="minorHAnsi"/>
        </w:rPr>
        <w:t xml:space="preserve"> records of chlorophyll a and turbidity (</w:t>
      </w:r>
      <w:r w:rsidR="00FA3AF5" w:rsidRPr="003045D3">
        <w:rPr>
          <w:rStyle w:val="IntenseReference"/>
          <w:rFonts w:eastAsiaTheme="minorHAnsi"/>
        </w:rPr>
        <w:t>g</w:t>
      </w:r>
      <w:r w:rsidR="002A5249" w:rsidRPr="003045D3">
        <w:rPr>
          <w:rStyle w:val="IntenseReference"/>
          <w:rFonts w:eastAsiaTheme="minorHAnsi"/>
        </w:rPr>
        <w:t>, h</w:t>
      </w:r>
      <w:r w:rsidRPr="003045D3">
        <w:rPr>
          <w:rStyle w:val="IntenseReference"/>
          <w:rFonts w:eastAsiaTheme="minorHAnsi"/>
        </w:rPr>
        <w:t>) from ECO FLNTUSB instruments are represented in red, individual records are not displayed. Dashed reference lines indicate GBRMPA</w:t>
      </w:r>
      <w:r w:rsidR="00FA3AF5" w:rsidRPr="003045D3">
        <w:rPr>
          <w:rStyle w:val="IntenseReference"/>
          <w:rFonts w:eastAsiaTheme="minorHAnsi"/>
        </w:rPr>
        <w:t xml:space="preserve"> (2010) </w:t>
      </w:r>
      <w:r w:rsidRPr="003045D3">
        <w:rPr>
          <w:rStyle w:val="IntenseReference"/>
          <w:rFonts w:eastAsiaTheme="minorHAnsi"/>
        </w:rPr>
        <w:t>guideline values.</w:t>
      </w:r>
      <w:bookmarkEnd w:id="194"/>
    </w:p>
    <w:p w14:paraId="36A56E2D" w14:textId="77777777" w:rsidR="000C6FCB" w:rsidRDefault="000C6FCB">
      <w:pPr>
        <w:rPr>
          <w:rFonts w:eastAsiaTheme="minorHAnsi"/>
        </w:rPr>
      </w:pPr>
      <w:r>
        <w:rPr>
          <w:rFonts w:eastAsiaTheme="minorHAnsi"/>
        </w:rPr>
        <w:br w:type="page"/>
      </w:r>
    </w:p>
    <w:p w14:paraId="03809274" w14:textId="77777777" w:rsidR="00315285" w:rsidRDefault="00F352CD" w:rsidP="00F352CD">
      <w:pPr>
        <w:pStyle w:val="Heading2"/>
      </w:pPr>
      <w:bookmarkStart w:id="195" w:name="_Toc437424411"/>
      <w:bookmarkStart w:id="196" w:name="_Toc437424535"/>
      <w:bookmarkStart w:id="197" w:name="_Toc437432466"/>
      <w:bookmarkStart w:id="198" w:name="_Toc437432539"/>
      <w:bookmarkStart w:id="199" w:name="_Toc460490666"/>
      <w:r>
        <w:lastRenderedPageBreak/>
        <w:t>5</w:t>
      </w:r>
      <w:r w:rsidR="002A28EE">
        <w:t>.</w:t>
      </w:r>
      <w:r w:rsidR="00DB0747" w:rsidRPr="00C07591">
        <w:t>6</w:t>
      </w:r>
      <w:r w:rsidR="00DB0747" w:rsidRPr="00C07591">
        <w:tab/>
        <w:t>Fitzroy Region</w:t>
      </w:r>
      <w:bookmarkEnd w:id="195"/>
      <w:bookmarkEnd w:id="196"/>
      <w:bookmarkEnd w:id="197"/>
      <w:bookmarkEnd w:id="198"/>
      <w:bookmarkEnd w:id="199"/>
      <w:r w:rsidR="00DB0747" w:rsidRPr="00C07591">
        <w:t xml:space="preserve"> </w:t>
      </w:r>
    </w:p>
    <w:p w14:paraId="767F15B9" w14:textId="77777777" w:rsidR="00DB0747" w:rsidRPr="00C07591" w:rsidRDefault="000C6FCB" w:rsidP="00D93815">
      <w:r w:rsidRPr="00C07591">
        <w:rPr>
          <w:rFonts w:eastAsiaTheme="minorHAnsi" w:cs="Arial"/>
          <w:color w:val="000000" w:themeColor="text1"/>
          <w:szCs w:val="22"/>
        </w:rPr>
        <w:t xml:space="preserve">The Fitzroy NRM Region has the largest catchment area draining into the Reef. By area, cattle grazing is the primary land use in the catchment (Brodie </w:t>
      </w:r>
      <w:r w:rsidRPr="00C07591">
        <w:rPr>
          <w:rFonts w:eastAsiaTheme="minorHAnsi" w:cs="Arial"/>
          <w:i/>
          <w:color w:val="000000" w:themeColor="text1"/>
          <w:szCs w:val="22"/>
        </w:rPr>
        <w:t>et al.</w:t>
      </w:r>
      <w:r w:rsidRPr="00C07591">
        <w:rPr>
          <w:rFonts w:eastAsiaTheme="minorHAnsi" w:cs="Arial"/>
          <w:color w:val="000000" w:themeColor="text1"/>
          <w:szCs w:val="22"/>
        </w:rPr>
        <w:t xml:space="preserve"> 2003, GBRMPA 2012) and the initial clearing of vegetation for this purpose marked a significant change in the sources and increase in </w:t>
      </w:r>
      <w:r>
        <w:rPr>
          <w:rFonts w:eastAsiaTheme="minorHAnsi" w:cs="Arial"/>
          <w:color w:val="000000" w:themeColor="text1"/>
          <w:szCs w:val="22"/>
        </w:rPr>
        <w:t xml:space="preserve">the </w:t>
      </w:r>
      <w:r w:rsidRPr="00C07591">
        <w:rPr>
          <w:rFonts w:eastAsiaTheme="minorHAnsi" w:cs="Arial"/>
          <w:color w:val="000000" w:themeColor="text1"/>
          <w:szCs w:val="22"/>
        </w:rPr>
        <w:t xml:space="preserve">quantity of sediment exported by the Fitzroy River (Hughes </w:t>
      </w:r>
      <w:r w:rsidRPr="00C07591">
        <w:rPr>
          <w:rFonts w:eastAsiaTheme="minorHAnsi" w:cs="Arial"/>
          <w:i/>
          <w:color w:val="000000" w:themeColor="text1"/>
          <w:szCs w:val="22"/>
        </w:rPr>
        <w:t>et al</w:t>
      </w:r>
      <w:r>
        <w:rPr>
          <w:rFonts w:eastAsiaTheme="minorHAnsi" w:cs="Arial"/>
          <w:i/>
          <w:color w:val="000000" w:themeColor="text1"/>
          <w:szCs w:val="22"/>
        </w:rPr>
        <w:t>.</w:t>
      </w:r>
      <w:r w:rsidRPr="00C07591">
        <w:rPr>
          <w:rFonts w:eastAsiaTheme="minorHAnsi" w:cs="Arial"/>
          <w:color w:val="000000" w:themeColor="text1"/>
          <w:szCs w:val="22"/>
        </w:rPr>
        <w:t xml:space="preserve"> 2009). </w:t>
      </w:r>
      <w:r w:rsidRPr="00C07591">
        <w:rPr>
          <w:rFonts w:cs="Arial"/>
          <w:color w:val="000000" w:themeColor="text1"/>
        </w:rPr>
        <w:t>Fluctuations in</w:t>
      </w:r>
      <w:r w:rsidR="00085A53">
        <w:rPr>
          <w:rFonts w:cs="Arial"/>
          <w:color w:val="000000" w:themeColor="text1"/>
        </w:rPr>
        <w:t>;</w:t>
      </w:r>
      <w:r w:rsidRPr="00C07591">
        <w:rPr>
          <w:rFonts w:cs="Arial"/>
          <w:color w:val="000000" w:themeColor="text1"/>
        </w:rPr>
        <w:t xml:space="preserve"> climate, cattle numbers and farming greatly affect the state and nature of vegetation cover, and therefore, the susceptibility of soils to erosion</w:t>
      </w:r>
      <w:r>
        <w:rPr>
          <w:rFonts w:cs="Arial"/>
          <w:color w:val="000000" w:themeColor="text1"/>
        </w:rPr>
        <w:t xml:space="preserve"> and subsequent runoff</w:t>
      </w:r>
      <w:r w:rsidR="00085A53">
        <w:rPr>
          <w:rFonts w:cs="Arial"/>
          <w:color w:val="000000" w:themeColor="text1"/>
        </w:rPr>
        <w:t>.</w:t>
      </w:r>
      <w:r w:rsidR="00D93815">
        <w:rPr>
          <w:rFonts w:cs="Arial"/>
          <w:color w:val="000000" w:themeColor="text1"/>
        </w:rPr>
        <w:br/>
      </w:r>
      <w:r w:rsidR="00523D87">
        <w:rPr>
          <w:noProof/>
          <w:lang w:val="en-AU" w:eastAsia="en-AU"/>
        </w:rPr>
        <w:drawing>
          <wp:inline distT="0" distB="0" distL="0" distR="0" wp14:anchorId="4E144F3F" wp14:editId="7C3107C3">
            <wp:extent cx="6120765" cy="6120765"/>
            <wp:effectExtent l="0" t="0" r="0" b="0"/>
            <wp:docPr id="245" name="Picture 245" descr="Figure 14: Fitzroy Association Region reef locations, environmental conditions and disturbances.  A composite figure with four panels. a) Location of monitoring sites red symbols MMP, black symbols LTMP, mean exposure to secondary plume type waters (Álvarez-Romero et al. 2013) during the wet season: December to March, over the period 2003-2015 indicated by colour. b) break-down and level of disturbances causing loss of hard coral cover over the period 2005-2015, level of disturbance is scaled to the maximum disturbance rate of 16% reduction in hard coral per year that occurred in the Tully Herbert sub-region (outer black ring), loss due to disturbance type ‘none’ reflects a short fall in rate of cover increase during years free from acute disturbances. c) Seasonally adjusted temperature deviation, timing of cyclones and storms indicated by black arrows, accumulated degree heating days over the summer period (1st December to 31 March) each year indicated by black symbols d) Combined daily (blue) and annual (red) discharge for the Fitzroy River, red dashed line represents long-term median discharge (1970-2000)." title="Figure 14: Fitzroy Association Region reef locations, environmental conditions and disturba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env_Fitzroy.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04715325" w14:textId="77777777" w:rsidR="00315285" w:rsidRPr="006B3B22" w:rsidRDefault="006B3B22" w:rsidP="00E56CF1">
      <w:pPr>
        <w:pStyle w:val="Caption"/>
        <w:rPr>
          <w:rStyle w:val="IntenseReference"/>
          <w:rFonts w:eastAsia="SimSun"/>
          <w:vanish/>
        </w:rPr>
      </w:pPr>
      <w:bookmarkStart w:id="200" w:name="_Ref438121562"/>
      <w:bookmarkStart w:id="201" w:name="_Toc437423859"/>
      <w:bookmarkStart w:id="202" w:name="_Toc437424038"/>
      <w:bookmarkStart w:id="203" w:name="_Toc437424308"/>
      <w:bookmarkStart w:id="204" w:name="_Toc437432361"/>
      <w:bookmarkStart w:id="205" w:name="_Toc437597643"/>
      <w:bookmarkStart w:id="206" w:name="_Toc460490783"/>
      <w:r>
        <w:t xml:space="preserve">Figure </w:t>
      </w:r>
      <w:r w:rsidR="005D2F9F">
        <w:fldChar w:fldCharType="begin"/>
      </w:r>
      <w:r w:rsidR="005D2F9F">
        <w:instrText xml:space="preserve"> SEQ Figure \* ARABIC </w:instrText>
      </w:r>
      <w:r w:rsidR="005D2F9F">
        <w:fldChar w:fldCharType="separate"/>
      </w:r>
      <w:r w:rsidR="00B61881">
        <w:rPr>
          <w:noProof/>
        </w:rPr>
        <w:t>14</w:t>
      </w:r>
      <w:r w:rsidR="005D2F9F">
        <w:rPr>
          <w:noProof/>
        </w:rPr>
        <w:fldChar w:fldCharType="end"/>
      </w:r>
      <w:bookmarkEnd w:id="200"/>
      <w:r>
        <w:t xml:space="preserve">: </w:t>
      </w:r>
      <w:r w:rsidR="00315285" w:rsidRPr="00BB6D1F">
        <w:t xml:space="preserve">Fitzroy Association Region reef locations, environmental conditions </w:t>
      </w:r>
      <w:r w:rsidR="00315285" w:rsidRPr="00D61C95">
        <w:rPr>
          <w:rStyle w:val="IntenseReference"/>
          <w:rFonts w:eastAsia="SimSun"/>
        </w:rPr>
        <w:t>and disturbances.</w:t>
      </w:r>
      <w:bookmarkEnd w:id="201"/>
      <w:bookmarkEnd w:id="202"/>
      <w:bookmarkEnd w:id="203"/>
      <w:bookmarkEnd w:id="204"/>
      <w:bookmarkEnd w:id="205"/>
      <w:bookmarkEnd w:id="206"/>
      <w:r w:rsidR="00315285" w:rsidRPr="00D61C95">
        <w:rPr>
          <w:rStyle w:val="IntenseReference"/>
          <w:rFonts w:eastAsia="SimSun"/>
        </w:rPr>
        <w:t xml:space="preserve"> </w:t>
      </w:r>
    </w:p>
    <w:p w14:paraId="0A8F6C84" w14:textId="77777777" w:rsidR="00315285" w:rsidRPr="003045D3" w:rsidRDefault="00315285" w:rsidP="00E56CF1">
      <w:pPr>
        <w:pStyle w:val="Caption"/>
        <w:rPr>
          <w:rStyle w:val="IntenseReference"/>
          <w:rFonts w:eastAsia="SimSun"/>
        </w:rPr>
      </w:pPr>
      <w:bookmarkStart w:id="207" w:name="_Toc437424309"/>
      <w:bookmarkStart w:id="208" w:name="_Toc437432362"/>
      <w:bookmarkStart w:id="209" w:name="_Toc437597644"/>
      <w:r w:rsidRPr="003045D3">
        <w:rPr>
          <w:rStyle w:val="IntenseReference"/>
          <w:rFonts w:eastAsia="SimSun"/>
        </w:rPr>
        <w:t xml:space="preserve">a) Location of monitoring sites red symbols MMP, black symbols LTMP, mean exposure to secondary plume type waters (Álvarez-Romero </w:t>
      </w:r>
      <w:r w:rsidRPr="00051C52">
        <w:rPr>
          <w:rStyle w:val="IntenseReference"/>
          <w:rFonts w:eastAsia="SimSun"/>
          <w:i/>
        </w:rPr>
        <w:t>et al.</w:t>
      </w:r>
      <w:r w:rsidRPr="003045D3">
        <w:rPr>
          <w:rStyle w:val="IntenseReference"/>
          <w:rFonts w:eastAsia="SimSun"/>
        </w:rPr>
        <w:t xml:space="preserve"> 2013) during the wet season: December to March, over the period 2003-2015 indicated by colour. b) break-down and level of disturbances causing loss of hard coral cover</w:t>
      </w:r>
      <w:r w:rsidR="00646DCA">
        <w:rPr>
          <w:rStyle w:val="IntenseReference"/>
          <w:rFonts w:eastAsia="SimSun"/>
        </w:rPr>
        <w:t xml:space="preserve"> over the period 2005-2015</w:t>
      </w:r>
      <w:r w:rsidRPr="003045D3">
        <w:rPr>
          <w:rStyle w:val="IntenseReference"/>
          <w:rFonts w:eastAsia="SimSun"/>
        </w:rPr>
        <w:t xml:space="preserve">, level of disturbance is scaled to the maximum disturbance rate of 16% reduction in hard coral per year that occurred in the Tully Herbert sub-region (outer black ring), loss due to disturbance type ‘none’ reflects a </w:t>
      </w:r>
      <w:r w:rsidR="00A77C75">
        <w:rPr>
          <w:rStyle w:val="IntenseReference"/>
          <w:rFonts w:eastAsia="SimSun"/>
        </w:rPr>
        <w:t>shortfall</w:t>
      </w:r>
      <w:r w:rsidRPr="003045D3">
        <w:rPr>
          <w:rStyle w:val="IntenseReference"/>
          <w:rFonts w:eastAsia="SimSun"/>
        </w:rPr>
        <w:t xml:space="preserve"> in rate of cover increase during years free from acute disturbances. c) Seasonally adjusted temperature deviation, timing of cyclones and storms indicated by black arrows, accumulated degree heating days over the</w:t>
      </w:r>
      <w:r w:rsidR="00C40387">
        <w:rPr>
          <w:rStyle w:val="IntenseReference"/>
          <w:rFonts w:eastAsia="SimSun"/>
        </w:rPr>
        <w:t xml:space="preserve"> summer period (1</w:t>
      </w:r>
      <w:r w:rsidR="00C40387" w:rsidRPr="00C40387">
        <w:rPr>
          <w:rStyle w:val="IntenseReference"/>
          <w:rFonts w:eastAsia="SimSun"/>
          <w:vertAlign w:val="superscript"/>
        </w:rPr>
        <w:t>st</w:t>
      </w:r>
      <w:r w:rsidR="00C40387">
        <w:rPr>
          <w:rStyle w:val="IntenseReference"/>
          <w:rFonts w:eastAsia="SimSun"/>
        </w:rPr>
        <w:t xml:space="preserve"> December</w:t>
      </w:r>
      <w:r w:rsidRPr="003045D3">
        <w:rPr>
          <w:rStyle w:val="IntenseReference"/>
          <w:rFonts w:eastAsia="SimSun"/>
        </w:rPr>
        <w:t xml:space="preserve"> to 31 March</w:t>
      </w:r>
      <w:r w:rsidR="00C40387">
        <w:rPr>
          <w:rStyle w:val="IntenseReference"/>
          <w:rFonts w:eastAsia="SimSun"/>
        </w:rPr>
        <w:t>)</w:t>
      </w:r>
      <w:r w:rsidRPr="003045D3">
        <w:rPr>
          <w:rStyle w:val="IntenseReference"/>
          <w:rFonts w:eastAsia="SimSun"/>
        </w:rPr>
        <w:t xml:space="preserve"> each year indicated by black symbols d) Combined daily (blue) and annual (red) discharge for the Fitzroy River, red dashed line represents long-term median discharge (1970-2000).</w:t>
      </w:r>
      <w:bookmarkEnd w:id="207"/>
      <w:bookmarkEnd w:id="208"/>
      <w:bookmarkEnd w:id="209"/>
    </w:p>
    <w:p w14:paraId="3B42AEAA" w14:textId="77777777" w:rsidR="00315285" w:rsidRPr="00315285" w:rsidRDefault="00315285" w:rsidP="00315285"/>
    <w:p w14:paraId="083377C5" w14:textId="77777777" w:rsidR="00DB0747" w:rsidRDefault="00DB0747" w:rsidP="003045D3">
      <w:pPr>
        <w:rPr>
          <w:rFonts w:cs="Arial"/>
          <w:color w:val="000000"/>
        </w:rPr>
      </w:pPr>
      <w:r>
        <w:rPr>
          <w:rFonts w:cs="Arial"/>
        </w:rPr>
        <w:lastRenderedPageBreak/>
        <w:t>Coral communit</w:t>
      </w:r>
      <w:r w:rsidR="00EA25EB">
        <w:rPr>
          <w:rFonts w:cs="Arial"/>
        </w:rPr>
        <w:t>ies are</w:t>
      </w:r>
      <w:r>
        <w:rPr>
          <w:rFonts w:cs="Arial"/>
        </w:rPr>
        <w:t xml:space="preserve"> monitored at s</w:t>
      </w:r>
      <w:r w:rsidRPr="00C07591">
        <w:rPr>
          <w:rFonts w:cs="Arial"/>
        </w:rPr>
        <w:t xml:space="preserve">ix </w:t>
      </w:r>
      <w:r>
        <w:rPr>
          <w:rFonts w:cs="Arial"/>
        </w:rPr>
        <w:t xml:space="preserve">fringing </w:t>
      </w:r>
      <w:r w:rsidRPr="00C07591">
        <w:rPr>
          <w:rFonts w:cs="Arial"/>
        </w:rPr>
        <w:t>reefs</w:t>
      </w:r>
      <w:r>
        <w:rPr>
          <w:rFonts w:cs="Arial"/>
        </w:rPr>
        <w:t xml:space="preserve"> within Keppel Bay</w:t>
      </w:r>
      <w:r w:rsidRPr="00C07591">
        <w:rPr>
          <w:rFonts w:cs="Arial"/>
        </w:rPr>
        <w:t xml:space="preserve">. </w:t>
      </w:r>
      <w:r w:rsidR="00085A53">
        <w:rPr>
          <w:rFonts w:cs="Arial"/>
        </w:rPr>
        <w:t xml:space="preserve">Differences </w:t>
      </w:r>
      <w:r w:rsidR="00BC6B0B">
        <w:rPr>
          <w:rFonts w:cs="Arial"/>
        </w:rPr>
        <w:t xml:space="preserve">in </w:t>
      </w:r>
      <w:r w:rsidR="001272F2">
        <w:rPr>
          <w:rFonts w:eastAsiaTheme="minorHAnsi" w:cs="Arial"/>
          <w:color w:val="000000" w:themeColor="text1"/>
          <w:szCs w:val="22"/>
        </w:rPr>
        <w:t xml:space="preserve">turbidity and nutrient </w:t>
      </w:r>
      <w:r w:rsidR="00085A53">
        <w:rPr>
          <w:rFonts w:eastAsiaTheme="minorHAnsi" w:cs="Arial"/>
          <w:color w:val="000000" w:themeColor="text1"/>
          <w:szCs w:val="22"/>
        </w:rPr>
        <w:t xml:space="preserve">concentration at these reefs </w:t>
      </w:r>
      <w:r>
        <w:rPr>
          <w:rFonts w:eastAsiaTheme="minorHAnsi" w:cs="Arial"/>
          <w:color w:val="000000" w:themeColor="text1"/>
          <w:szCs w:val="22"/>
        </w:rPr>
        <w:t>(</w:t>
      </w:r>
      <w:r w:rsidR="00BC6B0B">
        <w:rPr>
          <w:rFonts w:eastAsiaTheme="minorHAnsi" w:cs="Arial"/>
          <w:color w:val="000000" w:themeColor="text1"/>
          <w:szCs w:val="22"/>
        </w:rPr>
        <w:fldChar w:fldCharType="begin"/>
      </w:r>
      <w:r w:rsidR="00BC6B0B">
        <w:rPr>
          <w:rFonts w:eastAsiaTheme="minorHAnsi" w:cs="Arial"/>
          <w:color w:val="000000" w:themeColor="text1"/>
          <w:szCs w:val="22"/>
        </w:rPr>
        <w:instrText xml:space="preserve"> REF _Ref438121562 \h </w:instrText>
      </w:r>
      <w:r w:rsidR="00BC6B0B">
        <w:rPr>
          <w:rFonts w:eastAsiaTheme="minorHAnsi" w:cs="Arial"/>
          <w:color w:val="000000" w:themeColor="text1"/>
          <w:szCs w:val="22"/>
        </w:rPr>
      </w:r>
      <w:r w:rsidR="00BC6B0B">
        <w:rPr>
          <w:rFonts w:eastAsiaTheme="minorHAnsi" w:cs="Arial"/>
          <w:color w:val="000000" w:themeColor="text1"/>
          <w:szCs w:val="22"/>
        </w:rPr>
        <w:fldChar w:fldCharType="separate"/>
      </w:r>
      <w:r w:rsidR="00B61881">
        <w:t xml:space="preserve">Figure </w:t>
      </w:r>
      <w:r w:rsidR="00B61881">
        <w:rPr>
          <w:noProof/>
        </w:rPr>
        <w:t>14</w:t>
      </w:r>
      <w:r w:rsidR="00BC6B0B">
        <w:rPr>
          <w:rFonts w:eastAsiaTheme="minorHAnsi" w:cs="Arial"/>
          <w:color w:val="000000" w:themeColor="text1"/>
          <w:szCs w:val="22"/>
        </w:rPr>
        <w:fldChar w:fldCharType="end"/>
      </w:r>
      <w:r w:rsidR="00BC6B0B">
        <w:rPr>
          <w:rFonts w:eastAsiaTheme="minorHAnsi" w:cs="Arial"/>
          <w:color w:val="000000" w:themeColor="text1"/>
          <w:szCs w:val="22"/>
        </w:rPr>
        <w:t>a</w:t>
      </w:r>
      <w:r w:rsidR="001272F2">
        <w:rPr>
          <w:rFonts w:eastAsiaTheme="minorHAnsi" w:cs="Arial"/>
          <w:color w:val="000000" w:themeColor="text1"/>
          <w:szCs w:val="22"/>
        </w:rPr>
        <w:t>,</w:t>
      </w:r>
      <w:r w:rsidR="00BC6B0B">
        <w:rPr>
          <w:rFonts w:eastAsiaTheme="minorHAnsi" w:cs="Arial"/>
          <w:color w:val="000000" w:themeColor="text1"/>
          <w:szCs w:val="22"/>
        </w:rPr>
        <w:t xml:space="preserve"> </w:t>
      </w:r>
      <w:r w:rsidR="00BC6B0B">
        <w:rPr>
          <w:rFonts w:eastAsiaTheme="minorHAnsi" w:cs="Arial"/>
          <w:color w:val="000000" w:themeColor="text1"/>
          <w:szCs w:val="22"/>
        </w:rPr>
        <w:fldChar w:fldCharType="begin"/>
      </w:r>
      <w:r w:rsidR="00BC6B0B">
        <w:rPr>
          <w:rFonts w:eastAsiaTheme="minorHAnsi" w:cs="Arial"/>
          <w:color w:val="000000" w:themeColor="text1"/>
          <w:szCs w:val="22"/>
        </w:rPr>
        <w:instrText xml:space="preserve"> REF _Ref460423145 \h </w:instrText>
      </w:r>
      <w:r w:rsidR="00BC6B0B">
        <w:rPr>
          <w:rFonts w:eastAsiaTheme="minorHAnsi" w:cs="Arial"/>
          <w:color w:val="000000" w:themeColor="text1"/>
          <w:szCs w:val="22"/>
        </w:rPr>
      </w:r>
      <w:r w:rsidR="00BC6B0B">
        <w:rPr>
          <w:rFonts w:eastAsiaTheme="minorHAnsi" w:cs="Arial"/>
          <w:color w:val="000000" w:themeColor="text1"/>
          <w:szCs w:val="22"/>
        </w:rPr>
        <w:fldChar w:fldCharType="separate"/>
      </w:r>
      <w:r w:rsidR="00B61881">
        <w:t xml:space="preserve">Table </w:t>
      </w:r>
      <w:proofErr w:type="gramStart"/>
      <w:r w:rsidR="00B61881">
        <w:t>A</w:t>
      </w:r>
      <w:proofErr w:type="gramEnd"/>
      <w:r w:rsidR="00B61881">
        <w:t xml:space="preserve"> </w:t>
      </w:r>
      <w:r w:rsidR="00B61881">
        <w:rPr>
          <w:noProof/>
        </w:rPr>
        <w:t>4</w:t>
      </w:r>
      <w:r w:rsidR="00BC6B0B">
        <w:rPr>
          <w:rFonts w:eastAsiaTheme="minorHAnsi" w:cs="Arial"/>
          <w:color w:val="000000" w:themeColor="text1"/>
          <w:szCs w:val="22"/>
        </w:rPr>
        <w:fldChar w:fldCharType="end"/>
      </w:r>
      <w:r w:rsidR="001272F2">
        <w:rPr>
          <w:rFonts w:eastAsiaTheme="minorHAnsi" w:cs="Arial"/>
          <w:color w:val="000000" w:themeColor="text1"/>
          <w:szCs w:val="22"/>
        </w:rPr>
        <w:t>)</w:t>
      </w:r>
      <w:r>
        <w:rPr>
          <w:rFonts w:eastAsiaTheme="minorHAnsi" w:cs="Arial"/>
          <w:color w:val="000000" w:themeColor="text1"/>
          <w:szCs w:val="22"/>
        </w:rPr>
        <w:t xml:space="preserve">) </w:t>
      </w:r>
      <w:r w:rsidRPr="00C07591">
        <w:rPr>
          <w:rFonts w:eastAsiaTheme="minorHAnsi" w:cs="Arial"/>
          <w:color w:val="000000" w:themeColor="text1"/>
          <w:szCs w:val="22"/>
        </w:rPr>
        <w:t>influence both the composition and dynamics of</w:t>
      </w:r>
      <w:r>
        <w:rPr>
          <w:rFonts w:eastAsiaTheme="minorHAnsi" w:cs="Arial"/>
          <w:color w:val="000000" w:themeColor="text1"/>
          <w:szCs w:val="22"/>
        </w:rPr>
        <w:t xml:space="preserve"> benthic communities</w:t>
      </w:r>
      <w:r w:rsidRPr="00C07591">
        <w:rPr>
          <w:rFonts w:eastAsiaTheme="minorHAnsi" w:cs="Arial"/>
          <w:color w:val="000000" w:themeColor="text1"/>
          <w:szCs w:val="22"/>
        </w:rPr>
        <w:t>.</w:t>
      </w:r>
      <w:r>
        <w:rPr>
          <w:rFonts w:eastAsiaTheme="minorHAnsi" w:cs="Arial"/>
          <w:color w:val="000000" w:themeColor="text1"/>
          <w:szCs w:val="22"/>
        </w:rPr>
        <w:t xml:space="preserve"> </w:t>
      </w:r>
      <w:r w:rsidRPr="00C07591">
        <w:rPr>
          <w:rFonts w:eastAsiaTheme="minorHAnsi" w:cs="Arial"/>
          <w:color w:val="000000" w:themeColor="text1"/>
          <w:szCs w:val="22"/>
        </w:rPr>
        <w:t xml:space="preserve">Peak and Pelican are situated in relatively turbid </w:t>
      </w:r>
      <w:r>
        <w:rPr>
          <w:rFonts w:eastAsiaTheme="minorHAnsi" w:cs="Arial"/>
          <w:color w:val="000000" w:themeColor="text1"/>
          <w:szCs w:val="22"/>
        </w:rPr>
        <w:t xml:space="preserve">and nutrient rich </w:t>
      </w:r>
      <w:r w:rsidRPr="00C07591">
        <w:rPr>
          <w:rFonts w:eastAsiaTheme="minorHAnsi" w:cs="Arial"/>
          <w:color w:val="000000" w:themeColor="text1"/>
          <w:szCs w:val="22"/>
        </w:rPr>
        <w:t xml:space="preserve">waters compared to reefs further </w:t>
      </w:r>
      <w:r w:rsidR="001272F2">
        <w:rPr>
          <w:rFonts w:eastAsiaTheme="minorHAnsi" w:cs="Arial"/>
          <w:color w:val="000000" w:themeColor="text1"/>
          <w:szCs w:val="22"/>
        </w:rPr>
        <w:t>offshore</w:t>
      </w:r>
      <w:r w:rsidRPr="00C07591">
        <w:rPr>
          <w:rFonts w:eastAsiaTheme="minorHAnsi" w:cs="Arial"/>
          <w:color w:val="000000" w:themeColor="text1"/>
          <w:szCs w:val="22"/>
        </w:rPr>
        <w:t xml:space="preserve"> (</w:t>
      </w:r>
      <w:r w:rsidR="00BC6B0B">
        <w:rPr>
          <w:rFonts w:eastAsiaTheme="minorHAnsi" w:cs="Arial"/>
          <w:color w:val="000000" w:themeColor="text1"/>
          <w:szCs w:val="22"/>
        </w:rPr>
        <w:fldChar w:fldCharType="begin"/>
      </w:r>
      <w:r w:rsidR="00BC6B0B">
        <w:rPr>
          <w:rFonts w:eastAsiaTheme="minorHAnsi" w:cs="Arial"/>
          <w:color w:val="000000" w:themeColor="text1"/>
          <w:szCs w:val="22"/>
        </w:rPr>
        <w:instrText xml:space="preserve"> REF _Ref460423145 \h </w:instrText>
      </w:r>
      <w:r w:rsidR="00BC6B0B">
        <w:rPr>
          <w:rFonts w:eastAsiaTheme="minorHAnsi" w:cs="Arial"/>
          <w:color w:val="000000" w:themeColor="text1"/>
          <w:szCs w:val="22"/>
        </w:rPr>
      </w:r>
      <w:r w:rsidR="00BC6B0B">
        <w:rPr>
          <w:rFonts w:eastAsiaTheme="minorHAnsi" w:cs="Arial"/>
          <w:color w:val="000000" w:themeColor="text1"/>
          <w:szCs w:val="22"/>
        </w:rPr>
        <w:fldChar w:fldCharType="separate"/>
      </w:r>
      <w:r w:rsidR="00B61881">
        <w:t xml:space="preserve">Table A </w:t>
      </w:r>
      <w:r w:rsidR="00B61881">
        <w:rPr>
          <w:noProof/>
        </w:rPr>
        <w:t>4</w:t>
      </w:r>
      <w:r w:rsidR="00BC6B0B">
        <w:rPr>
          <w:rFonts w:eastAsiaTheme="minorHAnsi" w:cs="Arial"/>
          <w:color w:val="000000" w:themeColor="text1"/>
          <w:szCs w:val="22"/>
        </w:rPr>
        <w:fldChar w:fldCharType="end"/>
      </w:r>
      <w:r w:rsidRPr="00A9695C">
        <w:rPr>
          <w:rFonts w:eastAsiaTheme="minorHAnsi" w:cs="Arial"/>
          <w:color w:val="000000" w:themeColor="text1"/>
          <w:szCs w:val="22"/>
        </w:rPr>
        <w:t>),</w:t>
      </w:r>
      <w:r>
        <w:rPr>
          <w:rFonts w:eastAsiaTheme="minorHAnsi" w:cs="Arial"/>
          <w:color w:val="000000" w:themeColor="text1"/>
          <w:szCs w:val="22"/>
        </w:rPr>
        <w:t xml:space="preserve"> Keppels South, Middle and North Keppel also share frequent exposure </w:t>
      </w:r>
      <w:r w:rsidRPr="00C07591">
        <w:rPr>
          <w:rFonts w:eastAsiaTheme="minorHAnsi" w:cs="Arial"/>
          <w:color w:val="000000" w:themeColor="text1"/>
          <w:szCs w:val="22"/>
        </w:rPr>
        <w:t xml:space="preserve">to </w:t>
      </w:r>
      <w:r>
        <w:rPr>
          <w:rFonts w:eastAsiaTheme="minorHAnsi" w:cs="Arial"/>
          <w:color w:val="000000" w:themeColor="text1"/>
          <w:szCs w:val="22"/>
        </w:rPr>
        <w:t>secondary</w:t>
      </w:r>
      <w:r w:rsidRPr="00C07591">
        <w:rPr>
          <w:rFonts w:eastAsiaTheme="minorHAnsi" w:cs="Arial"/>
          <w:color w:val="000000" w:themeColor="text1"/>
          <w:szCs w:val="22"/>
        </w:rPr>
        <w:t xml:space="preserve"> plume</w:t>
      </w:r>
      <w:r>
        <w:rPr>
          <w:rFonts w:eastAsiaTheme="minorHAnsi" w:cs="Arial"/>
          <w:color w:val="000000" w:themeColor="text1"/>
          <w:szCs w:val="22"/>
        </w:rPr>
        <w:t>-type waters and higher nutrient and turbidity levels than Barren (Figure 1</w:t>
      </w:r>
      <w:r w:rsidR="006561AA">
        <w:rPr>
          <w:rFonts w:eastAsiaTheme="minorHAnsi" w:cs="Arial"/>
          <w:color w:val="000000" w:themeColor="text1"/>
          <w:szCs w:val="22"/>
        </w:rPr>
        <w:t>4</w:t>
      </w:r>
      <w:r>
        <w:rPr>
          <w:rFonts w:eastAsiaTheme="minorHAnsi" w:cs="Arial"/>
          <w:color w:val="000000" w:themeColor="text1"/>
          <w:szCs w:val="22"/>
        </w:rPr>
        <w:t>a,</w:t>
      </w:r>
      <w:r w:rsidR="00BC6B0B">
        <w:rPr>
          <w:rFonts w:eastAsiaTheme="minorHAnsi" w:cs="Arial"/>
          <w:color w:val="000000" w:themeColor="text1"/>
          <w:szCs w:val="22"/>
        </w:rPr>
        <w:t xml:space="preserve"> </w:t>
      </w:r>
      <w:r w:rsidR="00BC6B0B">
        <w:rPr>
          <w:rFonts w:eastAsiaTheme="minorHAnsi" w:cs="Arial"/>
          <w:color w:val="000000" w:themeColor="text1"/>
          <w:szCs w:val="22"/>
        </w:rPr>
        <w:fldChar w:fldCharType="begin"/>
      </w:r>
      <w:r w:rsidR="00BC6B0B">
        <w:rPr>
          <w:rFonts w:eastAsiaTheme="minorHAnsi" w:cs="Arial"/>
          <w:color w:val="000000" w:themeColor="text1"/>
          <w:szCs w:val="22"/>
        </w:rPr>
        <w:instrText xml:space="preserve"> REF _Ref460423145 \h </w:instrText>
      </w:r>
      <w:r w:rsidR="00BC6B0B">
        <w:rPr>
          <w:rFonts w:eastAsiaTheme="minorHAnsi" w:cs="Arial"/>
          <w:color w:val="000000" w:themeColor="text1"/>
          <w:szCs w:val="22"/>
        </w:rPr>
      </w:r>
      <w:r w:rsidR="00BC6B0B">
        <w:rPr>
          <w:rFonts w:eastAsiaTheme="minorHAnsi" w:cs="Arial"/>
          <w:color w:val="000000" w:themeColor="text1"/>
          <w:szCs w:val="22"/>
        </w:rPr>
        <w:fldChar w:fldCharType="separate"/>
      </w:r>
      <w:r w:rsidR="00B61881">
        <w:t xml:space="preserve">Table A </w:t>
      </w:r>
      <w:r w:rsidR="00B61881">
        <w:rPr>
          <w:noProof/>
        </w:rPr>
        <w:t>4</w:t>
      </w:r>
      <w:r w:rsidR="00BC6B0B">
        <w:rPr>
          <w:rFonts w:eastAsiaTheme="minorHAnsi" w:cs="Arial"/>
          <w:color w:val="000000" w:themeColor="text1"/>
          <w:szCs w:val="22"/>
        </w:rPr>
        <w:fldChar w:fldCharType="end"/>
      </w:r>
      <w:r>
        <w:rPr>
          <w:rFonts w:eastAsiaTheme="minorHAnsi" w:cs="Arial"/>
          <w:color w:val="000000" w:themeColor="text1"/>
          <w:szCs w:val="22"/>
        </w:rPr>
        <w:t>)</w:t>
      </w:r>
      <w:r w:rsidRPr="00C07591">
        <w:rPr>
          <w:rFonts w:eastAsiaTheme="minorHAnsi" w:cs="Arial"/>
          <w:color w:val="000000" w:themeColor="text1"/>
          <w:szCs w:val="22"/>
        </w:rPr>
        <w:t>.</w:t>
      </w:r>
      <w:r>
        <w:rPr>
          <w:rFonts w:eastAsiaTheme="minorHAnsi" w:cs="Arial"/>
          <w:color w:val="000000" w:themeColor="text1"/>
          <w:szCs w:val="22"/>
        </w:rPr>
        <w:t xml:space="preserve"> These differences in water quality are clearly evident in the benthic communities. At </w:t>
      </w:r>
      <w:r w:rsidRPr="00C07591">
        <w:rPr>
          <w:rFonts w:cs="Arial"/>
        </w:rPr>
        <w:t xml:space="preserve">Peak and Pelican </w:t>
      </w:r>
      <w:r>
        <w:rPr>
          <w:rFonts w:cs="Arial"/>
        </w:rPr>
        <w:t>b</w:t>
      </w:r>
      <w:r w:rsidRPr="00C07591">
        <w:rPr>
          <w:rFonts w:cs="Arial"/>
        </w:rPr>
        <w:t>enthic communities differ markedly between the 2m and 5m depths (</w:t>
      </w:r>
      <w:r w:rsidR="00BC6B0B">
        <w:rPr>
          <w:rFonts w:cs="Arial"/>
        </w:rPr>
        <w:fldChar w:fldCharType="begin"/>
      </w:r>
      <w:r w:rsidR="00BC6B0B">
        <w:rPr>
          <w:rFonts w:cs="Arial"/>
        </w:rPr>
        <w:instrText xml:space="preserve"> REF _Ref460423959 \h </w:instrText>
      </w:r>
      <w:r w:rsidR="00BC6B0B">
        <w:rPr>
          <w:rFonts w:cs="Arial"/>
        </w:rPr>
      </w:r>
      <w:r w:rsidR="00BC6B0B">
        <w:rPr>
          <w:rFonts w:cs="Arial"/>
        </w:rPr>
        <w:fldChar w:fldCharType="separate"/>
      </w:r>
      <w:r w:rsidR="00B61881">
        <w:t xml:space="preserve">Figure </w:t>
      </w:r>
      <w:proofErr w:type="gramStart"/>
      <w:r w:rsidR="00B61881">
        <w:t>A</w:t>
      </w:r>
      <w:proofErr w:type="gramEnd"/>
      <w:r w:rsidR="00B61881">
        <w:t xml:space="preserve"> </w:t>
      </w:r>
      <w:r w:rsidR="00B61881">
        <w:rPr>
          <w:noProof/>
        </w:rPr>
        <w:t>6</w:t>
      </w:r>
      <w:r w:rsidR="00BC6B0B">
        <w:rPr>
          <w:rFonts w:cs="Arial"/>
        </w:rPr>
        <w:fldChar w:fldCharType="end"/>
      </w:r>
      <w:r w:rsidRPr="00C07591">
        <w:rPr>
          <w:rFonts w:cs="Arial"/>
        </w:rPr>
        <w:t xml:space="preserve">), illustrating the substantial attenuation </w:t>
      </w:r>
      <w:r w:rsidR="00BC6B0B">
        <w:rPr>
          <w:rFonts w:cs="Arial"/>
        </w:rPr>
        <w:t xml:space="preserve">of light as a result of </w:t>
      </w:r>
      <w:r w:rsidRPr="00C07591">
        <w:rPr>
          <w:rFonts w:cs="Arial"/>
        </w:rPr>
        <w:t>high turbidity. Pelican has a highly stratified environment, supporting slow growing, low-light tolerant corals at depth, and fast-growing, light-lov</w:t>
      </w:r>
      <w:r w:rsidR="00BC6B0B">
        <w:rPr>
          <w:rFonts w:cs="Arial"/>
        </w:rPr>
        <w:t xml:space="preserve">ing Acroporidae in the shallows; the Acroporidae at 2m </w:t>
      </w:r>
      <w:r w:rsidRPr="00C07591">
        <w:rPr>
          <w:rFonts w:cs="Arial"/>
        </w:rPr>
        <w:t xml:space="preserve">were completely </w:t>
      </w:r>
      <w:r w:rsidR="00EA25EB">
        <w:rPr>
          <w:rFonts w:cs="Arial"/>
        </w:rPr>
        <w:t xml:space="preserve">killed </w:t>
      </w:r>
      <w:r w:rsidRPr="00C07591">
        <w:rPr>
          <w:rFonts w:cs="Arial"/>
        </w:rPr>
        <w:t>by</w:t>
      </w:r>
      <w:r w:rsidR="00BC6B0B">
        <w:rPr>
          <w:rFonts w:cs="Arial"/>
        </w:rPr>
        <w:t xml:space="preserve"> exposure to freshwater during the </w:t>
      </w:r>
      <w:r w:rsidR="00BC6B0B" w:rsidRPr="00C07591">
        <w:rPr>
          <w:rFonts w:cs="Arial"/>
        </w:rPr>
        <w:t>2011</w:t>
      </w:r>
      <w:r w:rsidRPr="00C07591">
        <w:rPr>
          <w:rFonts w:cs="Arial"/>
        </w:rPr>
        <w:t xml:space="preserve"> floods</w:t>
      </w:r>
      <w:r w:rsidR="00BC6B0B">
        <w:rPr>
          <w:rFonts w:cs="Arial"/>
        </w:rPr>
        <w:t xml:space="preserve"> and </w:t>
      </w:r>
      <w:r w:rsidRPr="00C07591">
        <w:rPr>
          <w:rFonts w:cs="Arial"/>
        </w:rPr>
        <w:t>replaced by macroalgae</w:t>
      </w:r>
      <w:r w:rsidR="00BC6B0B">
        <w:rPr>
          <w:rFonts w:cs="Arial"/>
        </w:rPr>
        <w:t xml:space="preserve"> (</w:t>
      </w:r>
      <w:r w:rsidR="00BC6B0B">
        <w:rPr>
          <w:rFonts w:cs="Arial"/>
        </w:rPr>
        <w:fldChar w:fldCharType="begin"/>
      </w:r>
      <w:r w:rsidR="00BC6B0B">
        <w:rPr>
          <w:rFonts w:cs="Arial"/>
        </w:rPr>
        <w:instrText xml:space="preserve"> REF _Ref460423959 \h </w:instrText>
      </w:r>
      <w:r w:rsidR="00BC6B0B">
        <w:rPr>
          <w:rFonts w:cs="Arial"/>
        </w:rPr>
      </w:r>
      <w:r w:rsidR="00BC6B0B">
        <w:rPr>
          <w:rFonts w:cs="Arial"/>
        </w:rPr>
        <w:fldChar w:fldCharType="separate"/>
      </w:r>
      <w:r w:rsidR="00B61881">
        <w:t xml:space="preserve">Figure </w:t>
      </w:r>
      <w:proofErr w:type="gramStart"/>
      <w:r w:rsidR="00B61881">
        <w:t>A</w:t>
      </w:r>
      <w:proofErr w:type="gramEnd"/>
      <w:r w:rsidR="00B61881">
        <w:t xml:space="preserve"> </w:t>
      </w:r>
      <w:r w:rsidR="00B61881">
        <w:rPr>
          <w:noProof/>
        </w:rPr>
        <w:t>6</w:t>
      </w:r>
      <w:r w:rsidR="00BC6B0B">
        <w:rPr>
          <w:rFonts w:cs="Arial"/>
        </w:rPr>
        <w:fldChar w:fldCharType="end"/>
      </w:r>
      <w:r w:rsidR="00BC6B0B">
        <w:rPr>
          <w:rFonts w:cs="Arial"/>
        </w:rPr>
        <w:t>)</w:t>
      </w:r>
      <w:r w:rsidRPr="00C07591">
        <w:rPr>
          <w:rFonts w:cs="Arial"/>
        </w:rPr>
        <w:t>. Recent surveys have noted the re-appear</w:t>
      </w:r>
      <w:r w:rsidR="009646AA">
        <w:rPr>
          <w:rFonts w:cs="Arial"/>
        </w:rPr>
        <w:t>ance of juvenile Acroporidae</w:t>
      </w:r>
      <w:r w:rsidR="00BC6B0B">
        <w:rPr>
          <w:rFonts w:cs="Arial"/>
        </w:rPr>
        <w:t xml:space="preserve"> (</w:t>
      </w:r>
      <w:r w:rsidR="00BC6B0B">
        <w:rPr>
          <w:rFonts w:cs="Arial"/>
        </w:rPr>
        <w:fldChar w:fldCharType="begin"/>
      </w:r>
      <w:r w:rsidR="00BC6B0B">
        <w:rPr>
          <w:rFonts w:cs="Arial"/>
        </w:rPr>
        <w:instrText xml:space="preserve"> REF _Ref460423959 \h </w:instrText>
      </w:r>
      <w:r w:rsidR="00BC6B0B">
        <w:rPr>
          <w:rFonts w:cs="Arial"/>
        </w:rPr>
      </w:r>
      <w:r w:rsidR="00BC6B0B">
        <w:rPr>
          <w:rFonts w:cs="Arial"/>
        </w:rPr>
        <w:fldChar w:fldCharType="separate"/>
      </w:r>
      <w:r w:rsidR="00B61881">
        <w:t xml:space="preserve">Figure </w:t>
      </w:r>
      <w:proofErr w:type="gramStart"/>
      <w:r w:rsidR="00B61881">
        <w:t>A</w:t>
      </w:r>
      <w:proofErr w:type="gramEnd"/>
      <w:r w:rsidR="00B61881">
        <w:t xml:space="preserve"> </w:t>
      </w:r>
      <w:r w:rsidR="00B61881">
        <w:rPr>
          <w:noProof/>
        </w:rPr>
        <w:t>6</w:t>
      </w:r>
      <w:r w:rsidR="00BC6B0B">
        <w:rPr>
          <w:rFonts w:cs="Arial"/>
        </w:rPr>
        <w:fldChar w:fldCharType="end"/>
      </w:r>
      <w:r w:rsidR="00BC6B0B">
        <w:rPr>
          <w:rFonts w:cs="Arial"/>
        </w:rPr>
        <w:t>)</w:t>
      </w:r>
      <w:r w:rsidR="009646AA">
        <w:rPr>
          <w:rFonts w:cs="Arial"/>
        </w:rPr>
        <w:t xml:space="preserve">. </w:t>
      </w:r>
      <w:r w:rsidRPr="00C07591">
        <w:rPr>
          <w:rFonts w:cs="Arial"/>
        </w:rPr>
        <w:t>Even closer to the Fitzroy River, Peak is defined by a low cover of corals, low density of juvenile corals, high cover of macroalgae, and a lack of substantial reef development, suggesting that the environmental conditions at this location are marginal for most corals (</w:t>
      </w:r>
      <w:r w:rsidR="00BC6B0B">
        <w:rPr>
          <w:rFonts w:cs="Arial"/>
        </w:rPr>
        <w:fldChar w:fldCharType="begin"/>
      </w:r>
      <w:r w:rsidR="00BC6B0B">
        <w:rPr>
          <w:rFonts w:cs="Arial"/>
        </w:rPr>
        <w:instrText xml:space="preserve"> REF _Ref460423959 \h </w:instrText>
      </w:r>
      <w:r w:rsidR="00BC6B0B">
        <w:rPr>
          <w:rFonts w:cs="Arial"/>
        </w:rPr>
      </w:r>
      <w:r w:rsidR="00BC6B0B">
        <w:rPr>
          <w:rFonts w:cs="Arial"/>
        </w:rPr>
        <w:fldChar w:fldCharType="separate"/>
      </w:r>
      <w:r w:rsidR="00B61881">
        <w:t xml:space="preserve">Figure A </w:t>
      </w:r>
      <w:r w:rsidR="00B61881">
        <w:rPr>
          <w:noProof/>
        </w:rPr>
        <w:t>6</w:t>
      </w:r>
      <w:r w:rsidR="00BC6B0B">
        <w:rPr>
          <w:rFonts w:cs="Arial"/>
        </w:rPr>
        <w:fldChar w:fldCharType="end"/>
      </w:r>
      <w:r>
        <w:rPr>
          <w:rFonts w:cs="Arial"/>
        </w:rPr>
        <w:t xml:space="preserve">). </w:t>
      </w:r>
      <w:r w:rsidRPr="00C07591">
        <w:rPr>
          <w:rFonts w:cs="Arial"/>
          <w:color w:val="000000"/>
        </w:rPr>
        <w:t xml:space="preserve">Further from the Fitzroy River, the coral communities at Keppels South, Middle Is, North Keppel, and Barren have dominant Acroporidae cover, principally, but not restricted to, the branching </w:t>
      </w:r>
      <w:r w:rsidRPr="00C07591">
        <w:rPr>
          <w:rFonts w:cs="Arial"/>
          <w:i/>
          <w:color w:val="000000"/>
        </w:rPr>
        <w:t>Acropora</w:t>
      </w:r>
      <w:r w:rsidRPr="00C07591">
        <w:rPr>
          <w:rFonts w:cs="Arial"/>
          <w:color w:val="000000"/>
        </w:rPr>
        <w:t xml:space="preserve"> sp</w:t>
      </w:r>
      <w:r w:rsidR="009646AA">
        <w:rPr>
          <w:rFonts w:cs="Arial"/>
          <w:color w:val="000000"/>
        </w:rPr>
        <w:t>.</w:t>
      </w:r>
      <w:r w:rsidRPr="00C07591">
        <w:rPr>
          <w:rFonts w:cs="Arial"/>
          <w:color w:val="000000"/>
        </w:rPr>
        <w:t xml:space="preserve">, </w:t>
      </w:r>
      <w:r w:rsidRPr="00C07591">
        <w:rPr>
          <w:rFonts w:cs="Arial"/>
          <w:i/>
        </w:rPr>
        <w:t xml:space="preserve">Acropora intermedia </w:t>
      </w:r>
      <w:r w:rsidRPr="00C07591">
        <w:rPr>
          <w:rFonts w:cs="Arial"/>
        </w:rPr>
        <w:t>and</w:t>
      </w:r>
      <w:r w:rsidRPr="00C07591">
        <w:rPr>
          <w:rFonts w:cs="Arial"/>
          <w:i/>
        </w:rPr>
        <w:t xml:space="preserve"> A. muricata</w:t>
      </w:r>
      <w:r w:rsidRPr="00C07591">
        <w:rPr>
          <w:rFonts w:cs="Arial"/>
        </w:rPr>
        <w:t xml:space="preserve"> at both 2m and 5m (</w:t>
      </w:r>
      <w:r w:rsidR="00BC6B0B">
        <w:fldChar w:fldCharType="begin"/>
      </w:r>
      <w:r w:rsidR="00BC6B0B">
        <w:rPr>
          <w:rFonts w:cs="Arial"/>
        </w:rPr>
        <w:instrText xml:space="preserve"> REF _Ref460423959 \h </w:instrText>
      </w:r>
      <w:r w:rsidR="00BC6B0B">
        <w:fldChar w:fldCharType="separate"/>
      </w:r>
      <w:r w:rsidR="00B61881">
        <w:t xml:space="preserve">Figure A </w:t>
      </w:r>
      <w:r w:rsidR="00B61881">
        <w:rPr>
          <w:noProof/>
        </w:rPr>
        <w:t>6</w:t>
      </w:r>
      <w:r w:rsidR="00BC6B0B">
        <w:fldChar w:fldCharType="end"/>
      </w:r>
      <w:r w:rsidRPr="00C07591">
        <w:rPr>
          <w:rFonts w:cs="Arial"/>
        </w:rPr>
        <w:t xml:space="preserve">). </w:t>
      </w:r>
    </w:p>
    <w:p w14:paraId="39866309" w14:textId="77777777" w:rsidR="00DB0747" w:rsidRDefault="00DB0747" w:rsidP="003045D3">
      <w:pPr>
        <w:rPr>
          <w:rFonts w:cs="Arial"/>
          <w:color w:val="000000"/>
        </w:rPr>
      </w:pPr>
      <w:r w:rsidRPr="00C07591">
        <w:rPr>
          <w:rFonts w:cs="Arial"/>
        </w:rPr>
        <w:t xml:space="preserve">Prior to the commencement of the MMP in 2005, </w:t>
      </w:r>
      <w:r w:rsidRPr="00C07591">
        <w:rPr>
          <w:color w:val="000000"/>
        </w:rPr>
        <w:t>Queensland Parks and Wildlife Service</w:t>
      </w:r>
      <w:r w:rsidRPr="00C07591">
        <w:rPr>
          <w:rFonts w:cs="Arial"/>
          <w:color w:val="000000"/>
        </w:rPr>
        <w:t xml:space="preserve"> </w:t>
      </w:r>
      <w:r w:rsidRPr="00C07591">
        <w:rPr>
          <w:rFonts w:cs="Arial"/>
        </w:rPr>
        <w:t>monitoring of reefs in Keppel Bay from 1993-2003 recorded substantial loss of coral cover as a result of thermal bleaching events in 1998 and 2002 (</w:t>
      </w:r>
      <w:r w:rsidR="00BC6B0B" w:rsidRPr="00BC6B0B">
        <w:fldChar w:fldCharType="begin"/>
      </w:r>
      <w:r w:rsidR="00BC6B0B" w:rsidRPr="00BC6B0B">
        <w:instrText xml:space="preserve"> REF _Ref460423821 \h </w:instrText>
      </w:r>
      <w:r w:rsidR="00BC6B0B">
        <w:instrText xml:space="preserve"> \* MERGEFORMAT </w:instrText>
      </w:r>
      <w:r w:rsidR="00BC6B0B" w:rsidRPr="00BC6B0B">
        <w:fldChar w:fldCharType="separate"/>
      </w:r>
      <w:r w:rsidR="00B61881" w:rsidRPr="00B61881">
        <w:rPr>
          <w:rFonts w:eastAsia="SimSun"/>
        </w:rPr>
        <w:t>Table A 2</w:t>
      </w:r>
      <w:r w:rsidR="00BC6B0B" w:rsidRPr="00BC6B0B">
        <w:fldChar w:fldCharType="end"/>
      </w:r>
      <w:r w:rsidRPr="00C07591">
        <w:rPr>
          <w:rFonts w:cs="Arial"/>
        </w:rPr>
        <w:t xml:space="preserve">). Importantly, these surveys also demonstrated the resilience of the corals to these events with coral cover </w:t>
      </w:r>
      <w:r w:rsidR="001272F2">
        <w:rPr>
          <w:rFonts w:cs="Arial"/>
        </w:rPr>
        <w:t>rapidly</w:t>
      </w:r>
      <w:r w:rsidR="001272F2" w:rsidRPr="00C07591">
        <w:rPr>
          <w:rFonts w:cs="Arial"/>
        </w:rPr>
        <w:t xml:space="preserve"> </w:t>
      </w:r>
      <w:r w:rsidRPr="00C07591">
        <w:rPr>
          <w:rFonts w:cs="Arial"/>
        </w:rPr>
        <w:t xml:space="preserve">increasing in subsequent years (Sweatman </w:t>
      </w:r>
      <w:r w:rsidRPr="00C07591">
        <w:rPr>
          <w:rFonts w:cs="Arial"/>
          <w:i/>
        </w:rPr>
        <w:t>et al.</w:t>
      </w:r>
      <w:r w:rsidRPr="00C07591">
        <w:rPr>
          <w:rFonts w:cs="Arial"/>
        </w:rPr>
        <w:t xml:space="preserve"> 2007). </w:t>
      </w:r>
      <w:r w:rsidRPr="00C07591">
        <w:rPr>
          <w:rFonts w:cs="Arial"/>
          <w:color w:val="000000"/>
        </w:rPr>
        <w:t xml:space="preserve">Initial MMP surveys in 2005 documented moderate to high hard coral cover on all the </w:t>
      </w:r>
      <w:r w:rsidRPr="00C07591">
        <w:rPr>
          <w:rFonts w:cs="Arial"/>
          <w:i/>
          <w:color w:val="000000"/>
        </w:rPr>
        <w:t>Acropora</w:t>
      </w:r>
      <w:r w:rsidRPr="00C07591">
        <w:rPr>
          <w:rFonts w:cs="Arial"/>
          <w:color w:val="000000"/>
        </w:rPr>
        <w:t>-dominated reefs confirming this recovery (</w:t>
      </w:r>
      <w:r w:rsidR="00BC6B0B">
        <w:rPr>
          <w:rFonts w:cs="Arial"/>
          <w:color w:val="000000"/>
        </w:rPr>
        <w:fldChar w:fldCharType="begin"/>
      </w:r>
      <w:r w:rsidR="00BC6B0B">
        <w:rPr>
          <w:rFonts w:cs="Arial"/>
          <w:color w:val="000000"/>
        </w:rPr>
        <w:instrText xml:space="preserve"> REF _Ref460423959 \h </w:instrText>
      </w:r>
      <w:r w:rsidR="00BC6B0B">
        <w:rPr>
          <w:rFonts w:cs="Arial"/>
          <w:color w:val="000000"/>
        </w:rPr>
      </w:r>
      <w:r w:rsidR="00BC6B0B">
        <w:rPr>
          <w:rFonts w:cs="Arial"/>
          <w:color w:val="000000"/>
        </w:rPr>
        <w:fldChar w:fldCharType="separate"/>
      </w:r>
      <w:r w:rsidR="00B61881">
        <w:t xml:space="preserve">Figure </w:t>
      </w:r>
      <w:proofErr w:type="gramStart"/>
      <w:r w:rsidR="00B61881">
        <w:t>A</w:t>
      </w:r>
      <w:proofErr w:type="gramEnd"/>
      <w:r w:rsidR="00B61881">
        <w:t xml:space="preserve"> </w:t>
      </w:r>
      <w:r w:rsidR="00B61881">
        <w:rPr>
          <w:noProof/>
        </w:rPr>
        <w:t>6</w:t>
      </w:r>
      <w:r w:rsidR="00BC6B0B">
        <w:rPr>
          <w:rFonts w:cs="Arial"/>
          <w:color w:val="000000"/>
        </w:rPr>
        <w:fldChar w:fldCharType="end"/>
      </w:r>
      <w:r w:rsidRPr="00C07591">
        <w:rPr>
          <w:rFonts w:cs="Arial"/>
          <w:color w:val="000000"/>
        </w:rPr>
        <w:t xml:space="preserve">). In 2005-06, increased sea surface temperatures </w:t>
      </w:r>
      <w:r w:rsidR="00BC6B0B">
        <w:rPr>
          <w:rFonts w:cs="Arial"/>
          <w:color w:val="000000"/>
        </w:rPr>
        <w:t>(</w:t>
      </w:r>
      <w:r w:rsidR="00BC6B0B">
        <w:rPr>
          <w:rFonts w:cs="Arial"/>
          <w:color w:val="000000"/>
        </w:rPr>
        <w:fldChar w:fldCharType="begin"/>
      </w:r>
      <w:r w:rsidR="00BC6B0B">
        <w:rPr>
          <w:rFonts w:cs="Arial"/>
          <w:color w:val="000000"/>
        </w:rPr>
        <w:instrText xml:space="preserve"> REF _Ref438121562 \h </w:instrText>
      </w:r>
      <w:r w:rsidR="00BC6B0B">
        <w:rPr>
          <w:rFonts w:cs="Arial"/>
          <w:color w:val="000000"/>
        </w:rPr>
      </w:r>
      <w:r w:rsidR="00BC6B0B">
        <w:rPr>
          <w:rFonts w:cs="Arial"/>
          <w:color w:val="000000"/>
        </w:rPr>
        <w:fldChar w:fldCharType="separate"/>
      </w:r>
      <w:r w:rsidR="00B61881">
        <w:t xml:space="preserve">Figure </w:t>
      </w:r>
      <w:r w:rsidR="00B61881">
        <w:rPr>
          <w:noProof/>
        </w:rPr>
        <w:t>14</w:t>
      </w:r>
      <w:r w:rsidR="00BC6B0B">
        <w:rPr>
          <w:rFonts w:cs="Arial"/>
          <w:color w:val="000000"/>
        </w:rPr>
        <w:fldChar w:fldCharType="end"/>
      </w:r>
      <w:r w:rsidR="00BC6B0B">
        <w:rPr>
          <w:rFonts w:cs="Arial"/>
          <w:color w:val="000000"/>
        </w:rPr>
        <w:t xml:space="preserve">c) </w:t>
      </w:r>
      <w:r w:rsidRPr="00C07591">
        <w:rPr>
          <w:rFonts w:cs="Arial"/>
          <w:color w:val="000000"/>
        </w:rPr>
        <w:t xml:space="preserve">again led to a severe bleaching event resulting in marked reductions in coral cover, in particular Acroporidae, and a resultant bloom of the brown macroalgae </w:t>
      </w:r>
      <w:r w:rsidRPr="00C07591">
        <w:rPr>
          <w:rFonts w:cs="Arial"/>
          <w:i/>
          <w:color w:val="000000"/>
        </w:rPr>
        <w:t>Lobophora variegata</w:t>
      </w:r>
      <w:r w:rsidRPr="00C07591">
        <w:rPr>
          <w:rFonts w:cs="Arial"/>
          <w:color w:val="000000"/>
        </w:rPr>
        <w:t xml:space="preserve"> (</w:t>
      </w:r>
      <w:r w:rsidR="00BC6B0B">
        <w:rPr>
          <w:rFonts w:cs="Arial"/>
          <w:color w:val="000000"/>
        </w:rPr>
        <w:fldChar w:fldCharType="begin"/>
      </w:r>
      <w:r w:rsidR="00BC6B0B">
        <w:rPr>
          <w:rFonts w:cs="Arial"/>
          <w:color w:val="000000"/>
        </w:rPr>
        <w:instrText xml:space="preserve"> REF _Ref460423959 \h </w:instrText>
      </w:r>
      <w:r w:rsidR="00BC6B0B">
        <w:rPr>
          <w:rFonts w:cs="Arial"/>
          <w:color w:val="000000"/>
        </w:rPr>
      </w:r>
      <w:r w:rsidR="00BC6B0B">
        <w:rPr>
          <w:rFonts w:cs="Arial"/>
          <w:color w:val="000000"/>
        </w:rPr>
        <w:fldChar w:fldCharType="separate"/>
      </w:r>
      <w:r w:rsidR="00B61881">
        <w:t xml:space="preserve">Figure A </w:t>
      </w:r>
      <w:r w:rsidR="00B61881">
        <w:rPr>
          <w:noProof/>
        </w:rPr>
        <w:t>6</w:t>
      </w:r>
      <w:r w:rsidR="00BC6B0B">
        <w:rPr>
          <w:rFonts w:cs="Arial"/>
          <w:color w:val="000000"/>
        </w:rPr>
        <w:fldChar w:fldCharType="end"/>
      </w:r>
      <w:r w:rsidR="00BC6B0B">
        <w:rPr>
          <w:rFonts w:cs="Arial"/>
          <w:color w:val="000000"/>
        </w:rPr>
        <w:t xml:space="preserve">, </w:t>
      </w:r>
      <w:r w:rsidRPr="00C07591">
        <w:rPr>
          <w:rFonts w:cs="Arial"/>
          <w:color w:val="000000"/>
        </w:rPr>
        <w:t xml:space="preserve">Diaz-Pulido </w:t>
      </w:r>
      <w:r w:rsidRPr="00C07591">
        <w:rPr>
          <w:rFonts w:cs="Arial"/>
          <w:i/>
          <w:color w:val="000000"/>
        </w:rPr>
        <w:t xml:space="preserve">et al. </w:t>
      </w:r>
      <w:r w:rsidRPr="00C07591">
        <w:rPr>
          <w:rFonts w:cs="Arial"/>
          <w:color w:val="000000"/>
        </w:rPr>
        <w:t>2009</w:t>
      </w:r>
      <w:r>
        <w:rPr>
          <w:rFonts w:cs="Arial"/>
          <w:color w:val="000000"/>
        </w:rPr>
        <w:t xml:space="preserve">). This event was responsible for approximately 15% of the coral cover lost in the region since 2005 </w:t>
      </w:r>
      <w:r w:rsidRPr="00C07591">
        <w:rPr>
          <w:rFonts w:cs="Arial"/>
          <w:color w:val="000000"/>
        </w:rPr>
        <w:t>(</w:t>
      </w:r>
      <w:r w:rsidR="00BC6B0B">
        <w:rPr>
          <w:rFonts w:cs="Arial"/>
          <w:color w:val="000000"/>
        </w:rPr>
        <w:fldChar w:fldCharType="begin"/>
      </w:r>
      <w:r w:rsidR="00BC6B0B">
        <w:rPr>
          <w:rFonts w:cs="Arial"/>
          <w:color w:val="000000"/>
        </w:rPr>
        <w:instrText xml:space="preserve"> REF _Ref438121562 \h </w:instrText>
      </w:r>
      <w:r w:rsidR="00BC6B0B">
        <w:rPr>
          <w:rFonts w:cs="Arial"/>
          <w:color w:val="000000"/>
        </w:rPr>
      </w:r>
      <w:r w:rsidR="00BC6B0B">
        <w:rPr>
          <w:rFonts w:cs="Arial"/>
          <w:color w:val="000000"/>
        </w:rPr>
        <w:fldChar w:fldCharType="separate"/>
      </w:r>
      <w:r w:rsidR="00B61881">
        <w:t xml:space="preserve">Figure </w:t>
      </w:r>
      <w:r w:rsidR="00B61881">
        <w:rPr>
          <w:noProof/>
        </w:rPr>
        <w:t>14</w:t>
      </w:r>
      <w:r w:rsidR="00BC6B0B">
        <w:rPr>
          <w:rFonts w:cs="Arial"/>
          <w:color w:val="000000"/>
        </w:rPr>
        <w:fldChar w:fldCharType="end"/>
      </w:r>
      <w:r w:rsidRPr="00C07591">
        <w:rPr>
          <w:rFonts w:cs="Arial"/>
          <w:color w:val="000000"/>
        </w:rPr>
        <w:t>b)</w:t>
      </w:r>
      <w:r>
        <w:rPr>
          <w:rFonts w:cs="Arial"/>
          <w:color w:val="000000"/>
        </w:rPr>
        <w:t xml:space="preserve"> and a reduction in the coral index from </w:t>
      </w:r>
      <w:r w:rsidR="006561AA">
        <w:rPr>
          <w:rFonts w:cs="Arial"/>
          <w:color w:val="000000"/>
        </w:rPr>
        <w:t>‘moderate’ to ‘poor’ (</w:t>
      </w:r>
      <w:r w:rsidR="00BB3908">
        <w:rPr>
          <w:rFonts w:cs="Arial"/>
          <w:color w:val="000000"/>
        </w:rPr>
        <w:fldChar w:fldCharType="begin"/>
      </w:r>
      <w:r w:rsidR="00BB3908">
        <w:rPr>
          <w:rFonts w:cs="Arial"/>
          <w:color w:val="000000"/>
        </w:rPr>
        <w:instrText xml:space="preserve"> REF _Ref438121610 \h </w:instrText>
      </w:r>
      <w:r w:rsidR="00BB3908">
        <w:rPr>
          <w:rFonts w:cs="Arial"/>
          <w:color w:val="000000"/>
        </w:rPr>
      </w:r>
      <w:r w:rsidR="00BB3908">
        <w:rPr>
          <w:rFonts w:cs="Arial"/>
          <w:color w:val="000000"/>
        </w:rPr>
        <w:fldChar w:fldCharType="separate"/>
      </w:r>
      <w:r w:rsidR="00B61881">
        <w:t xml:space="preserve">Figure </w:t>
      </w:r>
      <w:r w:rsidR="00B61881">
        <w:rPr>
          <w:noProof/>
        </w:rPr>
        <w:t>15</w:t>
      </w:r>
      <w:r w:rsidR="00BB3908">
        <w:rPr>
          <w:rFonts w:cs="Arial"/>
          <w:color w:val="000000"/>
        </w:rPr>
        <w:fldChar w:fldCharType="end"/>
      </w:r>
      <w:r w:rsidRPr="00C07591">
        <w:rPr>
          <w:rFonts w:cs="Arial"/>
          <w:color w:val="000000"/>
        </w:rPr>
        <w:t>a</w:t>
      </w:r>
      <w:r>
        <w:rPr>
          <w:rFonts w:cs="Arial"/>
          <w:color w:val="000000"/>
        </w:rPr>
        <w:t>).</w:t>
      </w:r>
      <w:r w:rsidRPr="00C07591">
        <w:rPr>
          <w:rFonts w:cs="Arial"/>
          <w:color w:val="000000"/>
        </w:rPr>
        <w:t xml:space="preserve"> </w:t>
      </w:r>
    </w:p>
    <w:p w14:paraId="73921906" w14:textId="77777777" w:rsidR="00DB0747" w:rsidRPr="00D61C95" w:rsidRDefault="00DB0747" w:rsidP="003045D3">
      <w:pPr>
        <w:rPr>
          <w:rFonts w:cs="Arial"/>
          <w:color w:val="000000"/>
        </w:rPr>
      </w:pPr>
      <w:r>
        <w:rPr>
          <w:rFonts w:cs="Arial"/>
          <w:color w:val="000000"/>
        </w:rPr>
        <w:t>Following on from 2006 has been a period of frequent disturbances from both storms and flooding of the Fitzroy River (</w:t>
      </w:r>
      <w:r w:rsidR="00BB3908">
        <w:rPr>
          <w:rFonts w:cs="Arial"/>
          <w:color w:val="000000"/>
        </w:rPr>
        <w:fldChar w:fldCharType="begin"/>
      </w:r>
      <w:r w:rsidR="00BB3908">
        <w:rPr>
          <w:rFonts w:cs="Arial"/>
          <w:color w:val="000000"/>
        </w:rPr>
        <w:instrText xml:space="preserve"> REF _Ref438121562 \h </w:instrText>
      </w:r>
      <w:r w:rsidR="00BB3908">
        <w:rPr>
          <w:rFonts w:cs="Arial"/>
          <w:color w:val="000000"/>
        </w:rPr>
      </w:r>
      <w:r w:rsidR="00BB3908">
        <w:rPr>
          <w:rFonts w:cs="Arial"/>
          <w:color w:val="000000"/>
        </w:rPr>
        <w:fldChar w:fldCharType="separate"/>
      </w:r>
      <w:r w:rsidR="00B61881">
        <w:t xml:space="preserve">Figure </w:t>
      </w:r>
      <w:r w:rsidR="00B61881">
        <w:rPr>
          <w:noProof/>
        </w:rPr>
        <w:t>14</w:t>
      </w:r>
      <w:r w:rsidR="00BB3908">
        <w:rPr>
          <w:rFonts w:cs="Arial"/>
          <w:color w:val="000000"/>
        </w:rPr>
        <w:fldChar w:fldCharType="end"/>
      </w:r>
      <w:r>
        <w:rPr>
          <w:rFonts w:cs="Arial"/>
          <w:color w:val="000000"/>
        </w:rPr>
        <w:t>c</w:t>
      </w:r>
      <w:proofErr w:type="gramStart"/>
      <w:r>
        <w:rPr>
          <w:rFonts w:cs="Arial"/>
          <w:color w:val="000000"/>
        </w:rPr>
        <w:t>,d</w:t>
      </w:r>
      <w:proofErr w:type="gramEnd"/>
      <w:r>
        <w:rPr>
          <w:rFonts w:cs="Arial"/>
          <w:color w:val="000000"/>
        </w:rPr>
        <w:t>,</w:t>
      </w:r>
      <w:r w:rsidR="00BC6B0B">
        <w:rPr>
          <w:rFonts w:cs="Arial"/>
          <w:color w:val="000000"/>
        </w:rPr>
        <w:t xml:space="preserve"> </w:t>
      </w:r>
      <w:r w:rsidR="00BC6B0B">
        <w:rPr>
          <w:rFonts w:cs="Arial"/>
          <w:color w:val="000000"/>
        </w:rPr>
        <w:fldChar w:fldCharType="begin"/>
      </w:r>
      <w:r w:rsidR="00BC6B0B">
        <w:rPr>
          <w:rFonts w:cs="Arial"/>
          <w:color w:val="000000"/>
        </w:rPr>
        <w:instrText xml:space="preserve"> REF _Ref460423784 \h </w:instrText>
      </w:r>
      <w:r w:rsidR="00BC6B0B">
        <w:rPr>
          <w:rFonts w:cs="Arial"/>
          <w:color w:val="000000"/>
        </w:rPr>
      </w:r>
      <w:r w:rsidR="00BC6B0B">
        <w:rPr>
          <w:rFonts w:cs="Arial"/>
          <w:color w:val="000000"/>
        </w:rPr>
        <w:fldChar w:fldCharType="separate"/>
      </w:r>
      <w:r w:rsidR="00B61881">
        <w:t xml:space="preserve">Table A </w:t>
      </w:r>
      <w:r w:rsidR="00B61881">
        <w:rPr>
          <w:noProof/>
        </w:rPr>
        <w:t>1</w:t>
      </w:r>
      <w:r w:rsidR="00BC6B0B">
        <w:rPr>
          <w:rFonts w:cs="Arial"/>
          <w:color w:val="000000"/>
        </w:rPr>
        <w:fldChar w:fldCharType="end"/>
      </w:r>
      <w:r w:rsidR="00BC6B0B">
        <w:rPr>
          <w:rFonts w:cs="Arial"/>
          <w:color w:val="000000"/>
        </w:rPr>
        <w:t>,</w:t>
      </w:r>
      <w:r w:rsidR="00BC6B0B" w:rsidRPr="00BC6B0B">
        <w:fldChar w:fldCharType="begin"/>
      </w:r>
      <w:r w:rsidR="00BC6B0B" w:rsidRPr="00BC6B0B">
        <w:instrText xml:space="preserve"> REF _Ref460423821 \h </w:instrText>
      </w:r>
      <w:r w:rsidR="00BC6B0B">
        <w:instrText xml:space="preserve"> \* MERGEFORMAT </w:instrText>
      </w:r>
      <w:r w:rsidR="00BC6B0B" w:rsidRPr="00BC6B0B">
        <w:fldChar w:fldCharType="separate"/>
      </w:r>
      <w:r w:rsidR="00B61881" w:rsidRPr="00B61881">
        <w:rPr>
          <w:rFonts w:eastAsia="SimSun"/>
        </w:rPr>
        <w:t>Table A 2</w:t>
      </w:r>
      <w:r w:rsidR="00BC6B0B" w:rsidRPr="00BC6B0B">
        <w:fldChar w:fldCharType="end"/>
      </w:r>
      <w:r>
        <w:rPr>
          <w:rFonts w:cs="Arial"/>
          <w:color w:val="000000"/>
        </w:rPr>
        <w:t xml:space="preserve">). </w:t>
      </w:r>
      <w:r w:rsidRPr="00C07591">
        <w:rPr>
          <w:rFonts w:cs="Arial"/>
          <w:color w:val="000000"/>
        </w:rPr>
        <w:t>While the region receives few cyclones compared to other regions (</w:t>
      </w:r>
      <w:r w:rsidR="00BC6B0B">
        <w:rPr>
          <w:rFonts w:cs="Arial"/>
          <w:color w:val="000000"/>
        </w:rPr>
        <w:fldChar w:fldCharType="begin"/>
      </w:r>
      <w:r w:rsidR="00BC6B0B">
        <w:rPr>
          <w:rFonts w:cs="Arial"/>
          <w:color w:val="000000"/>
        </w:rPr>
        <w:instrText xml:space="preserve"> REF _Ref460487629 \h </w:instrText>
      </w:r>
      <w:r w:rsidR="00BC6B0B">
        <w:rPr>
          <w:rFonts w:cs="Arial"/>
          <w:color w:val="000000"/>
        </w:rPr>
      </w:r>
      <w:r w:rsidR="00BC6B0B">
        <w:rPr>
          <w:rFonts w:cs="Arial"/>
          <w:color w:val="000000"/>
        </w:rPr>
        <w:fldChar w:fldCharType="separate"/>
      </w:r>
      <w:r w:rsidR="00B61881">
        <w:t xml:space="preserve">Figure </w:t>
      </w:r>
      <w:proofErr w:type="gramStart"/>
      <w:r w:rsidR="00B61881">
        <w:t>A</w:t>
      </w:r>
      <w:proofErr w:type="gramEnd"/>
      <w:r w:rsidR="00B61881">
        <w:t xml:space="preserve"> </w:t>
      </w:r>
      <w:r w:rsidR="00B61881">
        <w:rPr>
          <w:noProof/>
        </w:rPr>
        <w:t>8</w:t>
      </w:r>
      <w:r w:rsidR="00BC6B0B">
        <w:rPr>
          <w:rFonts w:cs="Arial"/>
          <w:color w:val="000000"/>
        </w:rPr>
        <w:fldChar w:fldCharType="end"/>
      </w:r>
      <w:r w:rsidRPr="00C07591">
        <w:rPr>
          <w:rFonts w:cs="Arial"/>
          <w:color w:val="000000"/>
        </w:rPr>
        <w:t xml:space="preserve">), the northward-facing reefs of Barren and Middle </w:t>
      </w:r>
      <w:r>
        <w:rPr>
          <w:rFonts w:cs="Arial"/>
          <w:color w:val="000000"/>
        </w:rPr>
        <w:t xml:space="preserve">have been </w:t>
      </w:r>
      <w:r w:rsidRPr="00C07591">
        <w:rPr>
          <w:rFonts w:cs="Arial"/>
          <w:color w:val="000000"/>
        </w:rPr>
        <w:t xml:space="preserve">particularly vulnerable to </w:t>
      </w:r>
      <w:r>
        <w:rPr>
          <w:rFonts w:cs="Arial"/>
          <w:color w:val="000000"/>
        </w:rPr>
        <w:t>storm damage</w:t>
      </w:r>
      <w:r w:rsidRPr="00C07591">
        <w:rPr>
          <w:rFonts w:cs="Arial"/>
          <w:color w:val="000000"/>
        </w:rPr>
        <w:t xml:space="preserve">. </w:t>
      </w:r>
      <w:r>
        <w:rPr>
          <w:rFonts w:cs="Arial"/>
          <w:color w:val="000000"/>
        </w:rPr>
        <w:t>S</w:t>
      </w:r>
      <w:r w:rsidRPr="00C07591">
        <w:rPr>
          <w:rFonts w:cs="Arial"/>
          <w:color w:val="000000"/>
        </w:rPr>
        <w:t xml:space="preserve">torm </w:t>
      </w:r>
      <w:r>
        <w:rPr>
          <w:rFonts w:cs="Arial"/>
          <w:color w:val="000000"/>
        </w:rPr>
        <w:t xml:space="preserve">driven waves in </w:t>
      </w:r>
      <w:r w:rsidRPr="00C07591">
        <w:rPr>
          <w:rFonts w:cs="Arial"/>
          <w:color w:val="000000"/>
        </w:rPr>
        <w:t>2008, 2010, ex-TC Oswald 2013, ex-TC Dylan 2014 and Cyclone Marcia 2</w:t>
      </w:r>
      <w:r w:rsidR="00BC6B0B">
        <w:rPr>
          <w:rFonts w:cs="Arial"/>
          <w:color w:val="000000"/>
        </w:rPr>
        <w:t xml:space="preserve">015 </w:t>
      </w:r>
      <w:r>
        <w:rPr>
          <w:rFonts w:cs="Arial"/>
          <w:color w:val="000000"/>
        </w:rPr>
        <w:t xml:space="preserve">have been </w:t>
      </w:r>
      <w:r w:rsidRPr="00C07591">
        <w:rPr>
          <w:rFonts w:cs="Arial"/>
          <w:color w:val="000000"/>
        </w:rPr>
        <w:t xml:space="preserve">the main cause of coral </w:t>
      </w:r>
      <w:r w:rsidR="00BC6B0B">
        <w:rPr>
          <w:rFonts w:cs="Arial"/>
          <w:color w:val="000000"/>
        </w:rPr>
        <w:t>cover declines at these reefs</w:t>
      </w:r>
      <w:r w:rsidRPr="00C07591">
        <w:rPr>
          <w:rFonts w:cs="Arial"/>
          <w:color w:val="000000"/>
        </w:rPr>
        <w:t xml:space="preserve"> s</w:t>
      </w:r>
      <w:r>
        <w:rPr>
          <w:rFonts w:cs="Arial"/>
          <w:color w:val="000000"/>
        </w:rPr>
        <w:t>ince the 2006 bleaching event</w:t>
      </w:r>
      <w:r w:rsidR="00BC6B0B">
        <w:rPr>
          <w:rFonts w:cs="Arial"/>
          <w:color w:val="000000"/>
        </w:rPr>
        <w:t xml:space="preserve"> (</w:t>
      </w:r>
      <w:r w:rsidR="00BC6B0B" w:rsidRPr="00BC6B0B">
        <w:fldChar w:fldCharType="begin"/>
      </w:r>
      <w:r w:rsidR="00BC6B0B" w:rsidRPr="00BC6B0B">
        <w:instrText xml:space="preserve"> REF _Ref460423821 \h </w:instrText>
      </w:r>
      <w:r w:rsidR="00BC6B0B">
        <w:instrText xml:space="preserve"> \* MERGEFORMAT </w:instrText>
      </w:r>
      <w:r w:rsidR="00BC6B0B" w:rsidRPr="00BC6B0B">
        <w:fldChar w:fldCharType="separate"/>
      </w:r>
      <w:r w:rsidR="00B61881" w:rsidRPr="00B61881">
        <w:rPr>
          <w:rFonts w:eastAsia="SimSun"/>
        </w:rPr>
        <w:t xml:space="preserve">Table </w:t>
      </w:r>
      <w:proofErr w:type="gramStart"/>
      <w:r w:rsidR="00B61881" w:rsidRPr="00B61881">
        <w:rPr>
          <w:rFonts w:eastAsia="SimSun"/>
        </w:rPr>
        <w:t>A</w:t>
      </w:r>
      <w:proofErr w:type="gramEnd"/>
      <w:r w:rsidR="00B61881" w:rsidRPr="00B61881">
        <w:rPr>
          <w:rFonts w:eastAsia="SimSun"/>
        </w:rPr>
        <w:t xml:space="preserve"> 2</w:t>
      </w:r>
      <w:r w:rsidR="00BC6B0B" w:rsidRPr="00BC6B0B">
        <w:fldChar w:fldCharType="end"/>
      </w:r>
      <w:r w:rsidR="00BC6B0B">
        <w:rPr>
          <w:rFonts w:cs="Arial"/>
          <w:color w:val="000000"/>
        </w:rPr>
        <w:t>)</w:t>
      </w:r>
      <w:r>
        <w:rPr>
          <w:rFonts w:cs="Arial"/>
          <w:color w:val="000000"/>
        </w:rPr>
        <w:t xml:space="preserve">. </w:t>
      </w:r>
      <w:r w:rsidR="008214BF">
        <w:rPr>
          <w:rFonts w:cs="Arial"/>
          <w:color w:val="000000"/>
        </w:rPr>
        <w:t>C</w:t>
      </w:r>
      <w:r>
        <w:rPr>
          <w:rFonts w:cs="Arial"/>
          <w:color w:val="000000"/>
        </w:rPr>
        <w:t xml:space="preserve">ompounding the impact of these storm events has been a </w:t>
      </w:r>
      <w:r w:rsidRPr="00C07591">
        <w:rPr>
          <w:rFonts w:eastAsiaTheme="minorHAnsi" w:cs="Arial"/>
          <w:color w:val="000000" w:themeColor="text1"/>
          <w:szCs w:val="22"/>
        </w:rPr>
        <w:t>period of intense flooding with annual discharge from the Fitzroy River exceeding the long-term median in 2008, and 2010-2013</w:t>
      </w:r>
      <w:r w:rsidR="00BC6B0B">
        <w:rPr>
          <w:rFonts w:eastAsiaTheme="minorHAnsi" w:cs="Arial"/>
          <w:color w:val="000000" w:themeColor="text1"/>
          <w:szCs w:val="22"/>
        </w:rPr>
        <w:t xml:space="preserve"> (</w:t>
      </w:r>
      <w:r w:rsidR="00BC6B0B">
        <w:rPr>
          <w:rFonts w:eastAsiaTheme="minorHAnsi" w:cs="Arial"/>
          <w:color w:val="000000" w:themeColor="text1"/>
          <w:szCs w:val="22"/>
        </w:rPr>
        <w:fldChar w:fldCharType="begin"/>
      </w:r>
      <w:r w:rsidR="00BC6B0B">
        <w:rPr>
          <w:rFonts w:eastAsiaTheme="minorHAnsi" w:cs="Arial"/>
          <w:color w:val="000000" w:themeColor="text1"/>
          <w:szCs w:val="22"/>
        </w:rPr>
        <w:instrText xml:space="preserve"> REF _Ref438121562 \h </w:instrText>
      </w:r>
      <w:r w:rsidR="00BC6B0B">
        <w:rPr>
          <w:rFonts w:eastAsiaTheme="minorHAnsi" w:cs="Arial"/>
          <w:color w:val="000000" w:themeColor="text1"/>
          <w:szCs w:val="22"/>
        </w:rPr>
      </w:r>
      <w:r w:rsidR="00BC6B0B">
        <w:rPr>
          <w:rFonts w:eastAsiaTheme="minorHAnsi" w:cs="Arial"/>
          <w:color w:val="000000" w:themeColor="text1"/>
          <w:szCs w:val="22"/>
        </w:rPr>
        <w:fldChar w:fldCharType="separate"/>
      </w:r>
      <w:r w:rsidR="00B61881">
        <w:t xml:space="preserve">Figure </w:t>
      </w:r>
      <w:r w:rsidR="00B61881">
        <w:rPr>
          <w:noProof/>
        </w:rPr>
        <w:t>14</w:t>
      </w:r>
      <w:r w:rsidR="00BC6B0B">
        <w:rPr>
          <w:rFonts w:eastAsiaTheme="minorHAnsi" w:cs="Arial"/>
          <w:color w:val="000000" w:themeColor="text1"/>
          <w:szCs w:val="22"/>
        </w:rPr>
        <w:fldChar w:fldCharType="end"/>
      </w:r>
      <w:r w:rsidR="00BC6B0B">
        <w:rPr>
          <w:rFonts w:eastAsiaTheme="minorHAnsi" w:cs="Arial"/>
          <w:color w:val="000000" w:themeColor="text1"/>
          <w:szCs w:val="22"/>
        </w:rPr>
        <w:t xml:space="preserve">d, </w:t>
      </w:r>
      <w:r w:rsidR="00BC6B0B">
        <w:rPr>
          <w:rFonts w:eastAsiaTheme="minorHAnsi" w:cs="Arial"/>
          <w:color w:val="000000" w:themeColor="text1"/>
          <w:szCs w:val="22"/>
        </w:rPr>
        <w:fldChar w:fldCharType="begin"/>
      </w:r>
      <w:r w:rsidR="00BC6B0B">
        <w:rPr>
          <w:rFonts w:eastAsiaTheme="minorHAnsi" w:cs="Arial"/>
          <w:color w:val="000000" w:themeColor="text1"/>
          <w:szCs w:val="22"/>
        </w:rPr>
        <w:instrText xml:space="preserve"> REF _Ref460423784 \h </w:instrText>
      </w:r>
      <w:r w:rsidR="00BC6B0B">
        <w:rPr>
          <w:rFonts w:eastAsiaTheme="minorHAnsi" w:cs="Arial"/>
          <w:color w:val="000000" w:themeColor="text1"/>
          <w:szCs w:val="22"/>
        </w:rPr>
      </w:r>
      <w:r w:rsidR="00BC6B0B">
        <w:rPr>
          <w:rFonts w:eastAsiaTheme="minorHAnsi" w:cs="Arial"/>
          <w:color w:val="000000" w:themeColor="text1"/>
          <w:szCs w:val="22"/>
        </w:rPr>
        <w:fldChar w:fldCharType="separate"/>
      </w:r>
      <w:r w:rsidR="00B61881">
        <w:t xml:space="preserve">Table </w:t>
      </w:r>
      <w:proofErr w:type="gramStart"/>
      <w:r w:rsidR="00B61881">
        <w:t>A</w:t>
      </w:r>
      <w:proofErr w:type="gramEnd"/>
      <w:r w:rsidR="00B61881">
        <w:t xml:space="preserve"> </w:t>
      </w:r>
      <w:r w:rsidR="00B61881">
        <w:rPr>
          <w:noProof/>
        </w:rPr>
        <w:t>1</w:t>
      </w:r>
      <w:r w:rsidR="00BC6B0B">
        <w:rPr>
          <w:rFonts w:eastAsiaTheme="minorHAnsi" w:cs="Arial"/>
          <w:color w:val="000000" w:themeColor="text1"/>
          <w:szCs w:val="22"/>
        </w:rPr>
        <w:fldChar w:fldCharType="end"/>
      </w:r>
      <w:r w:rsidR="00BC6B0B">
        <w:rPr>
          <w:rFonts w:eastAsiaTheme="minorHAnsi" w:cs="Arial"/>
          <w:color w:val="000000" w:themeColor="text1"/>
          <w:szCs w:val="22"/>
        </w:rPr>
        <w:t>). T</w:t>
      </w:r>
      <w:r w:rsidRPr="00C07591">
        <w:rPr>
          <w:rFonts w:eastAsiaTheme="minorHAnsi" w:cs="Arial"/>
          <w:color w:val="000000" w:themeColor="text1"/>
          <w:szCs w:val="22"/>
        </w:rPr>
        <w:t xml:space="preserve">he 2011 flood event was </w:t>
      </w:r>
      <w:r w:rsidR="006561AA">
        <w:rPr>
          <w:rFonts w:eastAsiaTheme="minorHAnsi" w:cs="Arial"/>
          <w:color w:val="000000" w:themeColor="text1"/>
          <w:szCs w:val="22"/>
        </w:rPr>
        <w:t>the largest on record</w:t>
      </w:r>
      <w:r w:rsidRPr="00C07591">
        <w:rPr>
          <w:rFonts w:eastAsiaTheme="minorHAnsi" w:cs="Arial"/>
          <w:color w:val="000000" w:themeColor="text1"/>
          <w:szCs w:val="22"/>
        </w:rPr>
        <w:t xml:space="preserve"> </w:t>
      </w:r>
      <w:r w:rsidR="00BC6B0B">
        <w:rPr>
          <w:rFonts w:eastAsiaTheme="minorHAnsi" w:cs="Arial"/>
          <w:color w:val="000000" w:themeColor="text1"/>
          <w:szCs w:val="22"/>
        </w:rPr>
        <w:t xml:space="preserve">and exposed shallow coral communities to low salinity waters that </w:t>
      </w:r>
      <w:r w:rsidRPr="00C07591">
        <w:rPr>
          <w:rFonts w:eastAsiaTheme="minorHAnsi" w:cs="Arial"/>
          <w:color w:val="000000" w:themeColor="text1"/>
          <w:szCs w:val="22"/>
        </w:rPr>
        <w:t>caused widespread</w:t>
      </w:r>
      <w:r w:rsidR="00D61C95">
        <w:rPr>
          <w:rFonts w:eastAsiaTheme="minorHAnsi" w:cs="Arial"/>
          <w:color w:val="000000" w:themeColor="text1"/>
          <w:szCs w:val="22"/>
        </w:rPr>
        <w:t xml:space="preserve"> </w:t>
      </w:r>
      <w:r w:rsidRPr="00C07591">
        <w:rPr>
          <w:rFonts w:eastAsiaTheme="minorHAnsi" w:cs="Arial"/>
          <w:color w:val="000000" w:themeColor="text1"/>
          <w:szCs w:val="22"/>
        </w:rPr>
        <w:t>mortality of corals at the 2m depths of Peak, Pelican</w:t>
      </w:r>
      <w:r w:rsidR="008214BF">
        <w:rPr>
          <w:rFonts w:eastAsiaTheme="minorHAnsi" w:cs="Arial"/>
          <w:color w:val="000000" w:themeColor="text1"/>
          <w:szCs w:val="22"/>
        </w:rPr>
        <w:t xml:space="preserve"> and</w:t>
      </w:r>
      <w:r w:rsidRPr="00C07591">
        <w:rPr>
          <w:rFonts w:eastAsiaTheme="minorHAnsi" w:cs="Arial"/>
          <w:color w:val="000000" w:themeColor="text1"/>
          <w:szCs w:val="22"/>
        </w:rPr>
        <w:t xml:space="preserve"> Keppels South (</w:t>
      </w:r>
      <w:r w:rsidR="00BC6B0B" w:rsidRPr="00BC6B0B">
        <w:rPr>
          <w:rFonts w:eastAsiaTheme="minorHAnsi"/>
        </w:rPr>
        <w:fldChar w:fldCharType="begin"/>
      </w:r>
      <w:r w:rsidR="00BC6B0B" w:rsidRPr="00BC6B0B">
        <w:rPr>
          <w:rFonts w:eastAsiaTheme="minorHAnsi"/>
        </w:rPr>
        <w:instrText xml:space="preserve"> REF _Ref460423821 \h </w:instrText>
      </w:r>
      <w:r w:rsidR="00BC6B0B">
        <w:rPr>
          <w:rFonts w:eastAsiaTheme="minorHAnsi"/>
        </w:rPr>
        <w:instrText xml:space="preserve"> \* MERGEFORMAT </w:instrText>
      </w:r>
      <w:r w:rsidR="00BC6B0B" w:rsidRPr="00BC6B0B">
        <w:rPr>
          <w:rFonts w:eastAsiaTheme="minorHAnsi"/>
        </w:rPr>
      </w:r>
      <w:r w:rsidR="00BC6B0B" w:rsidRPr="00BC6B0B">
        <w:rPr>
          <w:rFonts w:eastAsiaTheme="minorHAnsi"/>
        </w:rPr>
        <w:fldChar w:fldCharType="separate"/>
      </w:r>
      <w:r w:rsidR="00B61881" w:rsidRPr="00B61881">
        <w:rPr>
          <w:rFonts w:eastAsia="SimSun"/>
        </w:rPr>
        <w:t xml:space="preserve">Table </w:t>
      </w:r>
      <w:proofErr w:type="gramStart"/>
      <w:r w:rsidR="00B61881" w:rsidRPr="00B61881">
        <w:rPr>
          <w:rFonts w:eastAsia="SimSun"/>
        </w:rPr>
        <w:t>A</w:t>
      </w:r>
      <w:proofErr w:type="gramEnd"/>
      <w:r w:rsidR="00B61881" w:rsidRPr="00B61881">
        <w:rPr>
          <w:rFonts w:eastAsia="SimSun"/>
        </w:rPr>
        <w:t xml:space="preserve"> 2</w:t>
      </w:r>
      <w:r w:rsidR="00BC6B0B" w:rsidRPr="00BC6B0B">
        <w:rPr>
          <w:rFonts w:eastAsiaTheme="minorHAnsi"/>
        </w:rPr>
        <w:fldChar w:fldCharType="end"/>
      </w:r>
      <w:r w:rsidR="00BC6B0B" w:rsidRPr="00BC6B0B">
        <w:rPr>
          <w:rFonts w:eastAsiaTheme="minorHAnsi"/>
        </w:rPr>
        <w:t>,</w:t>
      </w:r>
      <w:r w:rsidR="00BC6B0B">
        <w:rPr>
          <w:rFonts w:eastAsiaTheme="minorHAnsi" w:cs="Arial"/>
          <w:color w:val="000000" w:themeColor="text1"/>
          <w:szCs w:val="22"/>
        </w:rPr>
        <w:t xml:space="preserve"> </w:t>
      </w:r>
      <w:r w:rsidR="00BC6B0B">
        <w:rPr>
          <w:rFonts w:eastAsiaTheme="minorHAnsi" w:cs="Arial"/>
          <w:color w:val="000000" w:themeColor="text1"/>
          <w:szCs w:val="22"/>
        </w:rPr>
        <w:fldChar w:fldCharType="begin"/>
      </w:r>
      <w:r w:rsidR="00BC6B0B">
        <w:rPr>
          <w:rFonts w:eastAsiaTheme="minorHAnsi" w:cs="Arial"/>
          <w:color w:val="000000" w:themeColor="text1"/>
          <w:szCs w:val="22"/>
        </w:rPr>
        <w:instrText xml:space="preserve"> REF _Ref460423959 \h </w:instrText>
      </w:r>
      <w:r w:rsidR="00BC6B0B">
        <w:rPr>
          <w:rFonts w:eastAsiaTheme="minorHAnsi" w:cs="Arial"/>
          <w:color w:val="000000" w:themeColor="text1"/>
          <w:szCs w:val="22"/>
        </w:rPr>
      </w:r>
      <w:r w:rsidR="00BC6B0B">
        <w:rPr>
          <w:rFonts w:eastAsiaTheme="minorHAnsi" w:cs="Arial"/>
          <w:color w:val="000000" w:themeColor="text1"/>
          <w:szCs w:val="22"/>
        </w:rPr>
        <w:fldChar w:fldCharType="separate"/>
      </w:r>
      <w:r w:rsidR="00B61881">
        <w:t xml:space="preserve">Figure A </w:t>
      </w:r>
      <w:r w:rsidR="00B61881">
        <w:rPr>
          <w:noProof/>
        </w:rPr>
        <w:t>6</w:t>
      </w:r>
      <w:r w:rsidR="00BC6B0B">
        <w:rPr>
          <w:rFonts w:eastAsiaTheme="minorHAnsi" w:cs="Arial"/>
          <w:color w:val="000000" w:themeColor="text1"/>
          <w:szCs w:val="22"/>
        </w:rPr>
        <w:fldChar w:fldCharType="end"/>
      </w:r>
      <w:r w:rsidRPr="00C07591">
        <w:rPr>
          <w:rFonts w:eastAsiaTheme="minorHAnsi" w:cs="Arial"/>
          <w:color w:val="000000" w:themeColor="text1"/>
          <w:szCs w:val="22"/>
        </w:rPr>
        <w:t xml:space="preserve">). </w:t>
      </w:r>
      <w:r>
        <w:rPr>
          <w:rFonts w:eastAsiaTheme="minorHAnsi" w:cs="Arial"/>
          <w:color w:val="000000" w:themeColor="text1"/>
          <w:szCs w:val="22"/>
        </w:rPr>
        <w:t>F</w:t>
      </w:r>
      <w:r w:rsidRPr="00C07591">
        <w:rPr>
          <w:rFonts w:cs="Arial"/>
          <w:color w:val="000000"/>
        </w:rPr>
        <w:t>lood</w:t>
      </w:r>
      <w:r>
        <w:rPr>
          <w:rFonts w:cs="Arial"/>
          <w:color w:val="000000"/>
        </w:rPr>
        <w:t>ing also coincided with elevated levels of coral disease in 2008, 2010 and 2011 (</w:t>
      </w:r>
      <w:r w:rsidR="00BC6B0B">
        <w:rPr>
          <w:rFonts w:cs="Arial"/>
          <w:color w:val="000000"/>
        </w:rPr>
        <w:fldChar w:fldCharType="begin"/>
      </w:r>
      <w:r w:rsidR="00BC6B0B">
        <w:rPr>
          <w:rFonts w:cs="Arial"/>
          <w:color w:val="000000"/>
        </w:rPr>
        <w:instrText xml:space="preserve"> REF _Ref460423979 \h </w:instrText>
      </w:r>
      <w:r w:rsidR="00BC6B0B">
        <w:rPr>
          <w:rFonts w:cs="Arial"/>
          <w:color w:val="000000"/>
        </w:rPr>
      </w:r>
      <w:r w:rsidR="00BC6B0B">
        <w:rPr>
          <w:rFonts w:cs="Arial"/>
          <w:color w:val="000000"/>
        </w:rPr>
        <w:fldChar w:fldCharType="separate"/>
      </w:r>
      <w:r w:rsidR="00B61881">
        <w:t xml:space="preserve">Figure </w:t>
      </w:r>
      <w:proofErr w:type="gramStart"/>
      <w:r w:rsidR="00B61881">
        <w:t>A</w:t>
      </w:r>
      <w:proofErr w:type="gramEnd"/>
      <w:r w:rsidR="00B61881">
        <w:t xml:space="preserve"> </w:t>
      </w:r>
      <w:r w:rsidR="00B61881">
        <w:rPr>
          <w:noProof/>
        </w:rPr>
        <w:t>7</w:t>
      </w:r>
      <w:r w:rsidR="00BC6B0B">
        <w:rPr>
          <w:rFonts w:cs="Arial"/>
          <w:color w:val="000000"/>
        </w:rPr>
        <w:fldChar w:fldCharType="end"/>
      </w:r>
      <w:r>
        <w:rPr>
          <w:rFonts w:cs="Arial"/>
          <w:color w:val="000000"/>
        </w:rPr>
        <w:t>).</w:t>
      </w:r>
      <w:r w:rsidRPr="00644DB8">
        <w:rPr>
          <w:color w:val="000000" w:themeColor="text1"/>
        </w:rPr>
        <w:t xml:space="preserve"> </w:t>
      </w:r>
      <w:r w:rsidRPr="00C07591">
        <w:rPr>
          <w:color w:val="000000" w:themeColor="text1"/>
        </w:rPr>
        <w:t>The consistent pattern of high incidence of disease amongst coral communities following each of the recent floods supports the hypothes</w:t>
      </w:r>
      <w:r w:rsidR="008214BF">
        <w:rPr>
          <w:color w:val="000000" w:themeColor="text1"/>
        </w:rPr>
        <w:t>e</w:t>
      </w:r>
      <w:r w:rsidRPr="00C07591">
        <w:rPr>
          <w:color w:val="000000" w:themeColor="text1"/>
        </w:rPr>
        <w:t xml:space="preserve">s that increased organic matter availability, reduced salinity (Haapkylä </w:t>
      </w:r>
      <w:r w:rsidRPr="00C07591">
        <w:rPr>
          <w:i/>
          <w:color w:val="000000" w:themeColor="text1"/>
        </w:rPr>
        <w:t>et al.</w:t>
      </w:r>
      <w:r w:rsidRPr="00C07591">
        <w:rPr>
          <w:color w:val="000000" w:themeColor="text1"/>
        </w:rPr>
        <w:t xml:space="preserve"> 2011), and increased nutrient enrichment (Vega Thurber </w:t>
      </w:r>
      <w:r w:rsidRPr="00C07591">
        <w:rPr>
          <w:i/>
          <w:color w:val="000000" w:themeColor="text1"/>
        </w:rPr>
        <w:t>et al.</w:t>
      </w:r>
      <w:r w:rsidRPr="00C07591">
        <w:rPr>
          <w:color w:val="000000" w:themeColor="text1"/>
        </w:rPr>
        <w:t xml:space="preserve"> 2013) </w:t>
      </w:r>
      <w:r w:rsidR="008214BF">
        <w:rPr>
          <w:color w:val="000000" w:themeColor="text1"/>
        </w:rPr>
        <w:t xml:space="preserve">play a role in </w:t>
      </w:r>
      <w:r w:rsidRPr="00C07591">
        <w:rPr>
          <w:color w:val="000000" w:themeColor="text1"/>
        </w:rPr>
        <w:t>facilitat</w:t>
      </w:r>
      <w:r w:rsidR="008214BF">
        <w:rPr>
          <w:color w:val="000000" w:themeColor="text1"/>
        </w:rPr>
        <w:t>ing</w:t>
      </w:r>
      <w:r w:rsidRPr="00C07591">
        <w:rPr>
          <w:color w:val="000000" w:themeColor="text1"/>
        </w:rPr>
        <w:t xml:space="preserve"> coral disease. Reduction in light levels over extended periods of time as a result of higher turbidity from increas</w:t>
      </w:r>
      <w:r w:rsidR="008214BF">
        <w:rPr>
          <w:color w:val="000000" w:themeColor="text1"/>
        </w:rPr>
        <w:t>ed</w:t>
      </w:r>
      <w:r w:rsidRPr="00C07591">
        <w:rPr>
          <w:color w:val="000000" w:themeColor="text1"/>
        </w:rPr>
        <w:t xml:space="preserve"> concentrations of suspended sediments as well as dense plankton blooms </w:t>
      </w:r>
      <w:r w:rsidR="008214BF">
        <w:rPr>
          <w:color w:val="000000" w:themeColor="text1"/>
        </w:rPr>
        <w:t xml:space="preserve">following floods </w:t>
      </w:r>
      <w:r w:rsidRPr="00C07591">
        <w:rPr>
          <w:color w:val="000000" w:themeColor="text1"/>
        </w:rPr>
        <w:t xml:space="preserve">is another plausible explanation for reduced fitness of corals (Cooper </w:t>
      </w:r>
      <w:r w:rsidRPr="00C07591">
        <w:rPr>
          <w:i/>
          <w:color w:val="000000" w:themeColor="text1"/>
        </w:rPr>
        <w:t>et al</w:t>
      </w:r>
      <w:r w:rsidRPr="00C07591">
        <w:rPr>
          <w:color w:val="000000" w:themeColor="text1"/>
        </w:rPr>
        <w:t>. 2007)</w:t>
      </w:r>
      <w:r w:rsidR="00BC6B0B">
        <w:rPr>
          <w:color w:val="000000" w:themeColor="text1"/>
        </w:rPr>
        <w:t xml:space="preserve"> that may lead to disease</w:t>
      </w:r>
      <w:r w:rsidRPr="00C07591">
        <w:rPr>
          <w:color w:val="000000" w:themeColor="text1"/>
        </w:rPr>
        <w:t xml:space="preserve">. </w:t>
      </w:r>
    </w:p>
    <w:p w14:paraId="46D6E354" w14:textId="77777777" w:rsidR="00DB0747" w:rsidRDefault="00DB0747" w:rsidP="003045D3">
      <w:pPr>
        <w:rPr>
          <w:rFonts w:cs="Arial"/>
          <w:color w:val="000000"/>
        </w:rPr>
      </w:pPr>
      <w:r>
        <w:rPr>
          <w:rFonts w:cs="Arial"/>
          <w:color w:val="000000"/>
        </w:rPr>
        <w:t xml:space="preserve">As a result of repeated disturbance </w:t>
      </w:r>
      <w:r w:rsidRPr="00C07591">
        <w:rPr>
          <w:rFonts w:cs="Arial"/>
          <w:color w:val="000000"/>
        </w:rPr>
        <w:t xml:space="preserve">the coral index remained in the ‘poor’ category for several years, balanced </w:t>
      </w:r>
      <w:r>
        <w:rPr>
          <w:rFonts w:cs="Arial"/>
          <w:color w:val="000000"/>
        </w:rPr>
        <w:t xml:space="preserve">only </w:t>
      </w:r>
      <w:r w:rsidRPr="00C07591">
        <w:rPr>
          <w:rFonts w:cs="Arial"/>
          <w:color w:val="000000"/>
        </w:rPr>
        <w:t xml:space="preserve">by </w:t>
      </w:r>
      <w:r w:rsidR="008214BF">
        <w:rPr>
          <w:rFonts w:cs="Arial"/>
          <w:color w:val="000000"/>
        </w:rPr>
        <w:t>short-term</w:t>
      </w:r>
      <w:r w:rsidRPr="00C07591">
        <w:rPr>
          <w:rFonts w:cs="Arial"/>
          <w:color w:val="000000"/>
        </w:rPr>
        <w:t xml:space="preserve"> depletion of macroalgae caused by hyposaline water and storms. With the seasonal floods diminishing in 2012-2013 (</w:t>
      </w:r>
      <w:r w:rsidR="00BB3908">
        <w:rPr>
          <w:rFonts w:cs="Arial"/>
          <w:color w:val="000000"/>
        </w:rPr>
        <w:fldChar w:fldCharType="begin"/>
      </w:r>
      <w:r w:rsidR="00BB3908">
        <w:rPr>
          <w:rFonts w:cs="Arial"/>
          <w:color w:val="000000"/>
        </w:rPr>
        <w:instrText xml:space="preserve"> REF _Ref438121562 \h </w:instrText>
      </w:r>
      <w:r w:rsidR="00BB3908">
        <w:rPr>
          <w:rFonts w:cs="Arial"/>
          <w:color w:val="000000"/>
        </w:rPr>
      </w:r>
      <w:r w:rsidR="00BB3908">
        <w:rPr>
          <w:rFonts w:cs="Arial"/>
          <w:color w:val="000000"/>
        </w:rPr>
        <w:fldChar w:fldCharType="separate"/>
      </w:r>
      <w:r w:rsidR="00B61881">
        <w:t xml:space="preserve">Figure </w:t>
      </w:r>
      <w:r w:rsidR="00B61881">
        <w:rPr>
          <w:noProof/>
        </w:rPr>
        <w:t>14</w:t>
      </w:r>
      <w:r w:rsidR="00BB3908">
        <w:rPr>
          <w:rFonts w:cs="Arial"/>
          <w:color w:val="000000"/>
        </w:rPr>
        <w:fldChar w:fldCharType="end"/>
      </w:r>
      <w:r w:rsidRPr="00C07591">
        <w:rPr>
          <w:rFonts w:cs="Arial"/>
          <w:color w:val="000000"/>
        </w:rPr>
        <w:t>d), macroalgae was released to grow (</w:t>
      </w:r>
      <w:r w:rsidR="00BB3908">
        <w:rPr>
          <w:rFonts w:cs="Arial"/>
          <w:color w:val="000000"/>
        </w:rPr>
        <w:fldChar w:fldCharType="begin"/>
      </w:r>
      <w:r w:rsidR="00BB3908">
        <w:rPr>
          <w:rFonts w:cs="Arial"/>
          <w:color w:val="000000"/>
        </w:rPr>
        <w:instrText xml:space="preserve"> REF _Ref438121610 \h </w:instrText>
      </w:r>
      <w:r w:rsidR="00BB3908">
        <w:rPr>
          <w:rFonts w:cs="Arial"/>
          <w:color w:val="000000"/>
        </w:rPr>
      </w:r>
      <w:r w:rsidR="00BB3908">
        <w:rPr>
          <w:rFonts w:cs="Arial"/>
          <w:color w:val="000000"/>
        </w:rPr>
        <w:fldChar w:fldCharType="separate"/>
      </w:r>
      <w:r w:rsidR="00B61881">
        <w:t xml:space="preserve">Figure </w:t>
      </w:r>
      <w:r w:rsidR="00B61881">
        <w:rPr>
          <w:noProof/>
        </w:rPr>
        <w:t>15</w:t>
      </w:r>
      <w:r w:rsidR="00BB3908">
        <w:rPr>
          <w:rFonts w:cs="Arial"/>
          <w:color w:val="000000"/>
        </w:rPr>
        <w:fldChar w:fldCharType="end"/>
      </w:r>
      <w:r w:rsidRPr="00C07591">
        <w:rPr>
          <w:rFonts w:cs="Arial"/>
          <w:color w:val="000000"/>
        </w:rPr>
        <w:t>c), dropping the index to ‘very poor’ (</w:t>
      </w:r>
      <w:r w:rsidR="00BB3908">
        <w:rPr>
          <w:rFonts w:cs="Arial"/>
          <w:color w:val="000000"/>
        </w:rPr>
        <w:fldChar w:fldCharType="begin"/>
      </w:r>
      <w:r w:rsidR="00BB3908">
        <w:rPr>
          <w:rFonts w:cs="Arial"/>
          <w:color w:val="000000"/>
        </w:rPr>
        <w:instrText xml:space="preserve"> REF _Ref438121610 \h </w:instrText>
      </w:r>
      <w:r w:rsidR="00BB3908">
        <w:rPr>
          <w:rFonts w:cs="Arial"/>
          <w:color w:val="000000"/>
        </w:rPr>
      </w:r>
      <w:r w:rsidR="00BB3908">
        <w:rPr>
          <w:rFonts w:cs="Arial"/>
          <w:color w:val="000000"/>
        </w:rPr>
        <w:fldChar w:fldCharType="separate"/>
      </w:r>
      <w:r w:rsidR="00B61881">
        <w:t xml:space="preserve">Figure </w:t>
      </w:r>
      <w:r w:rsidR="00B61881">
        <w:rPr>
          <w:noProof/>
        </w:rPr>
        <w:t>15</w:t>
      </w:r>
      <w:r w:rsidR="00BB3908">
        <w:rPr>
          <w:rFonts w:cs="Arial"/>
          <w:color w:val="000000"/>
        </w:rPr>
        <w:fldChar w:fldCharType="end"/>
      </w:r>
      <w:r w:rsidRPr="00C07591">
        <w:rPr>
          <w:rFonts w:cs="Arial"/>
          <w:color w:val="000000"/>
        </w:rPr>
        <w:t>a). Despite the recent impact on coral cover by Cyclone Marcia (2015) the coral index has risen to ‘poor’, buoyed by an increase in juvenile density</w:t>
      </w:r>
      <w:r>
        <w:rPr>
          <w:rFonts w:cs="Arial"/>
          <w:color w:val="000000"/>
        </w:rPr>
        <w:t xml:space="preserve">, </w:t>
      </w:r>
      <w:r w:rsidRPr="00C07591">
        <w:rPr>
          <w:rFonts w:cs="Arial"/>
          <w:color w:val="000000"/>
        </w:rPr>
        <w:t>a decline in macroalgae</w:t>
      </w:r>
      <w:r>
        <w:rPr>
          <w:rFonts w:cs="Arial"/>
          <w:color w:val="000000"/>
        </w:rPr>
        <w:t xml:space="preserve"> and </w:t>
      </w:r>
      <w:r w:rsidR="008214BF">
        <w:rPr>
          <w:rFonts w:cs="Arial"/>
          <w:color w:val="000000"/>
        </w:rPr>
        <w:t xml:space="preserve">an </w:t>
      </w:r>
      <w:r>
        <w:rPr>
          <w:rFonts w:cs="Arial"/>
          <w:color w:val="000000"/>
        </w:rPr>
        <w:t>i</w:t>
      </w:r>
      <w:r w:rsidR="008214BF">
        <w:rPr>
          <w:rFonts w:cs="Arial"/>
          <w:color w:val="000000"/>
        </w:rPr>
        <w:t>mprovement in</w:t>
      </w:r>
      <w:r>
        <w:rPr>
          <w:rFonts w:cs="Arial"/>
          <w:color w:val="000000"/>
        </w:rPr>
        <w:t xml:space="preserve"> the rate coral cover has increased during periods free from disturbance</w:t>
      </w:r>
      <w:r w:rsidRPr="00C07591">
        <w:rPr>
          <w:rFonts w:cs="Arial"/>
          <w:color w:val="000000"/>
        </w:rPr>
        <w:t xml:space="preserve"> (</w:t>
      </w:r>
      <w:r w:rsidR="00BB3908">
        <w:rPr>
          <w:rFonts w:cs="Arial"/>
          <w:color w:val="000000"/>
        </w:rPr>
        <w:fldChar w:fldCharType="begin"/>
      </w:r>
      <w:r w:rsidR="00BB3908">
        <w:rPr>
          <w:rFonts w:cs="Arial"/>
          <w:color w:val="000000"/>
        </w:rPr>
        <w:instrText xml:space="preserve"> REF _Ref438121610 \h </w:instrText>
      </w:r>
      <w:r w:rsidR="00BB3908">
        <w:rPr>
          <w:rFonts w:cs="Arial"/>
          <w:color w:val="000000"/>
        </w:rPr>
      </w:r>
      <w:r w:rsidR="00BB3908">
        <w:rPr>
          <w:rFonts w:cs="Arial"/>
          <w:color w:val="000000"/>
        </w:rPr>
        <w:fldChar w:fldCharType="separate"/>
      </w:r>
      <w:r w:rsidR="00B61881">
        <w:t xml:space="preserve">Figure </w:t>
      </w:r>
      <w:r w:rsidR="00B61881">
        <w:rPr>
          <w:noProof/>
        </w:rPr>
        <w:t>15</w:t>
      </w:r>
      <w:r w:rsidR="00BB3908">
        <w:rPr>
          <w:rFonts w:cs="Arial"/>
          <w:color w:val="000000"/>
        </w:rPr>
        <w:fldChar w:fldCharType="end"/>
      </w:r>
      <w:r w:rsidRPr="00C07591">
        <w:rPr>
          <w:rFonts w:cs="Arial"/>
          <w:color w:val="000000"/>
        </w:rPr>
        <w:t>d,c</w:t>
      </w:r>
      <w:r>
        <w:rPr>
          <w:rFonts w:cs="Arial"/>
          <w:color w:val="000000"/>
        </w:rPr>
        <w:t>,e</w:t>
      </w:r>
      <w:r w:rsidRPr="00C07591">
        <w:rPr>
          <w:rFonts w:cs="Arial"/>
          <w:color w:val="000000"/>
        </w:rPr>
        <w:t>).</w:t>
      </w:r>
    </w:p>
    <w:p w14:paraId="3CDBF9F0" w14:textId="77777777" w:rsidR="00DB0747" w:rsidRPr="00C07591" w:rsidRDefault="00DB0747" w:rsidP="003045D3">
      <w:pPr>
        <w:rPr>
          <w:rFonts w:cs="Arial"/>
          <w:color w:val="000000"/>
        </w:rPr>
      </w:pPr>
      <w:r>
        <w:rPr>
          <w:rFonts w:cs="Arial"/>
          <w:color w:val="000000"/>
        </w:rPr>
        <w:lastRenderedPageBreak/>
        <w:t xml:space="preserve">The </w:t>
      </w:r>
      <w:r w:rsidR="008214BF">
        <w:rPr>
          <w:rFonts w:cs="Arial"/>
          <w:color w:val="000000"/>
        </w:rPr>
        <w:t>improvement in the coral change metric</w:t>
      </w:r>
      <w:r>
        <w:rPr>
          <w:rFonts w:cs="Arial"/>
          <w:color w:val="000000"/>
        </w:rPr>
        <w:t xml:space="preserve"> is encouraging given the underperformance of this indicator, especially at 5m depths in recent years (</w:t>
      </w:r>
      <w:r w:rsidR="00BB3908">
        <w:rPr>
          <w:rFonts w:cs="Arial"/>
          <w:color w:val="000000"/>
        </w:rPr>
        <w:fldChar w:fldCharType="begin"/>
      </w:r>
      <w:r w:rsidR="00BB3908">
        <w:rPr>
          <w:rFonts w:cs="Arial"/>
          <w:color w:val="000000"/>
        </w:rPr>
        <w:instrText xml:space="preserve"> REF _Ref438121610 \h </w:instrText>
      </w:r>
      <w:r w:rsidR="00BB3908">
        <w:rPr>
          <w:rFonts w:cs="Arial"/>
          <w:color w:val="000000"/>
        </w:rPr>
      </w:r>
      <w:r w:rsidR="00BB3908">
        <w:rPr>
          <w:rFonts w:cs="Arial"/>
          <w:color w:val="000000"/>
        </w:rPr>
        <w:fldChar w:fldCharType="separate"/>
      </w:r>
      <w:r w:rsidR="00B61881">
        <w:t xml:space="preserve">Figure </w:t>
      </w:r>
      <w:r w:rsidR="00B61881">
        <w:rPr>
          <w:noProof/>
        </w:rPr>
        <w:t>15</w:t>
      </w:r>
      <w:r w:rsidR="00BB3908">
        <w:rPr>
          <w:rFonts w:cs="Arial"/>
          <w:color w:val="000000"/>
        </w:rPr>
        <w:fldChar w:fldCharType="end"/>
      </w:r>
      <w:r>
        <w:rPr>
          <w:rFonts w:cs="Arial"/>
          <w:color w:val="000000"/>
        </w:rPr>
        <w:t>e). Lower than expected rates of recovery of coral cover during years free from disturbance are categorised as disturbance type ‘None’ (</w:t>
      </w:r>
      <w:r w:rsidR="00BB3908">
        <w:rPr>
          <w:rFonts w:cs="Arial"/>
          <w:color w:val="000000"/>
        </w:rPr>
        <w:fldChar w:fldCharType="begin"/>
      </w:r>
      <w:r w:rsidR="00BB3908">
        <w:rPr>
          <w:rFonts w:cs="Arial"/>
          <w:color w:val="000000"/>
        </w:rPr>
        <w:instrText xml:space="preserve"> REF _Ref438121562 \h </w:instrText>
      </w:r>
      <w:r w:rsidR="00BB3908">
        <w:rPr>
          <w:rFonts w:cs="Arial"/>
          <w:color w:val="000000"/>
        </w:rPr>
      </w:r>
      <w:r w:rsidR="00BB3908">
        <w:rPr>
          <w:rFonts w:cs="Arial"/>
          <w:color w:val="000000"/>
        </w:rPr>
        <w:fldChar w:fldCharType="separate"/>
      </w:r>
      <w:r w:rsidR="00B61881">
        <w:t xml:space="preserve">Figure </w:t>
      </w:r>
      <w:r w:rsidR="00B61881">
        <w:rPr>
          <w:noProof/>
        </w:rPr>
        <w:t>14</w:t>
      </w:r>
      <w:r w:rsidR="00BB3908">
        <w:rPr>
          <w:rFonts w:cs="Arial"/>
          <w:color w:val="000000"/>
        </w:rPr>
        <w:fldChar w:fldCharType="end"/>
      </w:r>
      <w:r>
        <w:rPr>
          <w:rFonts w:cs="Arial"/>
          <w:color w:val="000000"/>
        </w:rPr>
        <w:t xml:space="preserve">b). Low rates of cover increase </w:t>
      </w:r>
      <w:r w:rsidRPr="00C07591">
        <w:rPr>
          <w:rFonts w:cs="Arial"/>
          <w:color w:val="000000"/>
        </w:rPr>
        <w:t xml:space="preserve">were likely due to a combination of localised factors, such as </w:t>
      </w:r>
      <w:r w:rsidR="008214BF">
        <w:rPr>
          <w:rFonts w:cs="Arial"/>
          <w:color w:val="000000"/>
        </w:rPr>
        <w:t>low levels of juvenile recruitment</w:t>
      </w:r>
      <w:r w:rsidR="005A0D19">
        <w:rPr>
          <w:rFonts w:cs="Arial"/>
          <w:color w:val="000000"/>
        </w:rPr>
        <w:t xml:space="preserve"> </w:t>
      </w:r>
      <w:r w:rsidR="008214BF">
        <w:rPr>
          <w:rFonts w:cs="Arial"/>
          <w:color w:val="000000"/>
        </w:rPr>
        <w:t xml:space="preserve">at Pelican 2m depth </w:t>
      </w:r>
      <w:r w:rsidR="005A0D19">
        <w:rPr>
          <w:rFonts w:cs="Arial"/>
          <w:color w:val="000000"/>
        </w:rPr>
        <w:t xml:space="preserve">where the entire coral </w:t>
      </w:r>
      <w:r w:rsidRPr="00C07591">
        <w:rPr>
          <w:rFonts w:cs="Arial"/>
          <w:color w:val="000000"/>
        </w:rPr>
        <w:t xml:space="preserve">community </w:t>
      </w:r>
      <w:r w:rsidR="005A0D19">
        <w:rPr>
          <w:rFonts w:cs="Arial"/>
          <w:color w:val="000000"/>
        </w:rPr>
        <w:t xml:space="preserve">was killed by </w:t>
      </w:r>
      <w:r w:rsidRPr="00C07591">
        <w:rPr>
          <w:rFonts w:cs="Arial"/>
          <w:color w:val="000000"/>
        </w:rPr>
        <w:t>floodwaters (</w:t>
      </w:r>
      <w:r w:rsidR="00BC6B0B">
        <w:rPr>
          <w:rFonts w:cs="Arial"/>
          <w:color w:val="000000"/>
        </w:rPr>
        <w:fldChar w:fldCharType="begin"/>
      </w:r>
      <w:r w:rsidR="00BC6B0B">
        <w:rPr>
          <w:rFonts w:cs="Arial"/>
          <w:color w:val="000000"/>
        </w:rPr>
        <w:instrText xml:space="preserve"> REF _Ref460423959 \h </w:instrText>
      </w:r>
      <w:r w:rsidR="00BC6B0B">
        <w:rPr>
          <w:rFonts w:cs="Arial"/>
          <w:color w:val="000000"/>
        </w:rPr>
      </w:r>
      <w:r w:rsidR="00BC6B0B">
        <w:rPr>
          <w:rFonts w:cs="Arial"/>
          <w:color w:val="000000"/>
        </w:rPr>
        <w:fldChar w:fldCharType="separate"/>
      </w:r>
      <w:r w:rsidR="00B61881">
        <w:t xml:space="preserve">Figure A </w:t>
      </w:r>
      <w:r w:rsidR="00B61881">
        <w:rPr>
          <w:noProof/>
        </w:rPr>
        <w:t>6</w:t>
      </w:r>
      <w:r w:rsidR="00BC6B0B">
        <w:rPr>
          <w:rFonts w:cs="Arial"/>
          <w:color w:val="000000"/>
        </w:rPr>
        <w:fldChar w:fldCharType="end"/>
      </w:r>
      <w:r>
        <w:rPr>
          <w:rFonts w:cs="Arial"/>
          <w:color w:val="000000"/>
        </w:rPr>
        <w:t>),</w:t>
      </w:r>
      <w:r w:rsidRPr="00C07591">
        <w:rPr>
          <w:rFonts w:cs="Arial"/>
          <w:color w:val="000000"/>
        </w:rPr>
        <w:t xml:space="preserve"> competitive interactions </w:t>
      </w:r>
      <w:r>
        <w:rPr>
          <w:rFonts w:cs="Arial"/>
          <w:color w:val="000000"/>
        </w:rPr>
        <w:t xml:space="preserve">between corals and the high cover of </w:t>
      </w:r>
      <w:r w:rsidRPr="00C07591">
        <w:rPr>
          <w:rFonts w:cs="Arial"/>
          <w:color w:val="000000"/>
        </w:rPr>
        <w:t xml:space="preserve">macroalgae </w:t>
      </w:r>
      <w:r>
        <w:rPr>
          <w:rFonts w:cs="Arial"/>
          <w:color w:val="000000"/>
        </w:rPr>
        <w:t>present at the majority of sites, along with general water quality related stress of low light and ongoing low levels of disease. Specific limitation to cover increase also include</w:t>
      </w:r>
      <w:r w:rsidR="007263B6">
        <w:rPr>
          <w:rFonts w:cs="Arial"/>
          <w:color w:val="000000"/>
        </w:rPr>
        <w:t>d</w:t>
      </w:r>
      <w:r>
        <w:rPr>
          <w:rFonts w:cs="Arial"/>
          <w:color w:val="000000"/>
        </w:rPr>
        <w:t xml:space="preserve"> a persistent population of the coral eating snail </w:t>
      </w:r>
      <w:r w:rsidRPr="00994B27">
        <w:rPr>
          <w:rFonts w:cs="Arial"/>
          <w:i/>
          <w:color w:val="000000"/>
        </w:rPr>
        <w:t>Drupella sp</w:t>
      </w:r>
      <w:r>
        <w:rPr>
          <w:rFonts w:cs="Arial"/>
          <w:color w:val="000000"/>
        </w:rPr>
        <w:t xml:space="preserve">. at North Keppel and loss of coral cover to over-growth by the bio-eroding sponge </w:t>
      </w:r>
      <w:r w:rsidRPr="00994B27">
        <w:rPr>
          <w:rFonts w:cs="Arial"/>
          <w:i/>
          <w:color w:val="000000"/>
        </w:rPr>
        <w:t>Cliona orientalis</w:t>
      </w:r>
      <w:r>
        <w:rPr>
          <w:rFonts w:cs="Arial"/>
          <w:color w:val="000000"/>
        </w:rPr>
        <w:t xml:space="preserve"> at Pelican and Peak in particular (</w:t>
      </w:r>
      <w:r w:rsidR="005A0D19">
        <w:rPr>
          <w:rFonts w:cs="Arial"/>
          <w:color w:val="000000"/>
        </w:rPr>
        <w:t xml:space="preserve">SCUBA </w:t>
      </w:r>
      <w:r>
        <w:rPr>
          <w:rFonts w:cs="Arial"/>
          <w:color w:val="000000"/>
        </w:rPr>
        <w:t>search data).</w:t>
      </w:r>
    </w:p>
    <w:p w14:paraId="5E103FA8" w14:textId="77777777" w:rsidR="00DB0747" w:rsidRPr="00C07591" w:rsidRDefault="00DB0747" w:rsidP="003045D3">
      <w:pPr>
        <w:rPr>
          <w:rFonts w:cs="Arial"/>
          <w:color w:val="000000"/>
        </w:rPr>
      </w:pPr>
      <w:r w:rsidRPr="00C07591">
        <w:rPr>
          <w:rFonts w:cs="Arial"/>
          <w:color w:val="000000"/>
        </w:rPr>
        <w:t xml:space="preserve">The regional water quality index has maintained an assessment of ‘good’ since 2008, increasing to ‘very good’ </w:t>
      </w:r>
      <w:r>
        <w:rPr>
          <w:rFonts w:cs="Arial"/>
          <w:color w:val="000000"/>
        </w:rPr>
        <w:t>based on the limited data collected in 2015 prior to ending of the water quality time series</w:t>
      </w:r>
      <w:r w:rsidR="00BC6B0B">
        <w:rPr>
          <w:rFonts w:cs="Arial"/>
          <w:color w:val="000000"/>
        </w:rPr>
        <w:t xml:space="preserve"> (</w:t>
      </w:r>
      <w:r w:rsidR="00BC6B0B">
        <w:rPr>
          <w:rFonts w:cs="Arial"/>
          <w:color w:val="000000"/>
        </w:rPr>
        <w:fldChar w:fldCharType="begin"/>
      </w:r>
      <w:r w:rsidR="00BC6B0B">
        <w:rPr>
          <w:rFonts w:cs="Arial"/>
          <w:color w:val="000000"/>
        </w:rPr>
        <w:instrText xml:space="preserve"> REF _Ref460424013 \h </w:instrText>
      </w:r>
      <w:r w:rsidR="00BC6B0B">
        <w:rPr>
          <w:rFonts w:cs="Arial"/>
          <w:color w:val="000000"/>
        </w:rPr>
      </w:r>
      <w:r w:rsidR="00BC6B0B">
        <w:rPr>
          <w:rFonts w:cs="Arial"/>
          <w:color w:val="000000"/>
        </w:rPr>
        <w:fldChar w:fldCharType="separate"/>
      </w:r>
      <w:r w:rsidR="00B61881">
        <w:t xml:space="preserve">Figure A </w:t>
      </w:r>
      <w:r w:rsidR="00B61881">
        <w:rPr>
          <w:noProof/>
        </w:rPr>
        <w:t>15</w:t>
      </w:r>
      <w:r w:rsidR="00BC6B0B">
        <w:rPr>
          <w:rFonts w:cs="Arial"/>
          <w:color w:val="000000"/>
        </w:rPr>
        <w:fldChar w:fldCharType="end"/>
      </w:r>
      <w:r w:rsidR="00BC6B0B">
        <w:rPr>
          <w:rFonts w:cs="Arial"/>
          <w:color w:val="000000"/>
        </w:rPr>
        <w:t>)</w:t>
      </w:r>
      <w:r>
        <w:rPr>
          <w:rFonts w:cs="Arial"/>
          <w:color w:val="000000"/>
        </w:rPr>
        <w:t xml:space="preserve">. </w:t>
      </w:r>
      <w:r w:rsidRPr="00C07591">
        <w:rPr>
          <w:rFonts w:cs="Arial"/>
          <w:color w:val="000000"/>
        </w:rPr>
        <w:t xml:space="preserve">Regional water quality </w:t>
      </w:r>
      <w:r w:rsidR="00BC6B0B">
        <w:rPr>
          <w:rFonts w:cs="Arial"/>
          <w:color w:val="000000"/>
        </w:rPr>
        <w:t>indicators</w:t>
      </w:r>
      <w:r w:rsidRPr="00C07591">
        <w:rPr>
          <w:rFonts w:cs="Arial"/>
          <w:color w:val="000000"/>
        </w:rPr>
        <w:t xml:space="preserve"> </w:t>
      </w:r>
      <w:r w:rsidR="005A0D19" w:rsidRPr="00C07591">
        <w:rPr>
          <w:rFonts w:cs="Arial"/>
          <w:color w:val="000000"/>
        </w:rPr>
        <w:t>ha</w:t>
      </w:r>
      <w:r w:rsidR="005A0D19">
        <w:rPr>
          <w:rFonts w:cs="Arial"/>
          <w:color w:val="000000"/>
        </w:rPr>
        <w:t>d</w:t>
      </w:r>
      <w:r w:rsidR="005A0D19" w:rsidRPr="00C07591">
        <w:rPr>
          <w:rFonts w:cs="Arial"/>
          <w:color w:val="000000"/>
        </w:rPr>
        <w:t xml:space="preserve"> </w:t>
      </w:r>
      <w:r w:rsidRPr="00C07591">
        <w:rPr>
          <w:rFonts w:cs="Arial"/>
          <w:color w:val="000000"/>
        </w:rPr>
        <w:t>remained at or bordering defined thresholds</w:t>
      </w:r>
      <w:r w:rsidRPr="00D9402F">
        <w:rPr>
          <w:rFonts w:cs="Arial"/>
          <w:color w:val="000000"/>
        </w:rPr>
        <w:t>,</w:t>
      </w:r>
      <w:r w:rsidRPr="00C07591">
        <w:rPr>
          <w:rFonts w:cs="Arial"/>
          <w:color w:val="000000"/>
        </w:rPr>
        <w:t xml:space="preserve"> with reasonably flat trends in particulate phosphorous, dissolved oxidised nitrogen, and dissolved organic carbon</w:t>
      </w:r>
      <w:r>
        <w:rPr>
          <w:rFonts w:cs="Arial"/>
          <w:color w:val="000000"/>
        </w:rPr>
        <w:t xml:space="preserve"> </w:t>
      </w:r>
      <w:r w:rsidRPr="00D9402F">
        <w:rPr>
          <w:rFonts w:cs="Arial"/>
          <w:color w:val="000000"/>
        </w:rPr>
        <w:t>(</w:t>
      </w:r>
      <w:r w:rsidR="00BC6B0B">
        <w:rPr>
          <w:rFonts w:cs="Arial"/>
          <w:color w:val="000000"/>
        </w:rPr>
        <w:fldChar w:fldCharType="begin"/>
      </w:r>
      <w:r w:rsidR="00BC6B0B">
        <w:rPr>
          <w:rFonts w:cs="Arial"/>
          <w:color w:val="000000"/>
        </w:rPr>
        <w:instrText xml:space="preserve"> REF _Ref460424013 \h </w:instrText>
      </w:r>
      <w:r w:rsidR="00BC6B0B">
        <w:rPr>
          <w:rFonts w:cs="Arial"/>
          <w:color w:val="000000"/>
        </w:rPr>
      </w:r>
      <w:r w:rsidR="00BC6B0B">
        <w:rPr>
          <w:rFonts w:cs="Arial"/>
          <w:color w:val="000000"/>
        </w:rPr>
        <w:fldChar w:fldCharType="separate"/>
      </w:r>
      <w:r w:rsidR="00B61881">
        <w:t xml:space="preserve">Figure </w:t>
      </w:r>
      <w:proofErr w:type="gramStart"/>
      <w:r w:rsidR="00B61881">
        <w:t>A</w:t>
      </w:r>
      <w:proofErr w:type="gramEnd"/>
      <w:r w:rsidR="00B61881">
        <w:t xml:space="preserve"> </w:t>
      </w:r>
      <w:r w:rsidR="00B61881">
        <w:rPr>
          <w:noProof/>
        </w:rPr>
        <w:t>15</w:t>
      </w:r>
      <w:r w:rsidR="00BC6B0B">
        <w:rPr>
          <w:rFonts w:cs="Arial"/>
          <w:color w:val="000000"/>
        </w:rPr>
        <w:fldChar w:fldCharType="end"/>
      </w:r>
      <w:r w:rsidRPr="00D9402F">
        <w:rPr>
          <w:rFonts w:cs="Arial"/>
          <w:color w:val="000000"/>
        </w:rPr>
        <w:t>)</w:t>
      </w:r>
      <w:r w:rsidRPr="00C07591">
        <w:rPr>
          <w:rFonts w:cs="Arial"/>
          <w:color w:val="000000"/>
        </w:rPr>
        <w:t xml:space="preserve">. There </w:t>
      </w:r>
      <w:r w:rsidR="005A0D19">
        <w:rPr>
          <w:rFonts w:cs="Arial"/>
          <w:color w:val="000000"/>
        </w:rPr>
        <w:t>wa</w:t>
      </w:r>
      <w:r w:rsidRPr="00C07591">
        <w:rPr>
          <w:rFonts w:cs="Arial"/>
          <w:color w:val="000000"/>
        </w:rPr>
        <w:t xml:space="preserve">s a slight downturn for </w:t>
      </w:r>
      <w:r>
        <w:rPr>
          <w:rFonts w:cs="Arial"/>
          <w:color w:val="000000"/>
        </w:rPr>
        <w:t>2014-2</w:t>
      </w:r>
      <w:r w:rsidRPr="00C07591">
        <w:rPr>
          <w:rFonts w:cs="Arial"/>
          <w:color w:val="000000"/>
        </w:rPr>
        <w:t xml:space="preserve">015 in measures </w:t>
      </w:r>
      <w:r>
        <w:rPr>
          <w:rFonts w:cs="Arial"/>
          <w:color w:val="000000"/>
        </w:rPr>
        <w:t xml:space="preserve">of </w:t>
      </w:r>
      <w:r w:rsidR="009109BA">
        <w:rPr>
          <w:rFonts w:cs="Arial"/>
          <w:color w:val="000000"/>
        </w:rPr>
        <w:t xml:space="preserve">chlorophyll </w:t>
      </w:r>
      <w:r>
        <w:rPr>
          <w:rFonts w:cs="Arial"/>
          <w:color w:val="000000"/>
        </w:rPr>
        <w:t>a</w:t>
      </w:r>
      <w:r w:rsidRPr="00C07591">
        <w:rPr>
          <w:rFonts w:cs="Arial"/>
          <w:color w:val="000000"/>
        </w:rPr>
        <w:t xml:space="preserve"> particulate nitrogen and </w:t>
      </w:r>
      <w:r>
        <w:rPr>
          <w:rFonts w:cs="Arial"/>
          <w:color w:val="000000"/>
        </w:rPr>
        <w:t xml:space="preserve">particulate </w:t>
      </w:r>
      <w:r w:rsidRPr="00C07591">
        <w:rPr>
          <w:rFonts w:cs="Arial"/>
          <w:color w:val="000000"/>
        </w:rPr>
        <w:t xml:space="preserve">organic carbon that </w:t>
      </w:r>
      <w:r>
        <w:rPr>
          <w:rFonts w:cs="Arial"/>
          <w:color w:val="000000"/>
        </w:rPr>
        <w:t xml:space="preserve">contribute to the </w:t>
      </w:r>
      <w:r w:rsidR="005A0D19">
        <w:rPr>
          <w:rFonts w:cs="Arial"/>
          <w:color w:val="000000"/>
        </w:rPr>
        <w:t xml:space="preserve">improvement in the </w:t>
      </w:r>
      <w:r>
        <w:rPr>
          <w:rFonts w:cs="Arial"/>
          <w:color w:val="000000"/>
        </w:rPr>
        <w:t>index (</w:t>
      </w:r>
      <w:r w:rsidR="00BC6B0B">
        <w:rPr>
          <w:rFonts w:cs="Arial"/>
          <w:color w:val="000000"/>
        </w:rPr>
        <w:fldChar w:fldCharType="begin"/>
      </w:r>
      <w:r w:rsidR="00BC6B0B">
        <w:rPr>
          <w:rFonts w:cs="Arial"/>
          <w:color w:val="000000"/>
        </w:rPr>
        <w:instrText xml:space="preserve"> REF _Ref460424013 \h </w:instrText>
      </w:r>
      <w:r w:rsidR="00BC6B0B">
        <w:rPr>
          <w:rFonts w:cs="Arial"/>
          <w:color w:val="000000"/>
        </w:rPr>
      </w:r>
      <w:r w:rsidR="00BC6B0B">
        <w:rPr>
          <w:rFonts w:cs="Arial"/>
          <w:color w:val="000000"/>
        </w:rPr>
        <w:fldChar w:fldCharType="separate"/>
      </w:r>
      <w:r w:rsidR="00B61881">
        <w:t xml:space="preserve">Figure </w:t>
      </w:r>
      <w:proofErr w:type="gramStart"/>
      <w:r w:rsidR="00B61881">
        <w:t>A</w:t>
      </w:r>
      <w:proofErr w:type="gramEnd"/>
      <w:r w:rsidR="00B61881">
        <w:t xml:space="preserve"> </w:t>
      </w:r>
      <w:r w:rsidR="00B61881">
        <w:rPr>
          <w:noProof/>
        </w:rPr>
        <w:t>15</w:t>
      </w:r>
      <w:r w:rsidR="00BC6B0B">
        <w:rPr>
          <w:rFonts w:cs="Arial"/>
          <w:color w:val="000000"/>
        </w:rPr>
        <w:fldChar w:fldCharType="end"/>
      </w:r>
      <w:r>
        <w:rPr>
          <w:rFonts w:cs="Arial"/>
          <w:color w:val="000000"/>
        </w:rPr>
        <w:t>)</w:t>
      </w:r>
      <w:r w:rsidRPr="00C07591">
        <w:rPr>
          <w:rFonts w:cs="Arial"/>
          <w:color w:val="000000"/>
        </w:rPr>
        <w:t xml:space="preserve">. </w:t>
      </w:r>
    </w:p>
    <w:p w14:paraId="3066F735" w14:textId="77777777" w:rsidR="00DB0747" w:rsidRPr="00C07591" w:rsidRDefault="00DB0747" w:rsidP="003045D3">
      <w:pPr>
        <w:rPr>
          <w:rFonts w:cs="Arial"/>
          <w:color w:val="000000"/>
        </w:rPr>
      </w:pPr>
      <w:r w:rsidRPr="00C07591">
        <w:rPr>
          <w:rFonts w:cs="Arial"/>
          <w:color w:val="000000"/>
        </w:rPr>
        <w:t xml:space="preserve">Variation in the resilience of communities to the 2006 bleaching event provides insight into the role of water quality in suppressing resilience in this region. The level of recovery following the 2006 bleaching event is inversely related to the persistence of macroalgal communities. </w:t>
      </w:r>
      <w:r w:rsidR="005A0D19">
        <w:rPr>
          <w:rFonts w:cs="Arial"/>
          <w:color w:val="000000"/>
        </w:rPr>
        <w:t>At t</w:t>
      </w:r>
      <w:r w:rsidRPr="00C07591">
        <w:rPr>
          <w:rFonts w:cs="Arial"/>
          <w:color w:val="000000"/>
        </w:rPr>
        <w:t>he</w:t>
      </w:r>
      <w:r>
        <w:rPr>
          <w:rFonts w:cs="Arial"/>
          <w:color w:val="000000"/>
        </w:rPr>
        <w:t xml:space="preserve"> three </w:t>
      </w:r>
      <w:r w:rsidRPr="00644DB8">
        <w:rPr>
          <w:rFonts w:cs="Arial"/>
          <w:i/>
          <w:color w:val="000000"/>
        </w:rPr>
        <w:t>Acropora sp</w:t>
      </w:r>
      <w:r>
        <w:rPr>
          <w:rFonts w:cs="Arial"/>
          <w:color w:val="000000"/>
        </w:rPr>
        <w:t>. dominated communities most often exposed to secondary plume-</w:t>
      </w:r>
      <w:r w:rsidRPr="00C07591">
        <w:rPr>
          <w:rFonts w:cs="Arial"/>
          <w:color w:val="000000"/>
        </w:rPr>
        <w:t>type</w:t>
      </w:r>
      <w:r>
        <w:rPr>
          <w:rFonts w:cs="Arial"/>
          <w:color w:val="000000"/>
        </w:rPr>
        <w:t xml:space="preserve"> waters</w:t>
      </w:r>
      <w:r w:rsidRPr="00C07591">
        <w:rPr>
          <w:rFonts w:cs="Arial"/>
          <w:color w:val="000000"/>
        </w:rPr>
        <w:t xml:space="preserve"> (Keppels South, Middle and North Keppel, </w:t>
      </w:r>
      <w:r w:rsidR="00BB3908">
        <w:rPr>
          <w:rFonts w:cs="Arial"/>
          <w:color w:val="000000"/>
        </w:rPr>
        <w:fldChar w:fldCharType="begin"/>
      </w:r>
      <w:r w:rsidR="00BB3908">
        <w:rPr>
          <w:rFonts w:cs="Arial"/>
          <w:color w:val="000000"/>
        </w:rPr>
        <w:instrText xml:space="preserve"> REF _Ref438121562 \h </w:instrText>
      </w:r>
      <w:r w:rsidR="00BB3908">
        <w:rPr>
          <w:rFonts w:cs="Arial"/>
          <w:color w:val="000000"/>
        </w:rPr>
      </w:r>
      <w:r w:rsidR="00BB3908">
        <w:rPr>
          <w:rFonts w:cs="Arial"/>
          <w:color w:val="000000"/>
        </w:rPr>
        <w:fldChar w:fldCharType="separate"/>
      </w:r>
      <w:r w:rsidR="00B61881">
        <w:t xml:space="preserve">Figure </w:t>
      </w:r>
      <w:r w:rsidR="00B61881">
        <w:rPr>
          <w:noProof/>
        </w:rPr>
        <w:t>14</w:t>
      </w:r>
      <w:r w:rsidR="00BB3908">
        <w:rPr>
          <w:rFonts w:cs="Arial"/>
          <w:color w:val="000000"/>
        </w:rPr>
        <w:fldChar w:fldCharType="end"/>
      </w:r>
      <w:r w:rsidRPr="00C07591">
        <w:rPr>
          <w:rFonts w:cs="Arial"/>
          <w:color w:val="000000"/>
        </w:rPr>
        <w:t>a</w:t>
      </w:r>
      <w:r w:rsidR="00BC6B0B">
        <w:rPr>
          <w:rFonts w:cs="Arial"/>
          <w:color w:val="000000"/>
        </w:rPr>
        <w:t xml:space="preserve">, </w:t>
      </w:r>
      <w:r w:rsidR="00BC6B0B">
        <w:rPr>
          <w:rFonts w:cs="Arial"/>
          <w:color w:val="000000"/>
        </w:rPr>
        <w:fldChar w:fldCharType="begin"/>
      </w:r>
      <w:r w:rsidR="00BC6B0B">
        <w:rPr>
          <w:rFonts w:cs="Arial"/>
          <w:color w:val="000000"/>
        </w:rPr>
        <w:instrText xml:space="preserve"> REF _Ref460423145 \h </w:instrText>
      </w:r>
      <w:r w:rsidR="00BC6B0B">
        <w:rPr>
          <w:rFonts w:cs="Arial"/>
          <w:color w:val="000000"/>
        </w:rPr>
      </w:r>
      <w:r w:rsidR="00BC6B0B">
        <w:rPr>
          <w:rFonts w:cs="Arial"/>
          <w:color w:val="000000"/>
        </w:rPr>
        <w:fldChar w:fldCharType="separate"/>
      </w:r>
      <w:r w:rsidR="00B61881">
        <w:t xml:space="preserve">Table A </w:t>
      </w:r>
      <w:r w:rsidR="00B61881">
        <w:rPr>
          <w:noProof/>
        </w:rPr>
        <w:t>4</w:t>
      </w:r>
      <w:r w:rsidR="00BC6B0B">
        <w:rPr>
          <w:rFonts w:cs="Arial"/>
          <w:color w:val="000000"/>
        </w:rPr>
        <w:fldChar w:fldCharType="end"/>
      </w:r>
      <w:r w:rsidRPr="00C07591">
        <w:rPr>
          <w:rFonts w:cs="Arial"/>
          <w:color w:val="000000"/>
        </w:rPr>
        <w:t xml:space="preserve">) macroalgal cover </w:t>
      </w:r>
      <w:r>
        <w:rPr>
          <w:rFonts w:cs="Arial"/>
          <w:color w:val="000000"/>
        </w:rPr>
        <w:t xml:space="preserve">(predominantly </w:t>
      </w:r>
      <w:r w:rsidRPr="00644DB8">
        <w:rPr>
          <w:rFonts w:cs="Arial"/>
          <w:i/>
          <w:color w:val="000000"/>
        </w:rPr>
        <w:t>Lobophora variegata</w:t>
      </w:r>
      <w:r w:rsidRPr="00644DB8">
        <w:rPr>
          <w:rFonts w:cs="Arial"/>
          <w:color w:val="000000"/>
        </w:rPr>
        <w:t>)</w:t>
      </w:r>
      <w:r>
        <w:rPr>
          <w:rFonts w:cs="Arial"/>
          <w:color w:val="000000"/>
        </w:rPr>
        <w:t xml:space="preserve"> </w:t>
      </w:r>
      <w:r w:rsidRPr="00C07591">
        <w:rPr>
          <w:rFonts w:cs="Arial"/>
          <w:color w:val="000000"/>
        </w:rPr>
        <w:t>remained high and rates of change in coral cover remained low or cover has continued to decline (</w:t>
      </w:r>
      <w:r w:rsidR="00BC6B0B">
        <w:rPr>
          <w:rFonts w:cs="Arial"/>
          <w:color w:val="000000"/>
        </w:rPr>
        <w:fldChar w:fldCharType="begin"/>
      </w:r>
      <w:r w:rsidR="00BC6B0B">
        <w:rPr>
          <w:rFonts w:cs="Arial"/>
          <w:color w:val="000000"/>
        </w:rPr>
        <w:instrText xml:space="preserve"> REF _Ref460423959 \h </w:instrText>
      </w:r>
      <w:r w:rsidR="00BC6B0B">
        <w:rPr>
          <w:rFonts w:cs="Arial"/>
          <w:color w:val="000000"/>
        </w:rPr>
      </w:r>
      <w:r w:rsidR="00BC6B0B">
        <w:rPr>
          <w:rFonts w:cs="Arial"/>
          <w:color w:val="000000"/>
        </w:rPr>
        <w:fldChar w:fldCharType="separate"/>
      </w:r>
      <w:r w:rsidR="00B61881">
        <w:t xml:space="preserve">Figure A </w:t>
      </w:r>
      <w:r w:rsidR="00B61881">
        <w:rPr>
          <w:noProof/>
        </w:rPr>
        <w:t>6</w:t>
      </w:r>
      <w:r w:rsidR="00BC6B0B">
        <w:rPr>
          <w:rFonts w:cs="Arial"/>
          <w:color w:val="000000"/>
        </w:rPr>
        <w:fldChar w:fldCharType="end"/>
      </w:r>
      <w:r w:rsidR="00BC6B0B">
        <w:rPr>
          <w:rFonts w:cs="Arial"/>
          <w:color w:val="000000"/>
        </w:rPr>
        <w:t>). In contrast, Barren</w:t>
      </w:r>
      <w:r w:rsidRPr="00C07591">
        <w:rPr>
          <w:rFonts w:cs="Arial"/>
          <w:color w:val="000000"/>
        </w:rPr>
        <w:t>, wh</w:t>
      </w:r>
      <w:r w:rsidR="00BC6B0B">
        <w:rPr>
          <w:rFonts w:cs="Arial"/>
          <w:color w:val="000000"/>
        </w:rPr>
        <w:t xml:space="preserve">ere </w:t>
      </w:r>
      <w:r w:rsidRPr="00C07591">
        <w:rPr>
          <w:rFonts w:cs="Arial"/>
          <w:color w:val="000000"/>
        </w:rPr>
        <w:t>expos</w:t>
      </w:r>
      <w:r w:rsidR="00BC6B0B">
        <w:rPr>
          <w:rFonts w:cs="Arial"/>
          <w:color w:val="000000"/>
        </w:rPr>
        <w:t xml:space="preserve">ure to </w:t>
      </w:r>
      <w:r w:rsidRPr="00C07591">
        <w:rPr>
          <w:rFonts w:cs="Arial"/>
          <w:color w:val="000000"/>
        </w:rPr>
        <w:t xml:space="preserve">flood plumes </w:t>
      </w:r>
      <w:r w:rsidR="00BC6B0B">
        <w:rPr>
          <w:rFonts w:cs="Arial"/>
          <w:color w:val="000000"/>
        </w:rPr>
        <w:t xml:space="preserve">is rare, </w:t>
      </w:r>
      <w:r w:rsidRPr="00C07591">
        <w:rPr>
          <w:rFonts w:cs="Arial"/>
          <w:color w:val="000000"/>
        </w:rPr>
        <w:t>had lower levels of all</w:t>
      </w:r>
      <w:r>
        <w:rPr>
          <w:rFonts w:cs="Arial"/>
          <w:color w:val="000000"/>
        </w:rPr>
        <w:t xml:space="preserve"> water quality variables (</w:t>
      </w:r>
      <w:r w:rsidR="00BC6B0B">
        <w:rPr>
          <w:rFonts w:cs="Arial"/>
          <w:color w:val="000000"/>
        </w:rPr>
        <w:fldChar w:fldCharType="begin"/>
      </w:r>
      <w:r w:rsidR="00BC6B0B">
        <w:rPr>
          <w:rFonts w:cs="Arial"/>
          <w:color w:val="000000"/>
        </w:rPr>
        <w:instrText xml:space="preserve"> REF _Ref460423145 \h </w:instrText>
      </w:r>
      <w:r w:rsidR="00BC6B0B">
        <w:rPr>
          <w:rFonts w:cs="Arial"/>
          <w:color w:val="000000"/>
        </w:rPr>
      </w:r>
      <w:r w:rsidR="00BC6B0B">
        <w:rPr>
          <w:rFonts w:cs="Arial"/>
          <w:color w:val="000000"/>
        </w:rPr>
        <w:fldChar w:fldCharType="separate"/>
      </w:r>
      <w:r w:rsidR="00B61881">
        <w:t xml:space="preserve">Table A </w:t>
      </w:r>
      <w:r w:rsidR="00B61881">
        <w:rPr>
          <w:noProof/>
        </w:rPr>
        <w:t>4</w:t>
      </w:r>
      <w:r w:rsidR="00BC6B0B">
        <w:rPr>
          <w:rFonts w:cs="Arial"/>
          <w:color w:val="000000"/>
        </w:rPr>
        <w:fldChar w:fldCharType="end"/>
      </w:r>
      <w:r w:rsidRPr="00C07591">
        <w:rPr>
          <w:rFonts w:cs="Arial"/>
          <w:color w:val="000000"/>
        </w:rPr>
        <w:t>)</w:t>
      </w:r>
      <w:r w:rsidR="00BC6B0B">
        <w:rPr>
          <w:rFonts w:cs="Arial"/>
          <w:color w:val="000000"/>
        </w:rPr>
        <w:t xml:space="preserve"> and </w:t>
      </w:r>
      <w:r w:rsidRPr="00C07591">
        <w:rPr>
          <w:rFonts w:cs="Arial"/>
          <w:color w:val="000000"/>
        </w:rPr>
        <w:t xml:space="preserve">the bloom of </w:t>
      </w:r>
      <w:r w:rsidRPr="00C07591">
        <w:rPr>
          <w:rFonts w:cs="Arial"/>
          <w:i/>
          <w:color w:val="000000"/>
        </w:rPr>
        <w:t>L. variegata</w:t>
      </w:r>
      <w:r w:rsidRPr="00C07591">
        <w:rPr>
          <w:rFonts w:cs="Arial"/>
          <w:color w:val="000000"/>
        </w:rPr>
        <w:t xml:space="preserve"> was less pronounced and recovery of the coral community clearly progressed in 2007 (</w:t>
      </w:r>
      <w:r w:rsidR="00BC6B0B">
        <w:rPr>
          <w:rFonts w:cs="Arial"/>
          <w:color w:val="000000"/>
        </w:rPr>
        <w:fldChar w:fldCharType="begin"/>
      </w:r>
      <w:r w:rsidR="00BC6B0B">
        <w:rPr>
          <w:rFonts w:cs="Arial"/>
          <w:color w:val="000000"/>
        </w:rPr>
        <w:instrText xml:space="preserve"> REF _Ref460423959 \h </w:instrText>
      </w:r>
      <w:r w:rsidR="00BC6B0B">
        <w:rPr>
          <w:rFonts w:cs="Arial"/>
          <w:color w:val="000000"/>
        </w:rPr>
      </w:r>
      <w:r w:rsidR="00BC6B0B">
        <w:rPr>
          <w:rFonts w:cs="Arial"/>
          <w:color w:val="000000"/>
        </w:rPr>
        <w:fldChar w:fldCharType="separate"/>
      </w:r>
      <w:r w:rsidR="00B61881">
        <w:t xml:space="preserve">Figure A </w:t>
      </w:r>
      <w:r w:rsidR="00B61881">
        <w:rPr>
          <w:noProof/>
        </w:rPr>
        <w:t>6</w:t>
      </w:r>
      <w:r w:rsidR="00BC6B0B">
        <w:rPr>
          <w:rFonts w:cs="Arial"/>
          <w:color w:val="000000"/>
        </w:rPr>
        <w:fldChar w:fldCharType="end"/>
      </w:r>
      <w:r w:rsidRPr="00C07591">
        <w:rPr>
          <w:rFonts w:cs="Arial"/>
          <w:color w:val="000000"/>
        </w:rPr>
        <w:t>).</w:t>
      </w:r>
    </w:p>
    <w:p w14:paraId="79268AA9" w14:textId="77777777" w:rsidR="00DB0747" w:rsidRPr="00C07591" w:rsidRDefault="00DB0747" w:rsidP="003045D3">
      <w:pPr>
        <w:rPr>
          <w:rFonts w:cs="Arial"/>
          <w:color w:val="000000"/>
        </w:rPr>
      </w:pPr>
      <w:r w:rsidRPr="00C07591">
        <w:rPr>
          <w:color w:val="000000" w:themeColor="text1"/>
        </w:rPr>
        <w:t xml:space="preserve">In summary, the </w:t>
      </w:r>
      <w:r w:rsidR="005A0D19">
        <w:rPr>
          <w:color w:val="000000" w:themeColor="text1"/>
        </w:rPr>
        <w:t xml:space="preserve">improvement of the coral index to </w:t>
      </w:r>
      <w:r w:rsidRPr="00C07591">
        <w:rPr>
          <w:color w:val="000000" w:themeColor="text1"/>
        </w:rPr>
        <w:t xml:space="preserve">‘poor’ </w:t>
      </w:r>
      <w:r>
        <w:rPr>
          <w:color w:val="000000" w:themeColor="text1"/>
        </w:rPr>
        <w:t xml:space="preserve">represents the first sign that coral communities are beginning to recover from a period of frequent disturbance and regain the resilience demonstrated </w:t>
      </w:r>
      <w:r w:rsidR="005A0D19">
        <w:rPr>
          <w:color w:val="000000" w:themeColor="text1"/>
        </w:rPr>
        <w:t>following</w:t>
      </w:r>
      <w:r>
        <w:rPr>
          <w:color w:val="000000" w:themeColor="text1"/>
        </w:rPr>
        <w:t xml:space="preserve"> previous bleaching events (Sweatman </w:t>
      </w:r>
      <w:r w:rsidRPr="00043193">
        <w:rPr>
          <w:i/>
          <w:color w:val="000000" w:themeColor="text1"/>
        </w:rPr>
        <w:t>et al.</w:t>
      </w:r>
      <w:r>
        <w:rPr>
          <w:color w:val="000000" w:themeColor="text1"/>
        </w:rPr>
        <w:t xml:space="preserve"> 2007).</w:t>
      </w:r>
      <w:r w:rsidRPr="00C07591">
        <w:rPr>
          <w:color w:val="000000" w:themeColor="text1"/>
        </w:rPr>
        <w:t xml:space="preserve"> Light reduction as a result of turbidity, increased nutrient supply, along with lower salinity, are all mechanisms that reduce coral fitness or contribute to higher rates of disease in corals (e.g. Fabricius 2005, Voss </w:t>
      </w:r>
      <w:r w:rsidR="00570181">
        <w:rPr>
          <w:color w:val="000000" w:themeColor="text1"/>
        </w:rPr>
        <w:t>&amp;</w:t>
      </w:r>
      <w:r w:rsidRPr="00C07591">
        <w:rPr>
          <w:color w:val="000000" w:themeColor="text1"/>
        </w:rPr>
        <w:t xml:space="preserve"> Richardson 2006, Haapkylä </w:t>
      </w:r>
      <w:r w:rsidRPr="00C07591">
        <w:rPr>
          <w:i/>
          <w:color w:val="000000" w:themeColor="text1"/>
        </w:rPr>
        <w:t>et al.</w:t>
      </w:r>
      <w:r w:rsidRPr="00C07591">
        <w:rPr>
          <w:color w:val="000000" w:themeColor="text1"/>
        </w:rPr>
        <w:t xml:space="preserve"> 2011</w:t>
      </w:r>
      <w:r>
        <w:rPr>
          <w:color w:val="000000" w:themeColor="text1"/>
        </w:rPr>
        <w:t>,</w:t>
      </w:r>
      <w:r w:rsidRPr="0067345E">
        <w:rPr>
          <w:color w:val="000000" w:themeColor="text1"/>
        </w:rPr>
        <w:t xml:space="preserve"> </w:t>
      </w:r>
      <w:r w:rsidRPr="00C07591">
        <w:rPr>
          <w:color w:val="000000" w:themeColor="text1"/>
        </w:rPr>
        <w:t xml:space="preserve">Vega Thurber </w:t>
      </w:r>
      <w:r w:rsidRPr="00C07591">
        <w:rPr>
          <w:i/>
          <w:color w:val="000000" w:themeColor="text1"/>
        </w:rPr>
        <w:t>et al.</w:t>
      </w:r>
      <w:r w:rsidRPr="00C07591">
        <w:rPr>
          <w:color w:val="000000" w:themeColor="text1"/>
        </w:rPr>
        <w:t xml:space="preserve"> 2013). With the recent return to lower flows</w:t>
      </w:r>
      <w:r>
        <w:rPr>
          <w:color w:val="000000" w:themeColor="text1"/>
        </w:rPr>
        <w:t xml:space="preserve"> </w:t>
      </w:r>
      <w:r w:rsidR="005A0D19">
        <w:rPr>
          <w:color w:val="000000" w:themeColor="text1"/>
        </w:rPr>
        <w:t xml:space="preserve">and </w:t>
      </w:r>
      <w:r>
        <w:rPr>
          <w:color w:val="000000" w:themeColor="text1"/>
        </w:rPr>
        <w:t>correspondingly lower loads of sediments and nutrients delivered by the Fitzroy River (</w:t>
      </w:r>
      <w:r>
        <w:t xml:space="preserve">Garzon-Garcia </w:t>
      </w:r>
      <w:r w:rsidRPr="004B709C">
        <w:rPr>
          <w:i/>
        </w:rPr>
        <w:t>et al.</w:t>
      </w:r>
      <w:r w:rsidRPr="00390D2A">
        <w:t xml:space="preserve"> 2015</w:t>
      </w:r>
      <w:r>
        <w:t>)</w:t>
      </w:r>
      <w:r w:rsidRPr="00C07591">
        <w:rPr>
          <w:color w:val="000000" w:themeColor="text1"/>
        </w:rPr>
        <w:t xml:space="preserve">, the rate at which </w:t>
      </w:r>
      <w:r w:rsidR="00BC6B0B">
        <w:rPr>
          <w:color w:val="000000" w:themeColor="text1"/>
        </w:rPr>
        <w:t xml:space="preserve">coral </w:t>
      </w:r>
      <w:proofErr w:type="gramStart"/>
      <w:r w:rsidR="00BC6B0B">
        <w:rPr>
          <w:color w:val="000000" w:themeColor="text1"/>
        </w:rPr>
        <w:t xml:space="preserve">condition </w:t>
      </w:r>
      <w:r w:rsidRPr="00C07591">
        <w:rPr>
          <w:color w:val="000000" w:themeColor="text1"/>
        </w:rPr>
        <w:t xml:space="preserve"> improves</w:t>
      </w:r>
      <w:proofErr w:type="gramEnd"/>
      <w:r w:rsidRPr="00C07591">
        <w:rPr>
          <w:color w:val="000000" w:themeColor="text1"/>
        </w:rPr>
        <w:t xml:space="preserve"> will help to assess the longer term impacts of runoff on the ecology of the reefs in this region. </w:t>
      </w:r>
    </w:p>
    <w:p w14:paraId="56A27080" w14:textId="77777777" w:rsidR="00FF5767" w:rsidRDefault="00523D87" w:rsidP="00FF5767">
      <w:pPr>
        <w:rPr>
          <w:rFonts w:eastAsia="SimSun"/>
        </w:rPr>
      </w:pPr>
      <w:r>
        <w:rPr>
          <w:noProof/>
          <w:lang w:val="en-AU" w:eastAsia="en-AU"/>
        </w:rPr>
        <w:lastRenderedPageBreak/>
        <w:drawing>
          <wp:inline distT="0" distB="0" distL="0" distR="0" wp14:anchorId="0003C8EB" wp14:editId="2C3F8343">
            <wp:extent cx="6120765" cy="6120765"/>
            <wp:effectExtent l="0" t="0" r="0" b="0"/>
            <wp:docPr id="250" name="Picture 250" descr="Figure 15: Coral reef community and water quality trends in the Fitzroy region. 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in records of chlorophyll a and turbidity (g, h) from ECO FLNTUSB instruments are represented in red, individual records are not displayed. Dashed reference lines indicate GBRMPA (2010) guideline values." title="Figure 15: Coral reef community and water quality trend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s_Fitzroy.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Start w:id="210" w:name="_Toc437423860"/>
      <w:bookmarkStart w:id="211" w:name="_Toc437424039"/>
      <w:bookmarkStart w:id="212" w:name="_Toc437424310"/>
      <w:bookmarkEnd w:id="177"/>
    </w:p>
    <w:p w14:paraId="30C2C920" w14:textId="77777777" w:rsidR="006B3B22" w:rsidRPr="006B3B22" w:rsidRDefault="006B3B22" w:rsidP="00E56CF1">
      <w:pPr>
        <w:pStyle w:val="Caption"/>
        <w:rPr>
          <w:vanish/>
        </w:rPr>
      </w:pPr>
      <w:bookmarkStart w:id="213" w:name="_Ref438121610"/>
      <w:bookmarkStart w:id="214" w:name="_Toc437597645"/>
      <w:bookmarkStart w:id="215" w:name="_Toc460490784"/>
      <w:r>
        <w:t xml:space="preserve">Figure </w:t>
      </w:r>
      <w:r w:rsidR="005D2F9F">
        <w:fldChar w:fldCharType="begin"/>
      </w:r>
      <w:r w:rsidR="005D2F9F">
        <w:instrText xml:space="preserve"> SEQ Figure \* ARABIC </w:instrText>
      </w:r>
      <w:r w:rsidR="005D2F9F">
        <w:fldChar w:fldCharType="separate"/>
      </w:r>
      <w:r w:rsidR="00B61881">
        <w:rPr>
          <w:noProof/>
        </w:rPr>
        <w:t>15</w:t>
      </w:r>
      <w:r w:rsidR="005D2F9F">
        <w:rPr>
          <w:noProof/>
        </w:rPr>
        <w:fldChar w:fldCharType="end"/>
      </w:r>
      <w:bookmarkEnd w:id="213"/>
      <w:r>
        <w:t xml:space="preserve">: </w:t>
      </w:r>
      <w:r w:rsidR="00001956" w:rsidRPr="006561AA">
        <w:t xml:space="preserve">Coral reef community </w:t>
      </w:r>
      <w:r w:rsidR="00D61C95" w:rsidRPr="006561AA">
        <w:t xml:space="preserve">and water quality </w:t>
      </w:r>
      <w:r w:rsidR="00001956" w:rsidRPr="006561AA">
        <w:t xml:space="preserve">trends in the </w:t>
      </w:r>
      <w:r w:rsidR="00FA3AF5" w:rsidRPr="006561AA">
        <w:t>Fitzroy</w:t>
      </w:r>
      <w:r w:rsidR="00001956" w:rsidRPr="006561AA">
        <w:t xml:space="preserve"> region.</w:t>
      </w:r>
      <w:bookmarkEnd w:id="210"/>
      <w:bookmarkEnd w:id="211"/>
      <w:bookmarkEnd w:id="212"/>
      <w:bookmarkEnd w:id="214"/>
      <w:bookmarkEnd w:id="215"/>
    </w:p>
    <w:p w14:paraId="3BAA964F" w14:textId="77777777" w:rsidR="00001956" w:rsidRPr="00BB6D1F" w:rsidRDefault="00001956" w:rsidP="00E56CF1">
      <w:pPr>
        <w:pStyle w:val="Caption"/>
        <w:rPr>
          <w:rStyle w:val="IntenseReference"/>
          <w:rFonts w:eastAsiaTheme="minorHAnsi"/>
        </w:rPr>
      </w:pPr>
      <w:r w:rsidRPr="003045D3">
        <w:rPr>
          <w:rStyle w:val="Heading9Char"/>
          <w:rFonts w:ascii="Arial Narrow" w:eastAsia="SimSun" w:hAnsi="Arial Narrow"/>
          <w:sz w:val="22"/>
          <w:szCs w:val="22"/>
        </w:rPr>
        <w:t xml:space="preserve"> </w:t>
      </w:r>
      <w:bookmarkStart w:id="216" w:name="_Toc437597646"/>
      <w:r w:rsidRPr="00BB6D1F">
        <w:rPr>
          <w:rStyle w:val="IntenseReference"/>
          <w:rFonts w:eastAsiaTheme="minorHAnsi"/>
        </w:rPr>
        <w:t xml:space="preserve">Coral index colour coding: dark green- ‘very good’; light green-‘good’; yellow – ‘moderate; orange – ‘poor’; red – ‘very poor’. Coral index is calculated from benthic community variables plotted in b-f. Trends in benthic community variables are represented by blue lines with blue shaded areas defining 95% confidence intervals of those trends, grey lines represent observed profiles averaged over depths at individual reefs. Trends in manually sampled chlorophyll a (g) are represented by blue lines with blue shaded areas defining 95% confidence intervals of those trends, black dots represent observed data. Trends </w:t>
      </w:r>
      <w:r w:rsidR="00FA3AF5" w:rsidRPr="00BB6D1F">
        <w:rPr>
          <w:rStyle w:val="IntenseReference"/>
          <w:rFonts w:eastAsiaTheme="minorHAnsi"/>
        </w:rPr>
        <w:t xml:space="preserve">in </w:t>
      </w:r>
      <w:r w:rsidRPr="00BB6D1F">
        <w:rPr>
          <w:rStyle w:val="IntenseReference"/>
          <w:rFonts w:eastAsiaTheme="minorHAnsi"/>
        </w:rPr>
        <w:t>records of chlorophyll a and turbidity (</w:t>
      </w:r>
      <w:r w:rsidR="00FA3AF5" w:rsidRPr="00BB6D1F">
        <w:rPr>
          <w:rStyle w:val="IntenseReference"/>
          <w:rFonts w:eastAsiaTheme="minorHAnsi"/>
        </w:rPr>
        <w:t>g</w:t>
      </w:r>
      <w:r w:rsidRPr="00BB6D1F">
        <w:rPr>
          <w:rStyle w:val="IntenseReference"/>
          <w:rFonts w:eastAsiaTheme="minorHAnsi"/>
        </w:rPr>
        <w:t xml:space="preserve">, h) from ECO FLNTUSB instruments are represented in red, individual records are not displayed. Dashed reference lines indicate GBRMPA </w:t>
      </w:r>
      <w:r w:rsidR="00FA3AF5" w:rsidRPr="00BB6D1F">
        <w:rPr>
          <w:rStyle w:val="IntenseReference"/>
          <w:rFonts w:eastAsiaTheme="minorHAnsi"/>
        </w:rPr>
        <w:t xml:space="preserve">(2010) </w:t>
      </w:r>
      <w:r w:rsidRPr="00BB6D1F">
        <w:rPr>
          <w:rStyle w:val="IntenseReference"/>
          <w:rFonts w:eastAsiaTheme="minorHAnsi"/>
        </w:rPr>
        <w:t>guideline values.</w:t>
      </w:r>
      <w:bookmarkEnd w:id="216"/>
    </w:p>
    <w:p w14:paraId="1A552BB2" w14:textId="77777777" w:rsidR="006E5B54" w:rsidRPr="006E5B54" w:rsidRDefault="006E5B54" w:rsidP="00D61C95">
      <w:pPr>
        <w:rPr>
          <w:rFonts w:asciiTheme="minorHAnsi" w:eastAsiaTheme="minorHAnsi" w:hAnsiTheme="minorHAnsi" w:cstheme="minorBidi"/>
          <w:szCs w:val="22"/>
        </w:rPr>
      </w:pPr>
    </w:p>
    <w:p w14:paraId="5079FAB8" w14:textId="77777777" w:rsidR="007372D2" w:rsidRDefault="007372D2">
      <w:pPr>
        <w:rPr>
          <w:rFonts w:ascii="Arial Narrow" w:eastAsia="SimSun" w:hAnsi="Arial Narrow"/>
          <w:color w:val="0070C0"/>
          <w:sz w:val="20"/>
          <w:szCs w:val="24"/>
        </w:rPr>
      </w:pPr>
      <w:r>
        <w:rPr>
          <w:color w:val="0070C0"/>
        </w:rPr>
        <w:br w:type="page"/>
      </w:r>
    </w:p>
    <w:p w14:paraId="72944161" w14:textId="77777777" w:rsidR="007372D2" w:rsidRPr="00001956" w:rsidRDefault="007372D2" w:rsidP="006D0A76">
      <w:pPr>
        <w:pStyle w:val="Heading1"/>
      </w:pPr>
      <w:bookmarkStart w:id="217" w:name="_Toc437424412"/>
      <w:bookmarkStart w:id="218" w:name="_Toc437424536"/>
      <w:bookmarkStart w:id="219" w:name="_Ref437428158"/>
      <w:bookmarkStart w:id="220" w:name="_Ref437429092"/>
      <w:bookmarkStart w:id="221" w:name="_Ref437429200"/>
      <w:bookmarkStart w:id="222" w:name="_Toc437432467"/>
      <w:bookmarkStart w:id="223" w:name="_Toc437432540"/>
      <w:bookmarkStart w:id="224" w:name="_Toc460490667"/>
      <w:r w:rsidRPr="007372D2">
        <w:lastRenderedPageBreak/>
        <w:t>Revision of report card indicator metrics</w:t>
      </w:r>
      <w:bookmarkEnd w:id="217"/>
      <w:bookmarkEnd w:id="218"/>
      <w:bookmarkEnd w:id="219"/>
      <w:bookmarkEnd w:id="220"/>
      <w:bookmarkEnd w:id="221"/>
      <w:bookmarkEnd w:id="222"/>
      <w:bookmarkEnd w:id="223"/>
      <w:bookmarkEnd w:id="224"/>
      <w:r>
        <w:rPr>
          <w:rStyle w:val="Heading3Char"/>
          <w:b/>
          <w:sz w:val="36"/>
          <w:szCs w:val="28"/>
        </w:rPr>
        <w:t xml:space="preserve"> </w:t>
      </w:r>
    </w:p>
    <w:p w14:paraId="3C9D0C97" w14:textId="77777777" w:rsidR="007372D2" w:rsidRDefault="00F352CD" w:rsidP="007372D2">
      <w:pPr>
        <w:pStyle w:val="Heading2"/>
      </w:pPr>
      <w:bookmarkStart w:id="225" w:name="_Toc437424413"/>
      <w:bookmarkStart w:id="226" w:name="_Toc437424537"/>
      <w:bookmarkStart w:id="227" w:name="_Toc437432468"/>
      <w:bookmarkStart w:id="228" w:name="_Toc437432541"/>
      <w:bookmarkStart w:id="229" w:name="_Toc460490668"/>
      <w:r>
        <w:t>6</w:t>
      </w:r>
      <w:r w:rsidR="00FF1C00">
        <w:t>.1 Report card concept</w:t>
      </w:r>
      <w:bookmarkEnd w:id="225"/>
      <w:bookmarkEnd w:id="226"/>
      <w:bookmarkEnd w:id="227"/>
      <w:bookmarkEnd w:id="228"/>
      <w:bookmarkEnd w:id="229"/>
    </w:p>
    <w:p w14:paraId="6FF8DB7D" w14:textId="77777777" w:rsidR="007372D2" w:rsidRDefault="007372D2" w:rsidP="003045D3">
      <w:r>
        <w:t xml:space="preserve">The coral reef component of the marine monitoring program (MMP) has the primary aim of monitoring the condition of reefs in the </w:t>
      </w:r>
      <w:r w:rsidR="00192499">
        <w:t>in</w:t>
      </w:r>
      <w:r>
        <w:t>shore waters of the GBR. These reefs are directly influenced by sediments</w:t>
      </w:r>
      <w:r w:rsidR="00F61CF7">
        <w:t>,</w:t>
      </w:r>
      <w:r>
        <w:t xml:space="preserve"> nutrients and toxicants resulting from activities occurring in the catchments and abutting coastal zones. As expected, coral communities show clear relationships to local environmental conditions, however, these relationships do not easily translate into an assessment of the </w:t>
      </w:r>
      <w:r w:rsidR="008D482D">
        <w:t>condition</w:t>
      </w:r>
      <w:r>
        <w:t xml:space="preserve"> of these communities</w:t>
      </w:r>
      <w:r w:rsidR="0054101D">
        <w:t xml:space="preserve"> in response to </w:t>
      </w:r>
      <w:r w:rsidR="009472E2">
        <w:t xml:space="preserve">degraded </w:t>
      </w:r>
      <w:r w:rsidR="0054101D">
        <w:t>water quality</w:t>
      </w:r>
      <w:r w:rsidR="00F61CF7">
        <w:t>,</w:t>
      </w:r>
      <w:r>
        <w:t xml:space="preserve"> as gradients in both environmental condition and community composition may naturally occur. </w:t>
      </w:r>
    </w:p>
    <w:p w14:paraId="3909340F" w14:textId="77777777" w:rsidR="007372D2" w:rsidRDefault="007372D2" w:rsidP="00F61CF7">
      <w:r>
        <w:t xml:space="preserve">Reef Plan in general can be considered in a </w:t>
      </w:r>
      <w:r>
        <w:rPr>
          <w:i/>
        </w:rPr>
        <w:t>Drivers-Pressures-States-Impacts-Responses</w:t>
      </w:r>
      <w:r>
        <w:t xml:space="preserve"> (DPSIR) framework (Maxim </w:t>
      </w:r>
      <w:r>
        <w:rPr>
          <w:i/>
        </w:rPr>
        <w:t>et al.</w:t>
      </w:r>
      <w:r>
        <w:t xml:space="preserve"> 2009, Rehr </w:t>
      </w:r>
      <w:r>
        <w:rPr>
          <w:i/>
        </w:rPr>
        <w:t>et al.</w:t>
      </w:r>
      <w:r>
        <w:t xml:space="preserve"> 2012). Socio-economic factors are the </w:t>
      </w:r>
      <w:r>
        <w:rPr>
          <w:i/>
        </w:rPr>
        <w:t>drivers</w:t>
      </w:r>
      <w:r>
        <w:t xml:space="preserve"> of human activates from local, within catchment, scale through to the global scale. Human activities result in both locally derived </w:t>
      </w:r>
      <w:r>
        <w:rPr>
          <w:i/>
        </w:rPr>
        <w:t>pressures</w:t>
      </w:r>
      <w:r>
        <w:t xml:space="preserve"> on downstream ecosystems such as increased exposure to sediments, nutrients and toxicants that interact with global </w:t>
      </w:r>
      <w:r>
        <w:rPr>
          <w:i/>
        </w:rPr>
        <w:t>pressures</w:t>
      </w:r>
      <w:r>
        <w:t xml:space="preserve"> such as climate change. These </w:t>
      </w:r>
      <w:r>
        <w:rPr>
          <w:i/>
        </w:rPr>
        <w:t>pressures</w:t>
      </w:r>
      <w:r>
        <w:t xml:space="preserve"> change the </w:t>
      </w:r>
      <w:r>
        <w:rPr>
          <w:i/>
        </w:rPr>
        <w:t>state</w:t>
      </w:r>
      <w:r>
        <w:t xml:space="preserve"> of the waters surrounding coral reefs and in turn influence the </w:t>
      </w:r>
      <w:r>
        <w:rPr>
          <w:i/>
        </w:rPr>
        <w:t>state</w:t>
      </w:r>
      <w:r>
        <w:t xml:space="preserve"> of coral communities. The purpose of the coral component of the Reef Report Card is to synthesise the </w:t>
      </w:r>
      <w:r>
        <w:rPr>
          <w:i/>
        </w:rPr>
        <w:t>state</w:t>
      </w:r>
      <w:r>
        <w:t xml:space="preserve"> of coral communities based on a range of indicators of coral community condition. This </w:t>
      </w:r>
      <w:r>
        <w:rPr>
          <w:i/>
        </w:rPr>
        <w:t>state</w:t>
      </w:r>
      <w:r>
        <w:t xml:space="preserve"> can then be interpreted in terms of </w:t>
      </w:r>
      <w:r>
        <w:rPr>
          <w:i/>
        </w:rPr>
        <w:t>impact</w:t>
      </w:r>
      <w:r>
        <w:t xml:space="preserve"> on desirable ecosystem functioning or services that in turn can be used to inform decisions as to the need for </w:t>
      </w:r>
      <w:r>
        <w:rPr>
          <w:i/>
        </w:rPr>
        <w:t>response</w:t>
      </w:r>
      <w:r>
        <w:t xml:space="preserve"> such as policy or regulatory actions to alleviate that </w:t>
      </w:r>
      <w:r>
        <w:rPr>
          <w:i/>
        </w:rPr>
        <w:t>impact</w:t>
      </w:r>
      <w:r>
        <w:t>.</w:t>
      </w:r>
    </w:p>
    <w:p w14:paraId="311F01C9" w14:textId="77777777" w:rsidR="00011FFD" w:rsidRDefault="007372D2" w:rsidP="00F61CF7">
      <w:pPr>
        <w:rPr>
          <w:rFonts w:ascii="Verdana" w:hAnsi="Verdana"/>
          <w:color w:val="000000" w:themeColor="text1"/>
          <w:sz w:val="19"/>
          <w:szCs w:val="19"/>
          <w:lang w:val="en"/>
        </w:rPr>
      </w:pPr>
      <w:r>
        <w:t xml:space="preserve">Following the DPSIR framework it </w:t>
      </w:r>
      <w:r w:rsidR="00F61CF7">
        <w:t>is obvious</w:t>
      </w:r>
      <w:r>
        <w:t xml:space="preserve"> that the choice of indicators used to assess ecosystem </w:t>
      </w:r>
      <w:r>
        <w:rPr>
          <w:i/>
        </w:rPr>
        <w:t>state</w:t>
      </w:r>
      <w:r>
        <w:t xml:space="preserve"> should have the properties of being responsive to </w:t>
      </w:r>
      <w:r>
        <w:rPr>
          <w:i/>
        </w:rPr>
        <w:t>pressures</w:t>
      </w:r>
      <w:r>
        <w:t xml:space="preserve"> of interest but also relevant in terms of the desirable </w:t>
      </w:r>
      <w:r>
        <w:rPr>
          <w:i/>
        </w:rPr>
        <w:t>state</w:t>
      </w:r>
      <w:r w:rsidR="00F61CF7">
        <w:t xml:space="preserve"> of the ecosystem. </w:t>
      </w:r>
      <w:r>
        <w:rPr>
          <w:rFonts w:cs="Arial"/>
        </w:rPr>
        <w:t xml:space="preserve">The underlying premise of Reef Plan is that land use practices adjacent to the GBR have resulted in increased loads of contaminants in the form of sediments, nutrients and pesticides into the waters of the GBR (Waters </w:t>
      </w:r>
      <w:r>
        <w:rPr>
          <w:rFonts w:cs="Arial"/>
          <w:i/>
        </w:rPr>
        <w:t>et al.</w:t>
      </w:r>
      <w:r>
        <w:rPr>
          <w:rFonts w:cs="Arial"/>
        </w:rPr>
        <w:t xml:space="preserve"> 2014) and this has resulted in a concomitant reduction in water quality </w:t>
      </w:r>
      <w:r w:rsidR="00AA39F6">
        <w:rPr>
          <w:rFonts w:cs="Arial"/>
        </w:rPr>
        <w:t>that has impacted</w:t>
      </w:r>
      <w:r>
        <w:rPr>
          <w:rFonts w:cs="Arial"/>
        </w:rPr>
        <w:t xml:space="preserve"> GBR ecosystems. This concept is captured by the stated </w:t>
      </w:r>
      <w:r>
        <w:t xml:space="preserve">goal of Reef Plan 2013 that is </w:t>
      </w:r>
      <w:r w:rsidRPr="006252FD">
        <w:rPr>
          <w:rFonts w:cs="Arial"/>
          <w:szCs w:val="22"/>
        </w:rPr>
        <w:t>“</w:t>
      </w:r>
      <w:r w:rsidRPr="006252FD">
        <w:rPr>
          <w:rFonts w:cs="Arial"/>
          <w:i/>
          <w:color w:val="000000"/>
          <w:szCs w:val="22"/>
        </w:rPr>
        <w:t>To ensure that by 2020 the quality of water entering the reef from broadscale land use has no detrimental impact on the health and resilience of the Great Barrier Reef</w:t>
      </w:r>
      <w:r w:rsidRPr="006252FD">
        <w:rPr>
          <w:rFonts w:cs="Arial"/>
          <w:szCs w:val="22"/>
        </w:rPr>
        <w:t>”</w:t>
      </w:r>
      <w:r w:rsidRPr="006252FD">
        <w:rPr>
          <w:rFonts w:cs="Arial"/>
          <w:bCs/>
          <w:color w:val="292829"/>
          <w:szCs w:val="22"/>
        </w:rPr>
        <w:t xml:space="preserve"> (Anon</w:t>
      </w:r>
      <w:r w:rsidR="005345E1">
        <w:rPr>
          <w:rFonts w:cs="Arial"/>
          <w:bCs/>
          <w:color w:val="292829"/>
          <w:szCs w:val="22"/>
        </w:rPr>
        <w:t>.</w:t>
      </w:r>
      <w:r w:rsidRPr="006252FD">
        <w:rPr>
          <w:rFonts w:cs="Arial"/>
          <w:bCs/>
          <w:color w:val="292829"/>
          <w:szCs w:val="22"/>
        </w:rPr>
        <w:t xml:space="preserve"> 2013).</w:t>
      </w:r>
      <w:r w:rsidRPr="006252FD">
        <w:rPr>
          <w:rFonts w:cs="Arial"/>
          <w:szCs w:val="22"/>
        </w:rPr>
        <w:t xml:space="preserve"> This goal sets the purpose of the Reef Plan multimetric index for coral communities as one of assessing communities for improvements consistent with expectations under reduced water quality pressure. At a higher level it is the </w:t>
      </w:r>
      <w:r w:rsidRPr="006252FD">
        <w:rPr>
          <w:rFonts w:cs="Arial"/>
          <w:color w:val="000000" w:themeColor="text1"/>
          <w:szCs w:val="22"/>
        </w:rPr>
        <w:t xml:space="preserve">Vision of Reef 2050 Long-Term Sustainability Plan that </w:t>
      </w:r>
      <w:r w:rsidRPr="006252FD">
        <w:rPr>
          <w:rFonts w:cs="Arial"/>
          <w:color w:val="000000" w:themeColor="text1"/>
          <w:szCs w:val="22"/>
          <w:lang w:val="en"/>
        </w:rPr>
        <w:t>“</w:t>
      </w:r>
      <w:r w:rsidRPr="006252FD">
        <w:rPr>
          <w:rStyle w:val="Emphasis"/>
          <w:rFonts w:cs="Arial"/>
          <w:color w:val="000000" w:themeColor="text1"/>
          <w:szCs w:val="22"/>
          <w:lang w:val="en"/>
        </w:rPr>
        <w:t>In 2050 the Great Barrier Reef continues to demonstrate the Outstanding Universal Value for which it was listed as a World Heritage Area and supports a wide range of sustainable economic, social, cultural and traditional activities</w:t>
      </w:r>
      <w:r w:rsidR="00EF0D5C">
        <w:rPr>
          <w:rFonts w:cs="Arial"/>
          <w:color w:val="000000" w:themeColor="text1"/>
          <w:szCs w:val="22"/>
          <w:lang w:val="en"/>
        </w:rPr>
        <w:t>”,</w:t>
      </w:r>
      <w:r w:rsidRPr="006252FD">
        <w:rPr>
          <w:rFonts w:cs="Arial"/>
          <w:color w:val="000000" w:themeColor="text1"/>
          <w:szCs w:val="22"/>
          <w:lang w:val="en"/>
        </w:rPr>
        <w:t xml:space="preserve"> a vision that brings a socioeconomic perspective to the desirable state of GBR ecosystems.</w:t>
      </w:r>
      <w:r>
        <w:rPr>
          <w:rFonts w:ascii="Verdana" w:hAnsi="Verdana"/>
          <w:color w:val="000000" w:themeColor="text1"/>
          <w:sz w:val="19"/>
          <w:szCs w:val="19"/>
          <w:lang w:val="en"/>
        </w:rPr>
        <w:t xml:space="preserve"> </w:t>
      </w:r>
    </w:p>
    <w:p w14:paraId="0D9449CC" w14:textId="77777777" w:rsidR="007372D2" w:rsidRDefault="00011FFD" w:rsidP="00F61CF7">
      <w:pPr>
        <w:rPr>
          <w:rFonts w:cs="Arial"/>
          <w:color w:val="000000" w:themeColor="text1"/>
        </w:rPr>
      </w:pPr>
      <w:r>
        <w:t xml:space="preserve">The coral community component of the Reef Report card is a </w:t>
      </w:r>
      <w:r>
        <w:rPr>
          <w:color w:val="000000" w:themeColor="text1"/>
        </w:rPr>
        <w:t>b</w:t>
      </w:r>
      <w:r>
        <w:rPr>
          <w:rFonts w:cs="Arial"/>
          <w:color w:val="000000" w:themeColor="text1"/>
        </w:rPr>
        <w:t xml:space="preserve">iological assessment that is used to evaluate the state of coral communities as a means of inferring cumulative effects of a range of environmental conditions and pressures (Karr &amp; Chu, 1999). As a tool of both ecologists and managers, biological assessments are particularly useful as the biological responses measured can indicate the cumulative response to multiple pressures over a range of spatial or temporal scales where those pressures, or their interactions, are difficult to fully identify or parameterise (Karr 2006). As discussed by Bradley </w:t>
      </w:r>
      <w:r>
        <w:rPr>
          <w:rFonts w:cs="Arial"/>
          <w:i/>
          <w:color w:val="000000" w:themeColor="text1"/>
        </w:rPr>
        <w:t>et al</w:t>
      </w:r>
      <w:r>
        <w:rPr>
          <w:rFonts w:cs="Arial"/>
          <w:color w:val="000000" w:themeColor="text1"/>
        </w:rPr>
        <w:t>. (2010), biological assessments should be based on a range of indicators that each focus on separate scales of influence or modes of response. The aggregation of multiple indicators into a “multimetric index” provides a broad basis for the assessment of biological integrity while also producing a single “score” for reporting purposes.</w:t>
      </w:r>
    </w:p>
    <w:p w14:paraId="0CDFDF6B" w14:textId="77777777" w:rsidR="007372D2" w:rsidRDefault="00F352CD" w:rsidP="009139A2">
      <w:pPr>
        <w:pStyle w:val="Heading3"/>
        <w:rPr>
          <w:rFonts w:asciiTheme="majorHAnsi" w:hAnsiTheme="majorHAnsi"/>
          <w:color w:val="365F91" w:themeColor="accent1" w:themeShade="BF"/>
          <w:sz w:val="28"/>
          <w:szCs w:val="28"/>
          <w:lang w:val="en-AU"/>
        </w:rPr>
      </w:pPr>
      <w:bookmarkStart w:id="230" w:name="_Toc437424414"/>
      <w:bookmarkStart w:id="231" w:name="_Toc437424538"/>
      <w:bookmarkStart w:id="232" w:name="_Toc437432469"/>
      <w:bookmarkStart w:id="233" w:name="_Toc437432542"/>
      <w:r>
        <w:t>6</w:t>
      </w:r>
      <w:r w:rsidR="00FF1C00">
        <w:t xml:space="preserve">.1.1 </w:t>
      </w:r>
      <w:r w:rsidR="007372D2">
        <w:t>Rationale for indicator selection</w:t>
      </w:r>
      <w:bookmarkEnd w:id="230"/>
      <w:bookmarkEnd w:id="231"/>
      <w:bookmarkEnd w:id="232"/>
      <w:bookmarkEnd w:id="233"/>
    </w:p>
    <w:p w14:paraId="038ACA37" w14:textId="77777777" w:rsidR="00501813" w:rsidRDefault="007372D2" w:rsidP="003045D3">
      <w:pPr>
        <w:rPr>
          <w:rFonts w:cs="Arial"/>
          <w:color w:val="000000" w:themeColor="text1"/>
        </w:rPr>
      </w:pPr>
      <w:r>
        <w:rPr>
          <w:rFonts w:cs="Arial"/>
          <w:color w:val="000000" w:themeColor="text1"/>
        </w:rPr>
        <w:t xml:space="preserve">Due to the inference ascribed to biological assessments it is important that each indicator included in a multimetric index be carefully selected and tested to ensure it is both relevant to the purpose of the index and can be feasibly implemented in a manner able to detect differences in the response (Jameson </w:t>
      </w:r>
      <w:r>
        <w:rPr>
          <w:rFonts w:cs="Arial"/>
          <w:i/>
          <w:color w:val="000000" w:themeColor="text1"/>
        </w:rPr>
        <w:t>et al</w:t>
      </w:r>
      <w:r>
        <w:rPr>
          <w:rFonts w:cs="Arial"/>
          <w:color w:val="000000" w:themeColor="text1"/>
        </w:rPr>
        <w:t xml:space="preserve">. 2001). </w:t>
      </w:r>
      <w:r w:rsidR="00581CB9">
        <w:rPr>
          <w:rFonts w:cs="Arial"/>
        </w:rPr>
        <w:t xml:space="preserve">The conceptual model underpinning the selection of coral community indicators </w:t>
      </w:r>
      <w:r w:rsidR="00B52ED5">
        <w:rPr>
          <w:rFonts w:cs="Arial"/>
        </w:rPr>
        <w:t xml:space="preserve">for Reef Plan </w:t>
      </w:r>
      <w:r w:rsidR="00581CB9">
        <w:rPr>
          <w:rFonts w:cs="Arial"/>
        </w:rPr>
        <w:t>is that coral communities are naturally dynamic</w:t>
      </w:r>
      <w:r w:rsidR="005B086B">
        <w:rPr>
          <w:rFonts w:cs="Arial"/>
        </w:rPr>
        <w:t>;</w:t>
      </w:r>
      <w:r w:rsidR="00581CB9">
        <w:rPr>
          <w:rFonts w:cs="Arial"/>
        </w:rPr>
        <w:t xml:space="preserve"> existing in a cycle of </w:t>
      </w:r>
      <w:r w:rsidR="00581CB9">
        <w:rPr>
          <w:rFonts w:cs="Arial"/>
        </w:rPr>
        <w:lastRenderedPageBreak/>
        <w:t xml:space="preserve">disturbance and recovery. For coral communities to persist requires the long-term balance between the frequency and severity of disturbances and the rate at which communities recover. Poor water quality is assumed to disrupt this balance by either increasing the susceptibility of coral communities to disturbance or supressing the rate at which communities recover, that is, poor water quality reduces the resilience of coral communities. </w:t>
      </w:r>
      <w:r w:rsidR="00581CB9">
        <w:rPr>
          <w:rFonts w:cs="Arial"/>
          <w:color w:val="000000" w:themeColor="text1"/>
        </w:rPr>
        <w:t>Th</w:t>
      </w:r>
      <w:r w:rsidR="00CE1836">
        <w:rPr>
          <w:rFonts w:cs="Arial"/>
          <w:color w:val="000000" w:themeColor="text1"/>
        </w:rPr>
        <w:t xml:space="preserve">is conceptual </w:t>
      </w:r>
      <w:r w:rsidR="00B52ED5">
        <w:rPr>
          <w:rFonts w:cs="Arial"/>
          <w:color w:val="000000" w:themeColor="text1"/>
        </w:rPr>
        <w:t>model identifies community resilience as the overarching response for the coral index and st</w:t>
      </w:r>
      <w:r w:rsidR="00581CB9">
        <w:rPr>
          <w:rFonts w:cs="Arial"/>
          <w:color w:val="000000" w:themeColor="text1"/>
        </w:rPr>
        <w:t>eers the selection of indicators toward those representing critical demographic</w:t>
      </w:r>
      <w:r w:rsidR="005B086B">
        <w:rPr>
          <w:rFonts w:cs="Arial"/>
          <w:color w:val="000000" w:themeColor="text1"/>
        </w:rPr>
        <w:t xml:space="preserve">: </w:t>
      </w:r>
      <w:r w:rsidR="00581CB9">
        <w:rPr>
          <w:rFonts w:cs="Arial"/>
          <w:color w:val="000000" w:themeColor="text1"/>
        </w:rPr>
        <w:t>recruitment, growth, mortality, or ecological</w:t>
      </w:r>
      <w:r w:rsidR="005B086B">
        <w:rPr>
          <w:rFonts w:cs="Arial"/>
          <w:color w:val="000000" w:themeColor="text1"/>
        </w:rPr>
        <w:t>:</w:t>
      </w:r>
      <w:r w:rsidR="00581CB9">
        <w:rPr>
          <w:rFonts w:cs="Arial"/>
          <w:color w:val="000000" w:themeColor="text1"/>
        </w:rPr>
        <w:t xml:space="preserve"> competition, processes that underpin coral community </w:t>
      </w:r>
      <w:r w:rsidR="00B52ED5">
        <w:rPr>
          <w:rFonts w:cs="Arial"/>
          <w:color w:val="000000" w:themeColor="text1"/>
        </w:rPr>
        <w:t>resilience</w:t>
      </w:r>
      <w:r w:rsidR="00581CB9">
        <w:rPr>
          <w:rFonts w:cs="Arial"/>
          <w:color w:val="000000" w:themeColor="text1"/>
        </w:rPr>
        <w:t>.</w:t>
      </w:r>
      <w:r w:rsidR="00B52ED5">
        <w:rPr>
          <w:rFonts w:cs="Arial"/>
          <w:color w:val="000000" w:themeColor="text1"/>
        </w:rPr>
        <w:t xml:space="preserve"> A further important consideration</w:t>
      </w:r>
      <w:r w:rsidR="00090BCC">
        <w:rPr>
          <w:rFonts w:cs="Arial"/>
          <w:color w:val="000000" w:themeColor="text1"/>
        </w:rPr>
        <w:t xml:space="preserve"> is the </w:t>
      </w:r>
      <w:r w:rsidR="005076D6">
        <w:rPr>
          <w:rFonts w:cs="Arial"/>
          <w:color w:val="000000" w:themeColor="text1"/>
        </w:rPr>
        <w:t xml:space="preserve">large </w:t>
      </w:r>
      <w:r w:rsidR="00581CB9">
        <w:rPr>
          <w:rFonts w:cs="Arial"/>
          <w:color w:val="000000" w:themeColor="text1"/>
        </w:rPr>
        <w:t xml:space="preserve">spatial </w:t>
      </w:r>
      <w:r w:rsidR="005076D6">
        <w:rPr>
          <w:rFonts w:cs="Arial"/>
          <w:color w:val="000000" w:themeColor="text1"/>
        </w:rPr>
        <w:t xml:space="preserve">(ideally the length of the GBR) </w:t>
      </w:r>
      <w:r w:rsidR="00CE1836">
        <w:rPr>
          <w:rFonts w:cs="Arial"/>
          <w:color w:val="000000" w:themeColor="text1"/>
        </w:rPr>
        <w:t xml:space="preserve">and temporal </w:t>
      </w:r>
      <w:r w:rsidR="005076D6">
        <w:rPr>
          <w:rFonts w:cs="Arial"/>
          <w:color w:val="000000" w:themeColor="text1"/>
        </w:rPr>
        <w:t xml:space="preserve">(responses to improved land use practices are likely to decadal) </w:t>
      </w:r>
      <w:r w:rsidR="00CE1836">
        <w:rPr>
          <w:rFonts w:cs="Arial"/>
          <w:color w:val="000000" w:themeColor="text1"/>
        </w:rPr>
        <w:t xml:space="preserve">scale of interest as this imposes limitations to sampling methods employed along with the spatial and temporal replication of that sampling. </w:t>
      </w:r>
      <w:r>
        <w:rPr>
          <w:rFonts w:cs="Arial"/>
          <w:color w:val="000000" w:themeColor="text1"/>
        </w:rPr>
        <w:t>In the case of the MMP</w:t>
      </w:r>
      <w:r w:rsidR="00581CB9" w:rsidRPr="00581CB9">
        <w:rPr>
          <w:rFonts w:cs="Arial"/>
        </w:rPr>
        <w:t xml:space="preserve"> </w:t>
      </w:r>
      <w:r>
        <w:rPr>
          <w:rFonts w:cs="Arial"/>
          <w:color w:val="000000" w:themeColor="text1"/>
        </w:rPr>
        <w:t>the sampling strategy adopted from the onset constrain</w:t>
      </w:r>
      <w:r w:rsidR="00EF0D5C">
        <w:rPr>
          <w:rFonts w:cs="Arial"/>
          <w:color w:val="000000" w:themeColor="text1"/>
        </w:rPr>
        <w:t>ed</w:t>
      </w:r>
      <w:r>
        <w:rPr>
          <w:rFonts w:cs="Arial"/>
          <w:color w:val="000000" w:themeColor="text1"/>
        </w:rPr>
        <w:t xml:space="preserve"> the choice of indicators to those that are</w:t>
      </w:r>
      <w:r w:rsidR="009472E2">
        <w:rPr>
          <w:rFonts w:cs="Arial"/>
          <w:color w:val="000000" w:themeColor="text1"/>
        </w:rPr>
        <w:t>:</w:t>
      </w:r>
      <w:r>
        <w:rPr>
          <w:rFonts w:cs="Arial"/>
          <w:color w:val="000000" w:themeColor="text1"/>
        </w:rPr>
        <w:t xml:space="preserve"> represented across the range of coral reefs within the inshore GBR, have an expected response time in the order of months to years</w:t>
      </w:r>
      <w:r w:rsidR="005B086B">
        <w:rPr>
          <w:rFonts w:cs="Arial"/>
          <w:color w:val="000000" w:themeColor="text1"/>
        </w:rPr>
        <w:t>;</w:t>
      </w:r>
      <w:r>
        <w:rPr>
          <w:rFonts w:cs="Arial"/>
          <w:color w:val="000000" w:themeColor="text1"/>
        </w:rPr>
        <w:t xml:space="preserve"> as</w:t>
      </w:r>
      <w:r w:rsidR="009472E2">
        <w:rPr>
          <w:rFonts w:cs="Arial"/>
          <w:color w:val="000000" w:themeColor="text1"/>
        </w:rPr>
        <w:t xml:space="preserve"> </w:t>
      </w:r>
      <w:r w:rsidR="006B6D8C">
        <w:rPr>
          <w:rFonts w:cs="Arial"/>
          <w:color w:val="000000" w:themeColor="text1"/>
        </w:rPr>
        <w:t>determined by the annual or biennial</w:t>
      </w:r>
      <w:r>
        <w:rPr>
          <w:rFonts w:cs="Arial"/>
          <w:color w:val="000000" w:themeColor="text1"/>
        </w:rPr>
        <w:t xml:space="preserve"> sampling design, and be reliably estimated from the sampling methods employed. </w:t>
      </w:r>
    </w:p>
    <w:p w14:paraId="7E7C5840" w14:textId="77777777" w:rsidR="00C9030A" w:rsidRDefault="005076D6" w:rsidP="003045D3">
      <w:pPr>
        <w:rPr>
          <w:rFonts w:cs="Arial"/>
          <w:color w:val="000000" w:themeColor="text1"/>
        </w:rPr>
      </w:pPr>
      <w:r>
        <w:rPr>
          <w:rFonts w:cs="Arial"/>
          <w:color w:val="000000" w:themeColor="text1"/>
        </w:rPr>
        <w:t xml:space="preserve">Several studies have assessed potential indicators to be used in a multimetric index as a way of evaluating the integrity of communities influenced by local pressures such as increases in nutrients and sediments (e.g. Fisher </w:t>
      </w:r>
      <w:r>
        <w:rPr>
          <w:rFonts w:cs="Arial"/>
          <w:i/>
          <w:color w:val="000000" w:themeColor="text1"/>
        </w:rPr>
        <w:t>et al.</w:t>
      </w:r>
      <w:r>
        <w:rPr>
          <w:rFonts w:cs="Arial"/>
          <w:color w:val="000000" w:themeColor="text1"/>
        </w:rPr>
        <w:t xml:space="preserve"> 2008, Cooper </w:t>
      </w:r>
      <w:r>
        <w:rPr>
          <w:rFonts w:cs="Arial"/>
          <w:i/>
          <w:color w:val="000000" w:themeColor="text1"/>
        </w:rPr>
        <w:t>et al</w:t>
      </w:r>
      <w:r>
        <w:rPr>
          <w:rFonts w:cs="Arial"/>
          <w:color w:val="000000" w:themeColor="text1"/>
        </w:rPr>
        <w:t xml:space="preserve">. 2009, Fabricius </w:t>
      </w:r>
      <w:r>
        <w:rPr>
          <w:rFonts w:cs="Arial"/>
          <w:i/>
          <w:color w:val="000000" w:themeColor="text1"/>
        </w:rPr>
        <w:t>et al</w:t>
      </w:r>
      <w:r>
        <w:rPr>
          <w:rFonts w:cs="Arial"/>
          <w:color w:val="000000" w:themeColor="text1"/>
        </w:rPr>
        <w:t xml:space="preserve">. 2012) or by global pressures such as climate change (McClanahan </w:t>
      </w:r>
      <w:r>
        <w:rPr>
          <w:rFonts w:cs="Arial"/>
          <w:i/>
          <w:color w:val="000000" w:themeColor="text1"/>
        </w:rPr>
        <w:t>et al.</w:t>
      </w:r>
      <w:r>
        <w:rPr>
          <w:rFonts w:cs="Arial"/>
          <w:color w:val="000000" w:themeColor="text1"/>
        </w:rPr>
        <w:t xml:space="preserve"> 2012).  </w:t>
      </w:r>
      <w:r w:rsidR="00501813" w:rsidRPr="001E031F">
        <w:rPr>
          <w:rFonts w:cs="Arial"/>
          <w:color w:val="000000" w:themeColor="text1"/>
        </w:rPr>
        <w:t>A number of</w:t>
      </w:r>
      <w:r w:rsidR="00301695" w:rsidRPr="001E031F">
        <w:rPr>
          <w:rFonts w:cs="Arial"/>
          <w:color w:val="000000" w:themeColor="text1"/>
        </w:rPr>
        <w:t xml:space="preserve"> biological indicators introduced by</w:t>
      </w:r>
      <w:r w:rsidR="007372D2" w:rsidRPr="001E031F">
        <w:rPr>
          <w:rFonts w:cs="Arial"/>
          <w:color w:val="000000" w:themeColor="text1"/>
        </w:rPr>
        <w:t xml:space="preserve"> Fabricius </w:t>
      </w:r>
      <w:r w:rsidR="007372D2" w:rsidRPr="001E031F">
        <w:rPr>
          <w:rFonts w:cs="Arial"/>
          <w:i/>
          <w:color w:val="000000" w:themeColor="text1"/>
        </w:rPr>
        <w:t>et al.</w:t>
      </w:r>
      <w:r w:rsidR="007372D2" w:rsidRPr="001E031F">
        <w:rPr>
          <w:rFonts w:cs="Arial"/>
          <w:color w:val="000000" w:themeColor="text1"/>
        </w:rPr>
        <w:t xml:space="preserve"> (2012) and McClanahan </w:t>
      </w:r>
      <w:r w:rsidR="007372D2" w:rsidRPr="001E031F">
        <w:rPr>
          <w:rFonts w:cs="Arial"/>
          <w:i/>
          <w:color w:val="000000" w:themeColor="text1"/>
        </w:rPr>
        <w:t>et al</w:t>
      </w:r>
      <w:r w:rsidR="007372D2" w:rsidRPr="001E031F">
        <w:rPr>
          <w:rFonts w:cs="Arial"/>
          <w:color w:val="000000" w:themeColor="text1"/>
        </w:rPr>
        <w:t xml:space="preserve">. (2012) </w:t>
      </w:r>
      <w:r w:rsidR="00301695" w:rsidRPr="001E031F">
        <w:rPr>
          <w:rFonts w:cs="Arial"/>
          <w:color w:val="000000" w:themeColor="text1"/>
        </w:rPr>
        <w:t>were</w:t>
      </w:r>
      <w:r w:rsidR="007372D2" w:rsidRPr="001E031F">
        <w:rPr>
          <w:rFonts w:cs="Arial"/>
          <w:color w:val="000000" w:themeColor="text1"/>
        </w:rPr>
        <w:t xml:space="preserve"> </w:t>
      </w:r>
      <w:r w:rsidR="00301695" w:rsidRPr="001E031F">
        <w:rPr>
          <w:rFonts w:cs="Arial"/>
          <w:color w:val="000000" w:themeColor="text1"/>
        </w:rPr>
        <w:t xml:space="preserve">not </w:t>
      </w:r>
      <w:r w:rsidR="007372D2" w:rsidRPr="001E031F">
        <w:rPr>
          <w:rFonts w:cs="Arial"/>
          <w:color w:val="000000" w:themeColor="text1"/>
        </w:rPr>
        <w:t>incorporated</w:t>
      </w:r>
      <w:r w:rsidR="00EF0D5C" w:rsidRPr="001E031F">
        <w:rPr>
          <w:rFonts w:cs="Arial"/>
          <w:color w:val="000000" w:themeColor="text1"/>
        </w:rPr>
        <w:t xml:space="preserve"> in the MMP</w:t>
      </w:r>
      <w:r w:rsidR="005B086B">
        <w:rPr>
          <w:rFonts w:cs="Arial"/>
          <w:color w:val="000000" w:themeColor="text1"/>
        </w:rPr>
        <w:t xml:space="preserve"> for the following </w:t>
      </w:r>
      <w:r w:rsidR="001E031F" w:rsidRPr="001E031F">
        <w:rPr>
          <w:rFonts w:cs="Arial"/>
          <w:color w:val="000000" w:themeColor="text1"/>
        </w:rPr>
        <w:t>reasons</w:t>
      </w:r>
      <w:r w:rsidR="007372D2">
        <w:rPr>
          <w:rFonts w:cs="Arial"/>
          <w:color w:val="000000" w:themeColor="text1"/>
        </w:rPr>
        <w:t xml:space="preserve">. </w:t>
      </w:r>
    </w:p>
    <w:p w14:paraId="035278E7" w14:textId="77777777" w:rsidR="00C9030A" w:rsidRDefault="007372D2" w:rsidP="00FA06C2">
      <w:pPr>
        <w:pStyle w:val="ListParagraph"/>
        <w:numPr>
          <w:ilvl w:val="0"/>
          <w:numId w:val="49"/>
        </w:numPr>
        <w:rPr>
          <w:rFonts w:cs="Arial"/>
          <w:color w:val="000000" w:themeColor="text1"/>
        </w:rPr>
      </w:pPr>
      <w:r w:rsidRPr="00FA06C2">
        <w:rPr>
          <w:rFonts w:cs="Arial"/>
          <w:color w:val="000000" w:themeColor="text1"/>
        </w:rPr>
        <w:t>First</w:t>
      </w:r>
      <w:r w:rsidR="005B086B">
        <w:rPr>
          <w:rFonts w:cs="Arial"/>
          <w:color w:val="000000" w:themeColor="text1"/>
        </w:rPr>
        <w:t>ly, there</w:t>
      </w:r>
      <w:r w:rsidRPr="00FA06C2">
        <w:rPr>
          <w:rFonts w:cs="Arial"/>
          <w:color w:val="000000" w:themeColor="text1"/>
        </w:rPr>
        <w:t xml:space="preserve"> are a range of indicators that focus on short</w:t>
      </w:r>
      <w:r w:rsidR="00301695" w:rsidRPr="00FA06C2">
        <w:rPr>
          <w:rFonts w:cs="Arial"/>
          <w:color w:val="000000" w:themeColor="text1"/>
        </w:rPr>
        <w:t>-</w:t>
      </w:r>
      <w:r w:rsidRPr="00FA06C2">
        <w:rPr>
          <w:rFonts w:cs="Arial"/>
          <w:color w:val="000000" w:themeColor="text1"/>
        </w:rPr>
        <w:t xml:space="preserve">term stress responses of organisms (Cooper </w:t>
      </w:r>
      <w:r w:rsidRPr="00FA06C2">
        <w:rPr>
          <w:rFonts w:cs="Arial"/>
          <w:i/>
          <w:color w:val="000000" w:themeColor="text1"/>
        </w:rPr>
        <w:t>et al</w:t>
      </w:r>
      <w:r w:rsidR="004F3901" w:rsidRPr="00FA06C2">
        <w:rPr>
          <w:rFonts w:cs="Arial"/>
          <w:color w:val="000000" w:themeColor="text1"/>
        </w:rPr>
        <w:t>. 2009</w:t>
      </w:r>
      <w:r w:rsidR="00301695" w:rsidRPr="00FA06C2">
        <w:rPr>
          <w:rFonts w:cs="Arial"/>
          <w:color w:val="000000" w:themeColor="text1"/>
        </w:rPr>
        <w:t xml:space="preserve">). </w:t>
      </w:r>
      <w:r w:rsidRPr="00FA06C2">
        <w:rPr>
          <w:rFonts w:cs="Arial"/>
          <w:color w:val="000000" w:themeColor="text1"/>
        </w:rPr>
        <w:t xml:space="preserve">We will not expand on these here, save to say, that such indicators are </w:t>
      </w:r>
      <w:r w:rsidR="00301695" w:rsidRPr="00FA06C2">
        <w:rPr>
          <w:rFonts w:cs="Arial"/>
          <w:color w:val="000000" w:themeColor="text1"/>
        </w:rPr>
        <w:t xml:space="preserve">more </w:t>
      </w:r>
      <w:r w:rsidRPr="00FA06C2">
        <w:rPr>
          <w:rFonts w:cs="Arial"/>
          <w:color w:val="000000" w:themeColor="text1"/>
        </w:rPr>
        <w:t xml:space="preserve">suited to impact assessment work related to specific activities, such as dredging </w:t>
      </w:r>
      <w:r w:rsidR="00301695" w:rsidRPr="00FA06C2">
        <w:rPr>
          <w:rFonts w:cs="Arial"/>
          <w:color w:val="000000" w:themeColor="text1"/>
        </w:rPr>
        <w:t>operation</w:t>
      </w:r>
      <w:r w:rsidR="005B086B">
        <w:rPr>
          <w:rFonts w:cs="Arial"/>
          <w:color w:val="000000" w:themeColor="text1"/>
        </w:rPr>
        <w:t>s</w:t>
      </w:r>
      <w:r w:rsidRPr="00FA06C2">
        <w:rPr>
          <w:rFonts w:cs="Arial"/>
          <w:color w:val="000000" w:themeColor="text1"/>
        </w:rPr>
        <w:t>. Here, the motivation would be to identify sub-lethal levels of stress that c</w:t>
      </w:r>
      <w:r w:rsidR="005B086B">
        <w:rPr>
          <w:rFonts w:cs="Arial"/>
          <w:color w:val="000000" w:themeColor="text1"/>
        </w:rPr>
        <w:t>ould</w:t>
      </w:r>
      <w:r w:rsidRPr="00FA06C2">
        <w:rPr>
          <w:rFonts w:cs="Arial"/>
          <w:color w:val="000000" w:themeColor="text1"/>
        </w:rPr>
        <w:t xml:space="preserve"> be mitigated through management of the activity prior to mortality occurring. For a monitoring program such as the MMP </w:t>
      </w:r>
      <w:r w:rsidR="004F3901" w:rsidRPr="00FA06C2">
        <w:rPr>
          <w:rFonts w:cs="Arial"/>
          <w:color w:val="000000" w:themeColor="text1"/>
        </w:rPr>
        <w:t xml:space="preserve">where the focus and sampling design is aligned with monitoring the </w:t>
      </w:r>
      <w:r w:rsidRPr="00FA06C2">
        <w:rPr>
          <w:rFonts w:cs="Arial"/>
          <w:color w:val="000000" w:themeColor="text1"/>
        </w:rPr>
        <w:t>long-term dynamics of communities over large spatial scales</w:t>
      </w:r>
      <w:r w:rsidR="005B086B">
        <w:rPr>
          <w:rFonts w:cs="Arial"/>
          <w:color w:val="000000" w:themeColor="text1"/>
        </w:rPr>
        <w:t xml:space="preserve"> and</w:t>
      </w:r>
      <w:r w:rsidRPr="00FA06C2">
        <w:rPr>
          <w:rFonts w:cs="Arial"/>
          <w:color w:val="000000" w:themeColor="text1"/>
        </w:rPr>
        <w:t xml:space="preserve"> </w:t>
      </w:r>
      <w:r w:rsidR="004F3901" w:rsidRPr="00FA06C2">
        <w:rPr>
          <w:rFonts w:cs="Arial"/>
          <w:color w:val="000000" w:themeColor="text1"/>
        </w:rPr>
        <w:t xml:space="preserve">in response to </w:t>
      </w:r>
      <w:r w:rsidRPr="00FA06C2">
        <w:rPr>
          <w:rFonts w:cs="Arial"/>
          <w:color w:val="000000" w:themeColor="text1"/>
        </w:rPr>
        <w:t>cumulative environmental stressors, it is unclear how the identification of sub-lethal stress could lead to any management action that could immediately alleviate that stress. Rather</w:t>
      </w:r>
      <w:r w:rsidR="005B086B">
        <w:rPr>
          <w:rFonts w:cs="Arial"/>
          <w:color w:val="000000" w:themeColor="text1"/>
        </w:rPr>
        <w:t>,</w:t>
      </w:r>
      <w:r w:rsidRPr="00FA06C2">
        <w:rPr>
          <w:rFonts w:cs="Arial"/>
          <w:color w:val="000000" w:themeColor="text1"/>
        </w:rPr>
        <w:t xml:space="preserve"> it is the culmination of such stressors that will </w:t>
      </w:r>
      <w:r w:rsidR="00C9030A">
        <w:rPr>
          <w:rFonts w:cs="Arial"/>
          <w:color w:val="000000" w:themeColor="text1"/>
        </w:rPr>
        <w:t>result in diffe</w:t>
      </w:r>
      <w:r w:rsidR="001252BF">
        <w:rPr>
          <w:rFonts w:cs="Arial"/>
          <w:color w:val="000000" w:themeColor="text1"/>
        </w:rPr>
        <w:t>re</w:t>
      </w:r>
      <w:r w:rsidR="00C9030A">
        <w:rPr>
          <w:rFonts w:cs="Arial"/>
          <w:color w:val="000000" w:themeColor="text1"/>
        </w:rPr>
        <w:t>nces in key demographic indicators such as growth rate of corals, recruitment success and also selection against sensitive species</w:t>
      </w:r>
      <w:r w:rsidR="005B086B">
        <w:rPr>
          <w:rFonts w:cs="Arial"/>
          <w:color w:val="000000" w:themeColor="text1"/>
        </w:rPr>
        <w:t>,</w:t>
      </w:r>
      <w:r w:rsidR="00C9030A">
        <w:rPr>
          <w:rFonts w:cs="Arial"/>
          <w:color w:val="000000" w:themeColor="text1"/>
        </w:rPr>
        <w:t xml:space="preserve"> a</w:t>
      </w:r>
      <w:r w:rsidRPr="00FA06C2">
        <w:rPr>
          <w:rFonts w:cs="Arial"/>
          <w:color w:val="000000" w:themeColor="text1"/>
        </w:rPr>
        <w:t xml:space="preserve">nd this type of information is available from the MMP sampling design. </w:t>
      </w:r>
    </w:p>
    <w:p w14:paraId="0DF4EDE5" w14:textId="77777777" w:rsidR="005B086B" w:rsidRPr="005B086B" w:rsidRDefault="007372D2" w:rsidP="009139A2">
      <w:pPr>
        <w:pStyle w:val="ListParagraph"/>
        <w:numPr>
          <w:ilvl w:val="0"/>
          <w:numId w:val="49"/>
        </w:numPr>
        <w:rPr>
          <w:rFonts w:cs="Arial"/>
        </w:rPr>
      </w:pPr>
      <w:r w:rsidRPr="005B086B">
        <w:rPr>
          <w:rFonts w:cs="Arial"/>
          <w:color w:val="000000" w:themeColor="text1"/>
        </w:rPr>
        <w:t>A second group of indicators are those that target changes within a single species in response to environmental conditions (e.g. the density of bio-eroding organisms in, or the rugosit</w:t>
      </w:r>
      <w:r w:rsidR="008D482D" w:rsidRPr="005B086B">
        <w:rPr>
          <w:rFonts w:cs="Arial"/>
          <w:color w:val="000000" w:themeColor="text1"/>
        </w:rPr>
        <w:t>y</w:t>
      </w:r>
      <w:r w:rsidRPr="005B086B">
        <w:rPr>
          <w:rFonts w:cs="Arial"/>
          <w:color w:val="000000" w:themeColor="text1"/>
        </w:rPr>
        <w:t xml:space="preserve"> of, massive </w:t>
      </w:r>
      <w:r w:rsidRPr="005B086B">
        <w:rPr>
          <w:rFonts w:cs="Arial"/>
          <w:i/>
          <w:color w:val="000000" w:themeColor="text1"/>
        </w:rPr>
        <w:t>Porites</w:t>
      </w:r>
      <w:r w:rsidRPr="005B086B">
        <w:rPr>
          <w:rFonts w:cs="Arial"/>
          <w:color w:val="000000" w:themeColor="text1"/>
        </w:rPr>
        <w:t xml:space="preserve"> colonies as described by Cooper </w:t>
      </w:r>
      <w:r w:rsidRPr="005B086B">
        <w:rPr>
          <w:rFonts w:cs="Arial"/>
          <w:i/>
          <w:color w:val="000000" w:themeColor="text1"/>
        </w:rPr>
        <w:t>et al.</w:t>
      </w:r>
      <w:r w:rsidRPr="005B086B">
        <w:rPr>
          <w:rFonts w:cs="Arial"/>
          <w:color w:val="000000" w:themeColor="text1"/>
        </w:rPr>
        <w:t xml:space="preserve"> </w:t>
      </w:r>
      <w:r w:rsidR="00301695" w:rsidRPr="005B086B">
        <w:rPr>
          <w:rFonts w:cs="Arial"/>
          <w:color w:val="000000" w:themeColor="text1"/>
        </w:rPr>
        <w:t>(</w:t>
      </w:r>
      <w:r w:rsidRPr="005B086B">
        <w:rPr>
          <w:rFonts w:cs="Arial"/>
          <w:color w:val="000000" w:themeColor="text1"/>
        </w:rPr>
        <w:t>2009). The focus on single species or groups of species</w:t>
      </w:r>
      <w:r w:rsidR="004F3901" w:rsidRPr="005B086B">
        <w:rPr>
          <w:rFonts w:cs="Arial"/>
          <w:color w:val="000000" w:themeColor="text1"/>
        </w:rPr>
        <w:t xml:space="preserve"> has two primary drawbacks for</w:t>
      </w:r>
      <w:r w:rsidRPr="005B086B">
        <w:rPr>
          <w:rFonts w:cs="Arial"/>
          <w:color w:val="000000" w:themeColor="text1"/>
        </w:rPr>
        <w:t xml:space="preserve"> long term programs: either</w:t>
      </w:r>
      <w:r w:rsidR="00583B90" w:rsidRPr="005B086B">
        <w:rPr>
          <w:rFonts w:cs="Arial"/>
          <w:color w:val="000000" w:themeColor="text1"/>
        </w:rPr>
        <w:t>,</w:t>
      </w:r>
      <w:r w:rsidRPr="005B086B">
        <w:rPr>
          <w:rFonts w:cs="Arial"/>
          <w:color w:val="000000" w:themeColor="text1"/>
        </w:rPr>
        <w:t xml:space="preserve"> the species may be rare or absent from some locations </w:t>
      </w:r>
      <w:r w:rsidR="00583B90" w:rsidRPr="005B086B">
        <w:rPr>
          <w:rFonts w:cs="Arial"/>
          <w:color w:val="000000" w:themeColor="text1"/>
        </w:rPr>
        <w:t xml:space="preserve">and so </w:t>
      </w:r>
      <w:r w:rsidRPr="005B086B">
        <w:rPr>
          <w:rFonts w:cs="Arial"/>
          <w:color w:val="000000" w:themeColor="text1"/>
        </w:rPr>
        <w:t>time consuming or impossible to sample, or, the species may become locally extinct as a response to a</w:t>
      </w:r>
      <w:r w:rsidR="00301695" w:rsidRPr="005B086B">
        <w:rPr>
          <w:rFonts w:cs="Arial"/>
          <w:color w:val="000000" w:themeColor="text1"/>
        </w:rPr>
        <w:t xml:space="preserve"> disturbance event. </w:t>
      </w:r>
      <w:r w:rsidRPr="005B086B">
        <w:rPr>
          <w:rFonts w:cs="Arial"/>
          <w:color w:val="000000" w:themeColor="text1"/>
        </w:rPr>
        <w:t xml:space="preserve">In both cases the missing scores for the indicator </w:t>
      </w:r>
      <w:r w:rsidR="005B086B">
        <w:rPr>
          <w:rFonts w:cs="Arial"/>
          <w:color w:val="000000" w:themeColor="text1"/>
        </w:rPr>
        <w:t>has the potential to</w:t>
      </w:r>
      <w:r w:rsidRPr="005B086B">
        <w:rPr>
          <w:rFonts w:cs="Arial"/>
          <w:color w:val="000000" w:themeColor="text1"/>
        </w:rPr>
        <w:t xml:space="preserve"> bias</w:t>
      </w:r>
      <w:r w:rsidR="00301695" w:rsidRPr="005B086B">
        <w:rPr>
          <w:rFonts w:cs="Arial"/>
          <w:color w:val="000000" w:themeColor="text1"/>
        </w:rPr>
        <w:t xml:space="preserve"> </w:t>
      </w:r>
      <w:r w:rsidRPr="005B086B">
        <w:rPr>
          <w:rFonts w:cs="Arial"/>
          <w:color w:val="000000" w:themeColor="text1"/>
        </w:rPr>
        <w:t xml:space="preserve">indicators across reefs or through time. </w:t>
      </w:r>
    </w:p>
    <w:p w14:paraId="0857119C" w14:textId="77777777" w:rsidR="00B76A73" w:rsidRPr="005B086B" w:rsidRDefault="007372D2" w:rsidP="009139A2">
      <w:pPr>
        <w:pStyle w:val="ListParagraph"/>
        <w:numPr>
          <w:ilvl w:val="0"/>
          <w:numId w:val="49"/>
        </w:numPr>
        <w:rPr>
          <w:rFonts w:cs="Arial"/>
        </w:rPr>
      </w:pPr>
      <w:r w:rsidRPr="00B76A73">
        <w:t>Finally</w:t>
      </w:r>
      <w:r w:rsidR="00583B90" w:rsidRPr="00B76A73">
        <w:t>,</w:t>
      </w:r>
      <w:r w:rsidRPr="00B76A73">
        <w:t xml:space="preserve"> there are abiotic indicators </w:t>
      </w:r>
      <w:r w:rsidR="0044231E" w:rsidRPr="00B76A73">
        <w:t xml:space="preserve">that describe the environmental conditions of a location. For the monitoring of coral communities environmental conditions should be viewed as pressures rather than indicators. </w:t>
      </w:r>
      <w:r w:rsidR="004051E6" w:rsidRPr="00B76A73">
        <w:t xml:space="preserve">McClanahan et al. 2012 included </w:t>
      </w:r>
      <w:r w:rsidR="00606803" w:rsidRPr="00B76A73">
        <w:t xml:space="preserve">the environmental variables; </w:t>
      </w:r>
      <w:r w:rsidR="004051E6" w:rsidRPr="00B76A73">
        <w:t>temperature variability</w:t>
      </w:r>
      <w:r w:rsidR="00606803" w:rsidRPr="00B76A73">
        <w:t xml:space="preserve">, sedimentation, pollution along with direct human impacts of fishing pressure and physical damage as indicators of resilience to thermal bleaching. </w:t>
      </w:r>
      <w:r w:rsidRPr="00B76A73">
        <w:t xml:space="preserve">Such </w:t>
      </w:r>
      <w:r w:rsidR="00607DBF" w:rsidRPr="00B76A73">
        <w:t xml:space="preserve">location-specific </w:t>
      </w:r>
      <w:r w:rsidRPr="00B76A73">
        <w:t xml:space="preserve">physical properties </w:t>
      </w:r>
      <w:r w:rsidR="00607DBF" w:rsidRPr="00B76A73">
        <w:t xml:space="preserve">are relevant for matters </w:t>
      </w:r>
      <w:r w:rsidRPr="00B76A73">
        <w:t xml:space="preserve">such as </w:t>
      </w:r>
      <w:r w:rsidR="00607DBF" w:rsidRPr="00B76A73">
        <w:t xml:space="preserve">decisions on the </w:t>
      </w:r>
      <w:r w:rsidRPr="00B76A73">
        <w:t>location of protected areas (Maynard et al.</w:t>
      </w:r>
      <w:r w:rsidR="00607DBF" w:rsidRPr="00B76A73">
        <w:t xml:space="preserve"> 2015). </w:t>
      </w:r>
      <w:r w:rsidR="00606803" w:rsidRPr="00B76A73">
        <w:t>For the monitoring of coral community resilience however, such abiotic variables are more appropriately viewed as pressures</w:t>
      </w:r>
      <w:r w:rsidR="00887501" w:rsidRPr="00B76A73">
        <w:t>. When such pressures do not vary through time, rather describe the environmental setting of a location, such as depth of water, aspect in relation to prevailing winds and waves or location along naturally occurring gradients of turbidity it is important to consider these variables in determining appropriate thresholds for biological indicators</w:t>
      </w:r>
      <w:r w:rsidR="000E691C" w:rsidRPr="00B76A73">
        <w:t xml:space="preserve"> that may vary in </w:t>
      </w:r>
      <w:r w:rsidR="000E691C" w:rsidRPr="00B76A73">
        <w:lastRenderedPageBreak/>
        <w:t xml:space="preserve">response to these underlying conditions. When pressures are temporally variable monitoring exposure can facilitate the interpretation of likely causes for observed change in biological indicators – this includes both pressures associated with human activities, such as </w:t>
      </w:r>
      <w:r w:rsidR="00FE1A50" w:rsidRPr="00B76A73">
        <w:t>nutrient and turbidity levels as well as natural pressures such as exposure to cyclones.</w:t>
      </w:r>
      <w:r w:rsidR="000E691C" w:rsidRPr="005B086B">
        <w:rPr>
          <w:rFonts w:cs="Arial"/>
        </w:rPr>
        <w:t xml:space="preserve"> </w:t>
      </w:r>
      <w:bookmarkStart w:id="234" w:name="_Toc437424415"/>
      <w:bookmarkStart w:id="235" w:name="_Toc437424539"/>
      <w:bookmarkStart w:id="236" w:name="_Toc437432470"/>
      <w:bookmarkStart w:id="237" w:name="_Toc437432543"/>
    </w:p>
    <w:p w14:paraId="0F4B469F" w14:textId="77777777" w:rsidR="007372D2" w:rsidRPr="00FE1A50" w:rsidRDefault="00F352CD" w:rsidP="009139A2">
      <w:pPr>
        <w:pStyle w:val="Heading3"/>
        <w:rPr>
          <w:color w:val="365F91" w:themeColor="accent1" w:themeShade="BF"/>
        </w:rPr>
      </w:pPr>
      <w:r>
        <w:t>6</w:t>
      </w:r>
      <w:r w:rsidR="00FF1C00">
        <w:t xml:space="preserve">.1.2 </w:t>
      </w:r>
      <w:r w:rsidR="007372D2">
        <w:t>Reason for revision</w:t>
      </w:r>
      <w:r w:rsidR="00FF1C00">
        <w:t xml:space="preserve"> of report card metrics</w:t>
      </w:r>
      <w:bookmarkEnd w:id="234"/>
      <w:bookmarkEnd w:id="235"/>
      <w:bookmarkEnd w:id="236"/>
      <w:bookmarkEnd w:id="237"/>
    </w:p>
    <w:p w14:paraId="55E0F709" w14:textId="77777777" w:rsidR="007F72C5" w:rsidRDefault="007372D2" w:rsidP="003045D3">
      <w:pPr>
        <w:rPr>
          <w:rFonts w:cs="Arial"/>
        </w:rPr>
      </w:pPr>
      <w:r>
        <w:rPr>
          <w:rFonts w:cs="Arial"/>
        </w:rPr>
        <w:t xml:space="preserve">The initial selection of indicators to report coral community condition on reefs monitored under </w:t>
      </w:r>
      <w:r w:rsidR="00CD36C2">
        <w:rPr>
          <w:rFonts w:cs="Arial"/>
        </w:rPr>
        <w:t>the MMP</w:t>
      </w:r>
      <w:r>
        <w:rPr>
          <w:rFonts w:cs="Arial"/>
        </w:rPr>
        <w:t xml:space="preserve"> </w:t>
      </w:r>
      <w:r>
        <w:t>were formulated during a workshop</w:t>
      </w:r>
      <w:r w:rsidR="00CD36C2">
        <w:t xml:space="preserve"> </w:t>
      </w:r>
      <w:r w:rsidR="00CD36C2" w:rsidRPr="00CD36C2">
        <w:t>in 200</w:t>
      </w:r>
      <w:r w:rsidR="00501813">
        <w:t>7</w:t>
      </w:r>
      <w:r>
        <w:t xml:space="preserve"> run by the GBRMPA and subsequent post workshop deliberations between workshop participants and GBRMPA staff. </w:t>
      </w:r>
      <w:r w:rsidR="005B086B">
        <w:rPr>
          <w:rFonts w:cs="Arial"/>
        </w:rPr>
        <w:t>E</w:t>
      </w:r>
      <w:r w:rsidR="007F72C5">
        <w:rPr>
          <w:rFonts w:cs="Arial"/>
        </w:rPr>
        <w:t xml:space="preserve">ach of the indicators could be considered in terms of current state, or potential for recovery, of a coral dominated community. </w:t>
      </w:r>
      <w:r w:rsidR="00C27D9A">
        <w:rPr>
          <w:rFonts w:cs="Arial"/>
        </w:rPr>
        <w:t xml:space="preserve">Indicators were </w:t>
      </w:r>
      <w:r w:rsidR="007F72C5">
        <w:rPr>
          <w:rFonts w:cs="Arial"/>
        </w:rPr>
        <w:t xml:space="preserve">further developed and linked to key water quality parameters during a series of workshops in which expert opinion was used to develop the conceptual model for corals presented in Kuhnert </w:t>
      </w:r>
      <w:r w:rsidR="007F72C5">
        <w:rPr>
          <w:rFonts w:cs="Arial"/>
          <w:i/>
        </w:rPr>
        <w:t>et al.</w:t>
      </w:r>
      <w:r w:rsidR="007F72C5">
        <w:rPr>
          <w:rFonts w:cs="Arial"/>
        </w:rPr>
        <w:t xml:space="preserve"> (2014) that largely reiterates that of Fabricius (2011). In combination</w:t>
      </w:r>
      <w:r w:rsidR="00CD36C2">
        <w:rPr>
          <w:rFonts w:cs="Arial"/>
        </w:rPr>
        <w:t>,</w:t>
      </w:r>
      <w:r w:rsidR="007F72C5">
        <w:rPr>
          <w:rFonts w:cs="Arial"/>
        </w:rPr>
        <w:t xml:space="preserve"> these more formal expressions of the conceptual model for coral community dynamics under the influence of water quality pressures served to reinforce the appropriateness of the selected indicators.</w:t>
      </w:r>
    </w:p>
    <w:p w14:paraId="3271F3BB" w14:textId="77777777" w:rsidR="007372D2" w:rsidRDefault="007372D2" w:rsidP="003045D3">
      <w:r>
        <w:rPr>
          <w:rFonts w:cs="Arial"/>
        </w:rPr>
        <w:t xml:space="preserve">The indicators selected were: the combined cover of hard and soft corals, the cover of macroalgae, the density of juvenile hard corals, the rate of change of coral cover and the settlement of hard corals to terracotta tiles. </w:t>
      </w:r>
      <w:r>
        <w:t xml:space="preserve">Thompson </w:t>
      </w:r>
      <w:r>
        <w:rPr>
          <w:i/>
        </w:rPr>
        <w:t>et al.</w:t>
      </w:r>
      <w:r w:rsidR="004C6289">
        <w:t xml:space="preserve"> (2010</w:t>
      </w:r>
      <w:r w:rsidR="007F7841">
        <w:t>b</w:t>
      </w:r>
      <w:r>
        <w:t xml:space="preserve">) presented a baseline assessment of coral community condition based on data collected between 2005 and 2009, which was included in the First Report Card of the Paddock to Reef Integrated Monitoring, Modelling and Reporting Program (Anon. 2011). </w:t>
      </w:r>
      <w:r w:rsidR="001E031F">
        <w:t>Thompson et al. 2010b</w:t>
      </w:r>
    </w:p>
    <w:p w14:paraId="58A01025" w14:textId="77777777" w:rsidR="00583B90" w:rsidRDefault="00583B90" w:rsidP="003045D3">
      <w:pPr>
        <w:rPr>
          <w:rFonts w:cs="Arial"/>
        </w:rPr>
      </w:pPr>
      <w:r>
        <w:t xml:space="preserve">Subsequent to </w:t>
      </w:r>
      <w:r w:rsidR="001E031F">
        <w:t xml:space="preserve">Thompson </w:t>
      </w:r>
      <w:r w:rsidR="001E031F" w:rsidRPr="001E031F">
        <w:rPr>
          <w:i/>
        </w:rPr>
        <w:t>et al.</w:t>
      </w:r>
      <w:r w:rsidR="001E031F">
        <w:t xml:space="preserve"> 2010b</w:t>
      </w:r>
      <w:r>
        <w:t>, the estimation of coral community condition was revised with the view to enhancing the sensitivity of the assessment to change. In short, the period over which the metric based on rates of increase in cover of hard corals was restricted to three years</w:t>
      </w:r>
      <w:r w:rsidR="00CD36C2">
        <w:t>,</w:t>
      </w:r>
      <w:r>
        <w:t xml:space="preserve"> and coral settlement was removed as a metric due to high inter-annual variability </w:t>
      </w:r>
      <w:r w:rsidR="00CD36C2">
        <w:t xml:space="preserve">without clearly attributable </w:t>
      </w:r>
      <w:r>
        <w:t xml:space="preserve">causes. The 2010-2014 </w:t>
      </w:r>
      <w:r w:rsidR="007F72C5">
        <w:t>coral scores for the reef report card used</w:t>
      </w:r>
      <w:r>
        <w:t xml:space="preserve"> this revised assessment protocol (most recently Thompson </w:t>
      </w:r>
      <w:r>
        <w:rPr>
          <w:i/>
        </w:rPr>
        <w:t>et al.</w:t>
      </w:r>
      <w:r w:rsidR="007F72C5">
        <w:t xml:space="preserve"> 2014</w:t>
      </w:r>
      <w:r w:rsidR="007F7841">
        <w:t>b</w:t>
      </w:r>
      <w:r w:rsidR="007F72C5">
        <w:t>)</w:t>
      </w:r>
      <w:r>
        <w:t>.</w:t>
      </w:r>
    </w:p>
    <w:p w14:paraId="0F9832A9" w14:textId="77777777" w:rsidR="007372D2" w:rsidRDefault="007372D2" w:rsidP="003045D3">
      <w:pPr>
        <w:rPr>
          <w:rFonts w:cs="Arial"/>
        </w:rPr>
      </w:pPr>
      <w:r>
        <w:rPr>
          <w:rFonts w:cs="Arial"/>
        </w:rPr>
        <w:t>To date</w:t>
      </w:r>
      <w:r w:rsidR="00CD36C2">
        <w:rPr>
          <w:rFonts w:cs="Arial"/>
        </w:rPr>
        <w:t>,</w:t>
      </w:r>
      <w:r>
        <w:rPr>
          <w:rFonts w:cs="Arial"/>
        </w:rPr>
        <w:t xml:space="preserve"> the thresholds applied </w:t>
      </w:r>
      <w:r w:rsidR="007F72C5">
        <w:rPr>
          <w:rFonts w:cs="Arial"/>
        </w:rPr>
        <w:t xml:space="preserve">to each indicator metric </w:t>
      </w:r>
      <w:r>
        <w:rPr>
          <w:rFonts w:cs="Arial"/>
        </w:rPr>
        <w:t>have been consistent among reefs</w:t>
      </w:r>
      <w:r w:rsidR="007F72C5">
        <w:rPr>
          <w:rFonts w:cs="Arial"/>
        </w:rPr>
        <w:t>,</w:t>
      </w:r>
      <w:r>
        <w:rPr>
          <w:rFonts w:cs="Arial"/>
        </w:rPr>
        <w:t xml:space="preserve"> though did vary between 2m and 5m depths </w:t>
      </w:r>
      <w:r w:rsidR="007F72C5">
        <w:rPr>
          <w:rFonts w:cs="Arial"/>
        </w:rPr>
        <w:t xml:space="preserve">for some indicators, </w:t>
      </w:r>
      <w:r>
        <w:rPr>
          <w:rFonts w:cs="Arial"/>
        </w:rPr>
        <w:t>and were based on the distribution of values observed in 2005 as a baseline condit</w:t>
      </w:r>
      <w:r w:rsidR="00CD36C2">
        <w:rPr>
          <w:rFonts w:cs="Arial"/>
        </w:rPr>
        <w:t>ion (</w:t>
      </w:r>
      <w:r w:rsidR="003C3A1E">
        <w:rPr>
          <w:rFonts w:cs="Arial"/>
        </w:rPr>
        <w:fldChar w:fldCharType="begin"/>
      </w:r>
      <w:r w:rsidR="003C3A1E">
        <w:rPr>
          <w:rFonts w:cs="Arial"/>
        </w:rPr>
        <w:instrText xml:space="preserve"> REF _Ref438121998 \h </w:instrText>
      </w:r>
      <w:r w:rsidR="003C3A1E">
        <w:rPr>
          <w:rFonts w:cs="Arial"/>
        </w:rPr>
      </w:r>
      <w:r w:rsidR="003C3A1E">
        <w:rPr>
          <w:rFonts w:cs="Arial"/>
        </w:rPr>
        <w:fldChar w:fldCharType="separate"/>
      </w:r>
      <w:r w:rsidR="00B61881">
        <w:t xml:space="preserve">Table </w:t>
      </w:r>
      <w:r w:rsidR="00B61881">
        <w:rPr>
          <w:noProof/>
        </w:rPr>
        <w:t>7</w:t>
      </w:r>
      <w:r w:rsidR="003C3A1E">
        <w:rPr>
          <w:rFonts w:cs="Arial"/>
        </w:rPr>
        <w:fldChar w:fldCharType="end"/>
      </w:r>
      <w:r w:rsidR="00CD36C2">
        <w:rPr>
          <w:rFonts w:cs="Arial"/>
        </w:rPr>
        <w:t xml:space="preserve">). </w:t>
      </w:r>
      <w:r>
        <w:rPr>
          <w:rFonts w:cs="Arial"/>
        </w:rPr>
        <w:t xml:space="preserve">The assessments of condition </w:t>
      </w:r>
      <w:r w:rsidR="00CD36C2">
        <w:rPr>
          <w:rFonts w:cs="Arial"/>
        </w:rPr>
        <w:t>applying</w:t>
      </w:r>
      <w:r>
        <w:rPr>
          <w:rFonts w:cs="Arial"/>
        </w:rPr>
        <w:t xml:space="preserve"> these thresholds were deliberately coarse and </w:t>
      </w:r>
      <w:r w:rsidR="00CD36C2">
        <w:rPr>
          <w:rFonts w:cs="Arial"/>
        </w:rPr>
        <w:t xml:space="preserve">were </w:t>
      </w:r>
      <w:r>
        <w:rPr>
          <w:rFonts w:cs="Arial"/>
        </w:rPr>
        <w:t>categorised on a three point scale:</w:t>
      </w:r>
    </w:p>
    <w:p w14:paraId="5CDC415A" w14:textId="77777777" w:rsidR="007372D2" w:rsidRDefault="00CD36C2" w:rsidP="003045D3">
      <w:pPr>
        <w:pStyle w:val="ListParagraph"/>
        <w:numPr>
          <w:ilvl w:val="0"/>
          <w:numId w:val="19"/>
        </w:numPr>
        <w:rPr>
          <w:rFonts w:cstheme="minorBidi"/>
        </w:rPr>
      </w:pPr>
      <w:r>
        <w:rPr>
          <w:rFonts w:cs="Arial"/>
        </w:rPr>
        <w:t>P</w:t>
      </w:r>
      <w:r w:rsidR="007372D2">
        <w:rPr>
          <w:rFonts w:cs="Arial"/>
        </w:rPr>
        <w:t>ositive</w:t>
      </w:r>
      <w:r w:rsidR="009E3170">
        <w:rPr>
          <w:rFonts w:cs="Arial"/>
        </w:rPr>
        <w:t xml:space="preserve"> (numerical score of 1)</w:t>
      </w:r>
      <w:r>
        <w:rPr>
          <w:rFonts w:cs="Arial"/>
        </w:rPr>
        <w:t>,</w:t>
      </w:r>
      <w:r w:rsidR="007372D2">
        <w:rPr>
          <w:rFonts w:cs="Arial"/>
        </w:rPr>
        <w:t xml:space="preserve"> when the value of the indicator was above the threshold</w:t>
      </w:r>
      <w:r w:rsidR="009E3170">
        <w:rPr>
          <w:rFonts w:cs="Arial"/>
        </w:rPr>
        <w:t>;</w:t>
      </w:r>
      <w:r w:rsidR="007372D2">
        <w:rPr>
          <w:rFonts w:cs="Arial"/>
        </w:rPr>
        <w:t xml:space="preserve"> </w:t>
      </w:r>
    </w:p>
    <w:p w14:paraId="08C4103C" w14:textId="77777777" w:rsidR="007372D2" w:rsidRDefault="00CD36C2" w:rsidP="003045D3">
      <w:pPr>
        <w:pStyle w:val="ListParagraph"/>
        <w:numPr>
          <w:ilvl w:val="0"/>
          <w:numId w:val="19"/>
        </w:numPr>
      </w:pPr>
      <w:r>
        <w:rPr>
          <w:rFonts w:cs="Arial"/>
        </w:rPr>
        <w:t>N</w:t>
      </w:r>
      <w:r w:rsidR="007372D2">
        <w:rPr>
          <w:rFonts w:cs="Arial"/>
        </w:rPr>
        <w:t>eutral</w:t>
      </w:r>
      <w:r w:rsidR="009E3170">
        <w:rPr>
          <w:rFonts w:cs="Arial"/>
        </w:rPr>
        <w:t xml:space="preserve"> (score of 0.5)</w:t>
      </w:r>
      <w:r>
        <w:rPr>
          <w:rFonts w:cs="Arial"/>
        </w:rPr>
        <w:t>,</w:t>
      </w:r>
      <w:r w:rsidR="007372D2">
        <w:rPr>
          <w:rFonts w:cs="Arial"/>
        </w:rPr>
        <w:t xml:space="preserve"> when the value of the indicator fell within the range of the threshold, or </w:t>
      </w:r>
    </w:p>
    <w:p w14:paraId="64AF8EE8" w14:textId="77777777" w:rsidR="007372D2" w:rsidRDefault="009E3170" w:rsidP="003045D3">
      <w:pPr>
        <w:pStyle w:val="ListParagraph"/>
        <w:numPr>
          <w:ilvl w:val="0"/>
          <w:numId w:val="19"/>
        </w:numPr>
      </w:pPr>
      <w:r>
        <w:rPr>
          <w:rFonts w:cs="Arial"/>
        </w:rPr>
        <w:t>N</w:t>
      </w:r>
      <w:r w:rsidR="007372D2">
        <w:rPr>
          <w:rFonts w:cs="Arial"/>
        </w:rPr>
        <w:t>egative</w:t>
      </w:r>
      <w:r>
        <w:rPr>
          <w:rFonts w:cs="Arial"/>
        </w:rPr>
        <w:t xml:space="preserve"> (score of 0),</w:t>
      </w:r>
      <w:r w:rsidR="007372D2">
        <w:rPr>
          <w:rFonts w:cs="Arial"/>
        </w:rPr>
        <w:t xml:space="preserve"> when the value of the indicator was below the threshold</w:t>
      </w:r>
      <w:r w:rsidR="001E031F">
        <w:rPr>
          <w:rFonts w:cs="Arial"/>
        </w:rPr>
        <w:t>.</w:t>
      </w:r>
    </w:p>
    <w:p w14:paraId="3E0A5491" w14:textId="77777777" w:rsidR="007372D2" w:rsidRDefault="007372D2" w:rsidP="003045D3">
      <w:r>
        <w:rPr>
          <w:rFonts w:cs="Arial"/>
        </w:rPr>
        <w:t xml:space="preserve">The aggregation of these individual scores at the level of reef and depth was simply a matter of averaging the scores to the spatial level of interest. </w:t>
      </w:r>
      <w:r>
        <w:t>Lastly</w:t>
      </w:r>
      <w:r w:rsidR="009E3170">
        <w:t>,</w:t>
      </w:r>
      <w:r>
        <w:t xml:space="preserve"> these average scores were converted to qualitative assessments by converting to a five point rating and colour scheme whereby scores of: </w:t>
      </w:r>
    </w:p>
    <w:p w14:paraId="2D5B02F0" w14:textId="77777777" w:rsidR="007372D2" w:rsidRDefault="007372D2" w:rsidP="009E3170">
      <w:pPr>
        <w:pStyle w:val="ListParagraph"/>
        <w:numPr>
          <w:ilvl w:val="0"/>
          <w:numId w:val="36"/>
        </w:numPr>
      </w:pPr>
      <w:r>
        <w:t>0 to 0.2 were rated as ‘very poor’ and coloured red</w:t>
      </w:r>
    </w:p>
    <w:p w14:paraId="178C76E0" w14:textId="77777777" w:rsidR="007372D2" w:rsidRDefault="007372D2" w:rsidP="009E3170">
      <w:pPr>
        <w:pStyle w:val="ListParagraph"/>
        <w:numPr>
          <w:ilvl w:val="0"/>
          <w:numId w:val="36"/>
        </w:numPr>
      </w:pPr>
      <w:r>
        <w:t>&gt;0.2 to 0.4 were rated as ‘poor’ and coloured orange</w:t>
      </w:r>
    </w:p>
    <w:p w14:paraId="02B92002" w14:textId="77777777" w:rsidR="007372D2" w:rsidRDefault="007372D2" w:rsidP="009E3170">
      <w:pPr>
        <w:pStyle w:val="ListParagraph"/>
        <w:numPr>
          <w:ilvl w:val="0"/>
          <w:numId w:val="36"/>
        </w:numPr>
      </w:pPr>
      <w:r>
        <w:t>&gt;0.4 to 0.6 were rated as ‘moderate’ and coloured yellow</w:t>
      </w:r>
    </w:p>
    <w:p w14:paraId="130D9BC9" w14:textId="77777777" w:rsidR="007372D2" w:rsidRDefault="007372D2" w:rsidP="009E3170">
      <w:pPr>
        <w:pStyle w:val="ListParagraph"/>
        <w:numPr>
          <w:ilvl w:val="0"/>
          <w:numId w:val="36"/>
        </w:numPr>
      </w:pPr>
      <w:r>
        <w:t>&gt;0.6 to 0.8 were rated as ‘good’, and coloured light green</w:t>
      </w:r>
    </w:p>
    <w:p w14:paraId="0C1E2433" w14:textId="77777777" w:rsidR="007372D2" w:rsidRDefault="007372D2" w:rsidP="009E3170">
      <w:pPr>
        <w:pStyle w:val="ListParagraph"/>
        <w:numPr>
          <w:ilvl w:val="0"/>
          <w:numId w:val="36"/>
        </w:numPr>
      </w:pPr>
      <w:r>
        <w:t>&gt;0.8 were rated as ‘very good’, and coloured dark green.</w:t>
      </w:r>
    </w:p>
    <w:p w14:paraId="7B5F6927" w14:textId="77777777" w:rsidR="007372D2" w:rsidRDefault="007372D2" w:rsidP="003045D3">
      <w:pPr>
        <w:rPr>
          <w:rFonts w:cs="Arial"/>
        </w:rPr>
      </w:pPr>
      <w:r>
        <w:rPr>
          <w:rFonts w:cs="Arial"/>
        </w:rPr>
        <w:t>This scoring procedure provided a consistent framework within which to compare the condition of communities between locations and through time. It was</w:t>
      </w:r>
      <w:r w:rsidR="009E3170">
        <w:rPr>
          <w:rFonts w:cs="Arial"/>
        </w:rPr>
        <w:t>,</w:t>
      </w:r>
      <w:r>
        <w:rPr>
          <w:rFonts w:cs="Arial"/>
        </w:rPr>
        <w:t xml:space="preserve"> however</w:t>
      </w:r>
      <w:r w:rsidR="009E3170">
        <w:rPr>
          <w:rFonts w:cs="Arial"/>
        </w:rPr>
        <w:t>,</w:t>
      </w:r>
      <w:r>
        <w:rPr>
          <w:rFonts w:cs="Arial"/>
        </w:rPr>
        <w:t xml:space="preserve"> insensitive to the natural variation in indicators that may occur due to underl</w:t>
      </w:r>
      <w:r w:rsidR="009E3170">
        <w:rPr>
          <w:rFonts w:cs="Arial"/>
        </w:rPr>
        <w:t>y</w:t>
      </w:r>
      <w:r>
        <w:rPr>
          <w:rFonts w:cs="Arial"/>
        </w:rPr>
        <w:t>ing differences in the environmental conditions influencing a particular location</w:t>
      </w:r>
      <w:r w:rsidR="009E3170">
        <w:rPr>
          <w:rFonts w:cs="Arial"/>
        </w:rPr>
        <w:t>,</w:t>
      </w:r>
      <w:r>
        <w:rPr>
          <w:rFonts w:cs="Arial"/>
        </w:rPr>
        <w:t xml:space="preserve"> but also the magnitude of deviation from the threshold condition. </w:t>
      </w:r>
    </w:p>
    <w:p w14:paraId="1651F8F4" w14:textId="77777777" w:rsidR="007372D2" w:rsidRDefault="007372D2" w:rsidP="003045D3">
      <w:pPr>
        <w:rPr>
          <w:rFonts w:cstheme="minorBidi"/>
        </w:rPr>
      </w:pPr>
      <w:r>
        <w:t>Armed with: the accumulated time</w:t>
      </w:r>
      <w:r w:rsidR="007F72C5">
        <w:t>-</w:t>
      </w:r>
      <w:r>
        <w:t xml:space="preserve">series of observations collected by the MMP since 2005, and an independent review of the program that identified short comings in the initial approach (Kuhnert </w:t>
      </w:r>
      <w:r>
        <w:rPr>
          <w:i/>
        </w:rPr>
        <w:t>et al.</w:t>
      </w:r>
      <w:r>
        <w:t xml:space="preserve"> 2014), along with the inten</w:t>
      </w:r>
      <w:r w:rsidR="007F72C5">
        <w:t>tion to include additional time-</w:t>
      </w:r>
      <w:r>
        <w:t xml:space="preserve">series of coral communities monitored </w:t>
      </w:r>
      <w:r>
        <w:lastRenderedPageBreak/>
        <w:t>by the AIMS long-term-monitoring program (LTMP)</w:t>
      </w:r>
      <w:r w:rsidR="007F72C5">
        <w:t xml:space="preserve"> to improve the precision of estimates of coral community condition (</w:t>
      </w:r>
      <w:r w:rsidR="0020249C">
        <w:t xml:space="preserve">Walshe </w:t>
      </w:r>
      <w:r w:rsidR="0020249C" w:rsidRPr="0020249C">
        <w:rPr>
          <w:i/>
        </w:rPr>
        <w:t>et al.</w:t>
      </w:r>
      <w:r w:rsidR="0020249C">
        <w:t xml:space="preserve"> 2014)</w:t>
      </w:r>
      <w:r w:rsidR="009E3170">
        <w:t xml:space="preserve">, </w:t>
      </w:r>
      <w:r>
        <w:t xml:space="preserve">it is timely that </w:t>
      </w:r>
      <w:r w:rsidR="009E3170">
        <w:t xml:space="preserve">the </w:t>
      </w:r>
      <w:r>
        <w:t xml:space="preserve">calculation of </w:t>
      </w:r>
      <w:r w:rsidR="009E3170">
        <w:t xml:space="preserve">the </w:t>
      </w:r>
      <w:r>
        <w:t>coral index component of the Report Card be revised.</w:t>
      </w:r>
    </w:p>
    <w:p w14:paraId="61C85ED0" w14:textId="77777777" w:rsidR="007372D2" w:rsidRDefault="001E031F" w:rsidP="003045D3">
      <w:r w:rsidRPr="003652F8">
        <w:rPr>
          <w:rFonts w:cs="Arial"/>
        </w:rPr>
        <w:t xml:space="preserve">The purpose of this revision is to ensure that the methods used to calculate Report card scores are transparently documented </w:t>
      </w:r>
      <w:r w:rsidR="003652F8" w:rsidRPr="003652F8">
        <w:rPr>
          <w:rFonts w:cs="Arial"/>
        </w:rPr>
        <w:t>but also that the scores are based on the most relevant indicators and thresholds for the assessment of coral community condition. This revision specifically:</w:t>
      </w:r>
      <w:r w:rsidR="007372D2">
        <w:t xml:space="preserve"> </w:t>
      </w:r>
    </w:p>
    <w:p w14:paraId="5EEA37EA" w14:textId="77777777" w:rsidR="007372D2" w:rsidRDefault="007372D2" w:rsidP="003045D3">
      <w:pPr>
        <w:pStyle w:val="ListParagraph"/>
        <w:numPr>
          <w:ilvl w:val="0"/>
          <w:numId w:val="21"/>
        </w:numPr>
      </w:pPr>
      <w:r>
        <w:t>Consider</w:t>
      </w:r>
      <w:r w:rsidR="003652F8">
        <w:t>s</w:t>
      </w:r>
      <w:r>
        <w:t xml:space="preserve"> additional indicators that could enhance the assessment of coral community condition</w:t>
      </w:r>
      <w:r w:rsidR="00FE1A50">
        <w:t xml:space="preserve"> and describes a new indicator based on change in coral community composition</w:t>
      </w:r>
      <w:r w:rsidR="00EF74BD">
        <w:t>;</w:t>
      </w:r>
    </w:p>
    <w:p w14:paraId="5A6FEA7E" w14:textId="77777777" w:rsidR="007372D2" w:rsidRDefault="007372D2" w:rsidP="003045D3">
      <w:pPr>
        <w:pStyle w:val="ListParagraph"/>
        <w:numPr>
          <w:ilvl w:val="0"/>
          <w:numId w:val="21"/>
        </w:numPr>
      </w:pPr>
      <w:r>
        <w:t>Set</w:t>
      </w:r>
      <w:r w:rsidR="003652F8">
        <w:t>s</w:t>
      </w:r>
      <w:r>
        <w:t xml:space="preserve"> thresholds that take into account variability in communities along environmental gradients</w:t>
      </w:r>
      <w:r w:rsidR="00EF74BD">
        <w:t>;</w:t>
      </w:r>
    </w:p>
    <w:p w14:paraId="1283BF7D" w14:textId="77777777" w:rsidR="007372D2" w:rsidRDefault="007372D2" w:rsidP="003045D3">
      <w:pPr>
        <w:pStyle w:val="ListParagraph"/>
        <w:numPr>
          <w:ilvl w:val="0"/>
          <w:numId w:val="21"/>
        </w:numPr>
      </w:pPr>
      <w:r>
        <w:t>Incorporate</w:t>
      </w:r>
      <w:r w:rsidR="003652F8">
        <w:t>s</w:t>
      </w:r>
      <w:r>
        <w:t xml:space="preserve"> a scoring system that scales scores relative to the magnitude of deviations away from thresholds</w:t>
      </w:r>
      <w:r w:rsidR="00EF74BD">
        <w:t>;</w:t>
      </w:r>
      <w:r>
        <w:t xml:space="preserve"> </w:t>
      </w:r>
    </w:p>
    <w:p w14:paraId="6355DE79" w14:textId="77777777" w:rsidR="007372D2" w:rsidRDefault="007372D2" w:rsidP="003045D3">
      <w:pPr>
        <w:pStyle w:val="ListParagraph"/>
        <w:numPr>
          <w:ilvl w:val="0"/>
          <w:numId w:val="21"/>
        </w:numPr>
      </w:pPr>
      <w:r>
        <w:t>Incorporate</w:t>
      </w:r>
      <w:r w:rsidR="003652F8">
        <w:t>s</w:t>
      </w:r>
      <w:r>
        <w:t xml:space="preserve"> a measure of uncertainty in resulting report card scores aggregated to regional and GBR-wide scales</w:t>
      </w:r>
      <w:r w:rsidR="00EF74BD">
        <w:t>;</w:t>
      </w:r>
    </w:p>
    <w:p w14:paraId="7044AD68" w14:textId="77777777" w:rsidR="007372D2" w:rsidRDefault="007372D2" w:rsidP="003045D3">
      <w:pPr>
        <w:pStyle w:val="ListParagraph"/>
        <w:numPr>
          <w:ilvl w:val="0"/>
          <w:numId w:val="21"/>
        </w:numPr>
      </w:pPr>
      <w:r>
        <w:t>Provide</w:t>
      </w:r>
      <w:r w:rsidR="003652F8">
        <w:t>s</w:t>
      </w:r>
      <w:r>
        <w:t xml:space="preserve"> clear description of the methodology used to estimate scores for each indicator, and aggregate scores into the coral index at increasing spatial scales.</w:t>
      </w:r>
    </w:p>
    <w:p w14:paraId="15BD6CBD" w14:textId="77777777" w:rsidR="007372D2" w:rsidRDefault="007372D2" w:rsidP="003045D3">
      <w:r>
        <w:t xml:space="preserve">The intent is that this report </w:t>
      </w:r>
      <w:r w:rsidR="0006571C">
        <w:t>chapter</w:t>
      </w:r>
      <w:r>
        <w:t xml:space="preserve"> </w:t>
      </w:r>
      <w:r w:rsidR="0020249C">
        <w:t xml:space="preserve">will be transferred to the MMP QA/QC document </w:t>
      </w:r>
      <w:r w:rsidR="0006571C">
        <w:t xml:space="preserve">in 2016 </w:t>
      </w:r>
      <w:r w:rsidR="0020249C">
        <w:t xml:space="preserve">and </w:t>
      </w:r>
      <w:r>
        <w:t>serves as the rationale and methodological reference for the coral communit</w:t>
      </w:r>
      <w:r w:rsidR="0006571C">
        <w:t>y component of the Report Card.</w:t>
      </w:r>
      <w:r>
        <w:t xml:space="preserve"> Each of the four previously utilised indicators are retained in a revised form and are complemented by the introduction of a fifth indicator that assesses long</w:t>
      </w:r>
      <w:r w:rsidR="0006571C">
        <w:t>-</w:t>
      </w:r>
      <w:r>
        <w:t>term change in community composition. For each indicator the rationale for their inclusion and detailed descriptions of the derivation of index scores are presented separately. Secondly</w:t>
      </w:r>
      <w:r w:rsidR="003F3DBB">
        <w:t>,</w:t>
      </w:r>
      <w:r>
        <w:t xml:space="preserve"> the methods used to aggregate these scores into the coral index that forms the basis of the Report Card score at the scale of NRM regions and the GBR </w:t>
      </w:r>
      <w:r w:rsidR="003F3DBB">
        <w:t>are</w:t>
      </w:r>
      <w:r>
        <w:t xml:space="preserve"> presented. </w:t>
      </w:r>
      <w:r w:rsidR="0020249C">
        <w:t>Finally</w:t>
      </w:r>
      <w:r w:rsidR="003F3DBB">
        <w:t>,</w:t>
      </w:r>
      <w:r w:rsidR="0020249C">
        <w:t xml:space="preserve"> as a point of reference</w:t>
      </w:r>
      <w:r w:rsidR="003F3DBB">
        <w:t>,</w:t>
      </w:r>
      <w:r w:rsidR="0020249C">
        <w:t xml:space="preserve"> a comparison between report card scores estimated from the revised and previously used methods is include</w:t>
      </w:r>
      <w:r w:rsidR="00BC12FE">
        <w:t>d</w:t>
      </w:r>
      <w:r w:rsidR="0020249C">
        <w:t>.</w:t>
      </w:r>
    </w:p>
    <w:p w14:paraId="1F014F2D" w14:textId="77777777" w:rsidR="007372D2" w:rsidRDefault="00F352CD" w:rsidP="009139A2">
      <w:pPr>
        <w:pStyle w:val="Heading3"/>
      </w:pPr>
      <w:bookmarkStart w:id="238" w:name="_Toc437424416"/>
      <w:bookmarkStart w:id="239" w:name="_Toc437424540"/>
      <w:bookmarkStart w:id="240" w:name="_Toc437432471"/>
      <w:bookmarkStart w:id="241" w:name="_Toc437432544"/>
      <w:r>
        <w:t>6.</w:t>
      </w:r>
      <w:r w:rsidR="00FF1C00">
        <w:t xml:space="preserve">1.3 Metric </w:t>
      </w:r>
      <w:r w:rsidR="007372D2">
        <w:t>thresholds and scoring</w:t>
      </w:r>
      <w:bookmarkEnd w:id="238"/>
      <w:bookmarkEnd w:id="239"/>
      <w:bookmarkEnd w:id="240"/>
      <w:bookmarkEnd w:id="241"/>
    </w:p>
    <w:p w14:paraId="104733E3" w14:textId="77777777" w:rsidR="007372D2" w:rsidRDefault="007372D2" w:rsidP="003F3DBB">
      <w:r>
        <w:t xml:space="preserve">Critical to the application of biological indicators as a means of inferring ecosystem condition </w:t>
      </w:r>
      <w:r w:rsidR="003F3DBB">
        <w:t xml:space="preserve">or state </w:t>
      </w:r>
      <w:r>
        <w:t xml:space="preserve">is the setting of reasonable thresholds against which observed condition can be assessed. To be useful in inferring condition, thresholds must be within the range of plausible outcomes for the indicator to which they pertain and set so that deviations can sensibly be interpreted in terms of ecosystem condition (Bradley </w:t>
      </w:r>
      <w:r>
        <w:rPr>
          <w:i/>
        </w:rPr>
        <w:t>et al</w:t>
      </w:r>
      <w:r>
        <w:t>. 2010). When considering the scoring of indicators for coral reef community state in the inshore GBR it is important to consider the natural state that would be expected or desired in any particular location. Importantly</w:t>
      </w:r>
      <w:r w:rsidR="003F3DBB">
        <w:t>,</w:t>
      </w:r>
      <w:r>
        <w:t xml:space="preserve"> the fact that coral reef communities vary naturally along environmental gradients should be explicitly considered and scoring of state adjusted based on ecological understanding of such gradients where appropriate. Equally important, is how the deviations from any thresholds are scored so that information from separate indicators, or locations, can be combined into a multimetric index over a range of spatial scales of interest. </w:t>
      </w:r>
    </w:p>
    <w:p w14:paraId="169E4A55" w14:textId="77777777" w:rsidR="007372D2" w:rsidRDefault="007372D2" w:rsidP="003045D3">
      <w:pPr>
        <w:rPr>
          <w:rFonts w:cs="Arial"/>
          <w:color w:val="000000" w:themeColor="text1"/>
        </w:rPr>
      </w:pPr>
      <w:r>
        <w:rPr>
          <w:rFonts w:cs="Arial"/>
          <w:color w:val="000000" w:themeColor="text1"/>
        </w:rPr>
        <w:t>To date the thresholds used in the coral Report Card were commonly applied across all reefs and largely selected to broadly cover the range of values observed in basel</w:t>
      </w:r>
      <w:r w:rsidR="003F3DBB">
        <w:rPr>
          <w:rFonts w:cs="Arial"/>
          <w:color w:val="000000" w:themeColor="text1"/>
        </w:rPr>
        <w:t>ine surveys of the communities.</w:t>
      </w:r>
      <w:r>
        <w:rPr>
          <w:rFonts w:cs="Arial"/>
          <w:color w:val="000000" w:themeColor="text1"/>
        </w:rPr>
        <w:t xml:space="preserve"> While this approach ensured that the threshold values were plausible in terms of representing achievable conditions across the reefs</w:t>
      </w:r>
      <w:r w:rsidR="003F3DBB">
        <w:rPr>
          <w:rFonts w:cs="Arial"/>
          <w:color w:val="000000" w:themeColor="text1"/>
        </w:rPr>
        <w:t>,</w:t>
      </w:r>
      <w:r>
        <w:rPr>
          <w:rFonts w:cs="Arial"/>
          <w:color w:val="000000" w:themeColor="text1"/>
        </w:rPr>
        <w:t xml:space="preserve"> in general it did not consider the appropriateness of these thresholds in either ecological terms or the validity of using the same threshold values for reefs </w:t>
      </w:r>
      <w:r w:rsidR="00FF1C00">
        <w:rPr>
          <w:rFonts w:cs="Arial"/>
          <w:color w:val="000000" w:themeColor="text1"/>
        </w:rPr>
        <w:t>spanning</w:t>
      </w:r>
      <w:r>
        <w:rPr>
          <w:rFonts w:cs="Arial"/>
          <w:color w:val="000000" w:themeColor="text1"/>
        </w:rPr>
        <w:t xml:space="preserve"> a rang</w:t>
      </w:r>
      <w:r w:rsidR="003F3DBB">
        <w:rPr>
          <w:rFonts w:cs="Arial"/>
          <w:color w:val="000000" w:themeColor="text1"/>
        </w:rPr>
        <w:t xml:space="preserve">e of environmental conditions. </w:t>
      </w:r>
      <w:r>
        <w:rPr>
          <w:rFonts w:cs="Arial"/>
          <w:color w:val="000000" w:themeColor="text1"/>
        </w:rPr>
        <w:t>For each indicator the following questions were asked as a way of guiding the final selection of indicator thresholds:</w:t>
      </w:r>
    </w:p>
    <w:p w14:paraId="51966190" w14:textId="77777777" w:rsidR="007372D2" w:rsidRPr="003F3DBB" w:rsidRDefault="007372D2" w:rsidP="003F3DBB">
      <w:pPr>
        <w:pStyle w:val="ListParagraph"/>
        <w:numPr>
          <w:ilvl w:val="0"/>
          <w:numId w:val="37"/>
        </w:numPr>
        <w:rPr>
          <w:rFonts w:cs="Arial"/>
          <w:color w:val="000000" w:themeColor="text1"/>
        </w:rPr>
      </w:pPr>
      <w:r w:rsidRPr="003F3DBB">
        <w:rPr>
          <w:rFonts w:cs="Arial"/>
          <w:color w:val="000000" w:themeColor="text1"/>
        </w:rPr>
        <w:t xml:space="preserve">Is there an expectation that condition of the indicator should naturally vary along the steep gradient in water quality </w:t>
      </w:r>
      <w:r w:rsidR="00FF1C00" w:rsidRPr="003F3DBB">
        <w:rPr>
          <w:rFonts w:cs="Arial"/>
          <w:color w:val="000000" w:themeColor="text1"/>
        </w:rPr>
        <w:t>spanning</w:t>
      </w:r>
      <w:r w:rsidRPr="003F3DBB">
        <w:rPr>
          <w:rFonts w:cs="Arial"/>
          <w:color w:val="000000" w:themeColor="text1"/>
        </w:rPr>
        <w:t xml:space="preserve"> monitoring locations? If so, this would suggest the </w:t>
      </w:r>
      <w:r w:rsidR="003F3DBB">
        <w:rPr>
          <w:rFonts w:cs="Arial"/>
          <w:color w:val="000000" w:themeColor="text1"/>
        </w:rPr>
        <w:t>development and use</w:t>
      </w:r>
      <w:r w:rsidRPr="003F3DBB">
        <w:rPr>
          <w:rFonts w:cs="Arial"/>
          <w:color w:val="000000" w:themeColor="text1"/>
        </w:rPr>
        <w:t xml:space="preserve"> of location</w:t>
      </w:r>
      <w:r w:rsidR="003F3DBB">
        <w:rPr>
          <w:rFonts w:cs="Arial"/>
          <w:color w:val="000000" w:themeColor="text1"/>
        </w:rPr>
        <w:t>-</w:t>
      </w:r>
      <w:r w:rsidRPr="003F3DBB">
        <w:rPr>
          <w:rFonts w:cs="Arial"/>
          <w:color w:val="000000" w:themeColor="text1"/>
        </w:rPr>
        <w:t>specific thresholds.</w:t>
      </w:r>
    </w:p>
    <w:p w14:paraId="1129C47B" w14:textId="77777777" w:rsidR="007372D2" w:rsidRPr="003F3DBB" w:rsidRDefault="007372D2" w:rsidP="003F3DBB">
      <w:pPr>
        <w:pStyle w:val="ListParagraph"/>
        <w:numPr>
          <w:ilvl w:val="0"/>
          <w:numId w:val="37"/>
        </w:numPr>
        <w:rPr>
          <w:rFonts w:cs="Arial"/>
          <w:color w:val="000000" w:themeColor="text1"/>
        </w:rPr>
      </w:pPr>
      <w:r w:rsidRPr="003F3DBB">
        <w:rPr>
          <w:rFonts w:cs="Arial"/>
          <w:color w:val="000000" w:themeColor="text1"/>
        </w:rPr>
        <w:t xml:space="preserve">Is there a desirable state in terms of ecosystem function or value that can guide the </w:t>
      </w:r>
      <w:r w:rsidR="003F3DBB">
        <w:rPr>
          <w:rFonts w:cs="Arial"/>
          <w:color w:val="000000" w:themeColor="text1"/>
        </w:rPr>
        <w:t>setting</w:t>
      </w:r>
      <w:r w:rsidRPr="003F3DBB">
        <w:rPr>
          <w:rFonts w:cs="Arial"/>
          <w:color w:val="000000" w:themeColor="text1"/>
        </w:rPr>
        <w:t xml:space="preserve"> of </w:t>
      </w:r>
      <w:r w:rsidR="003F3DBB">
        <w:rPr>
          <w:rFonts w:cs="Arial"/>
          <w:color w:val="000000" w:themeColor="text1"/>
        </w:rPr>
        <w:t>a threshold</w:t>
      </w:r>
      <w:r w:rsidRPr="003F3DBB">
        <w:rPr>
          <w:rFonts w:cs="Arial"/>
          <w:color w:val="000000" w:themeColor="text1"/>
        </w:rPr>
        <w:t xml:space="preserve">? </w:t>
      </w:r>
    </w:p>
    <w:p w14:paraId="0A635D22" w14:textId="77777777" w:rsidR="007372D2" w:rsidRDefault="007372D2" w:rsidP="003045D3">
      <w:pPr>
        <w:rPr>
          <w:rFonts w:cs="Arial"/>
          <w:color w:val="000000" w:themeColor="text1"/>
        </w:rPr>
      </w:pPr>
      <w:r>
        <w:rPr>
          <w:rFonts w:cs="Arial"/>
          <w:color w:val="000000" w:themeColor="text1"/>
        </w:rPr>
        <w:lastRenderedPageBreak/>
        <w:t>A second</w:t>
      </w:r>
      <w:r w:rsidR="003F3DBB">
        <w:rPr>
          <w:rFonts w:cs="Arial"/>
          <w:color w:val="000000" w:themeColor="text1"/>
        </w:rPr>
        <w:t xml:space="preserve">, related </w:t>
      </w:r>
      <w:r w:rsidR="005B2E4D">
        <w:rPr>
          <w:rFonts w:cs="Arial"/>
          <w:color w:val="000000" w:themeColor="text1"/>
        </w:rPr>
        <w:t>issue</w:t>
      </w:r>
      <w:r>
        <w:rPr>
          <w:rFonts w:cs="Arial"/>
          <w:color w:val="000000" w:themeColor="text1"/>
        </w:rPr>
        <w:t xml:space="preserve"> is how to score deviations from threshold values. To date</w:t>
      </w:r>
      <w:r w:rsidR="003F3DBB">
        <w:rPr>
          <w:rFonts w:cs="Arial"/>
          <w:color w:val="000000" w:themeColor="text1"/>
        </w:rPr>
        <w:t>,</w:t>
      </w:r>
      <w:r>
        <w:rPr>
          <w:rFonts w:cs="Arial"/>
          <w:color w:val="000000" w:themeColor="text1"/>
        </w:rPr>
        <w:t xml:space="preserve"> the scoring for indicators within the coral Report Card has been based on a categorical scale with thresholds set as a range of conditions within which the indicator scored a neutral score of 0.5 and then either a positive score of 1 or negative score of 0 when observed condition deviated either above or below these threshold ranges</w:t>
      </w:r>
      <w:r w:rsidR="004C20BB">
        <w:rPr>
          <w:rFonts w:cs="Arial"/>
          <w:color w:val="000000" w:themeColor="text1"/>
        </w:rPr>
        <w:t xml:space="preserve"> (</w:t>
      </w:r>
      <w:r w:rsidR="007D754F">
        <w:rPr>
          <w:rFonts w:cs="Arial"/>
          <w:color w:val="000000" w:themeColor="text1"/>
        </w:rPr>
        <w:fldChar w:fldCharType="begin"/>
      </w:r>
      <w:r w:rsidR="007D754F">
        <w:rPr>
          <w:rFonts w:cs="Arial"/>
          <w:color w:val="000000" w:themeColor="text1"/>
        </w:rPr>
        <w:instrText xml:space="preserve"> REF _Ref438121998 \h </w:instrText>
      </w:r>
      <w:r w:rsidR="007D754F">
        <w:rPr>
          <w:rFonts w:cs="Arial"/>
          <w:color w:val="000000" w:themeColor="text1"/>
        </w:rPr>
      </w:r>
      <w:r w:rsidR="007D754F">
        <w:rPr>
          <w:rFonts w:cs="Arial"/>
          <w:color w:val="000000" w:themeColor="text1"/>
        </w:rPr>
        <w:fldChar w:fldCharType="separate"/>
      </w:r>
      <w:r w:rsidR="00B61881">
        <w:t xml:space="preserve">Table </w:t>
      </w:r>
      <w:r w:rsidR="00B61881">
        <w:rPr>
          <w:noProof/>
        </w:rPr>
        <w:t>7</w:t>
      </w:r>
      <w:r w:rsidR="007D754F">
        <w:rPr>
          <w:rFonts w:cs="Arial"/>
          <w:color w:val="000000" w:themeColor="text1"/>
        </w:rPr>
        <w:fldChar w:fldCharType="end"/>
      </w:r>
      <w:r w:rsidR="004C20BB">
        <w:rPr>
          <w:rFonts w:cs="Arial"/>
          <w:color w:val="000000" w:themeColor="text1"/>
        </w:rPr>
        <w:t>)</w:t>
      </w:r>
      <w:r>
        <w:rPr>
          <w:rFonts w:cs="Arial"/>
          <w:color w:val="000000" w:themeColor="text1"/>
        </w:rPr>
        <w:t xml:space="preserve">. The consequence of this scoring system was the quite dramatic shift in scores when community condition </w:t>
      </w:r>
      <w:r w:rsidR="003F3DBB">
        <w:rPr>
          <w:rFonts w:cs="Arial"/>
          <w:color w:val="000000" w:themeColor="text1"/>
        </w:rPr>
        <w:t>changed</w:t>
      </w:r>
      <w:r>
        <w:rPr>
          <w:rFonts w:cs="Arial"/>
          <w:color w:val="000000" w:themeColor="text1"/>
        </w:rPr>
        <w:t xml:space="preserve"> marginally about </w:t>
      </w:r>
      <w:r w:rsidR="003F3DBB">
        <w:rPr>
          <w:rFonts w:cs="Arial"/>
          <w:color w:val="000000" w:themeColor="text1"/>
        </w:rPr>
        <w:t xml:space="preserve">the </w:t>
      </w:r>
      <w:r>
        <w:rPr>
          <w:rFonts w:cs="Arial"/>
          <w:color w:val="000000" w:themeColor="text1"/>
        </w:rPr>
        <w:t>threshold</w:t>
      </w:r>
      <w:r w:rsidR="003F3DBB">
        <w:rPr>
          <w:rFonts w:cs="Arial"/>
          <w:color w:val="000000" w:themeColor="text1"/>
        </w:rPr>
        <w:t>’s</w:t>
      </w:r>
      <w:r>
        <w:rPr>
          <w:rFonts w:cs="Arial"/>
          <w:color w:val="000000" w:themeColor="text1"/>
        </w:rPr>
        <w:t xml:space="preserve"> upper or lower limits. An advantage of this scoring system is that all scores were scaled between 0 and 1</w:t>
      </w:r>
      <w:r w:rsidR="003F3DBB">
        <w:rPr>
          <w:rFonts w:cs="Arial"/>
          <w:color w:val="000000" w:themeColor="text1"/>
        </w:rPr>
        <w:t>,</w:t>
      </w:r>
      <w:r>
        <w:rPr>
          <w:rFonts w:cs="Arial"/>
          <w:color w:val="000000" w:themeColor="text1"/>
        </w:rPr>
        <w:t xml:space="preserve"> allowing for simple aggregatio</w:t>
      </w:r>
      <w:r w:rsidR="003F3DBB">
        <w:rPr>
          <w:rFonts w:cs="Arial"/>
          <w:color w:val="000000" w:themeColor="text1"/>
        </w:rPr>
        <w:t xml:space="preserve">n across indicators and sites. </w:t>
      </w:r>
      <w:r>
        <w:rPr>
          <w:rFonts w:cs="Arial"/>
          <w:color w:val="000000" w:themeColor="text1"/>
        </w:rPr>
        <w:t>For the revised scoring system we have applied a continuous scoring where appropriate</w:t>
      </w:r>
      <w:r w:rsidR="003F3DBB">
        <w:rPr>
          <w:rFonts w:cs="Arial"/>
          <w:color w:val="000000" w:themeColor="text1"/>
        </w:rPr>
        <w:t xml:space="preserve">, but </w:t>
      </w:r>
      <w:r>
        <w:rPr>
          <w:rFonts w:cs="Arial"/>
          <w:color w:val="000000" w:themeColor="text1"/>
        </w:rPr>
        <w:t xml:space="preserve">maintained the scaling of these scores to lie within the range of 0 to 1 to facilitate aggregation of </w:t>
      </w:r>
      <w:r w:rsidR="004C20BB">
        <w:rPr>
          <w:rFonts w:cs="Arial"/>
          <w:color w:val="000000" w:themeColor="text1"/>
        </w:rPr>
        <w:t>across metrics and spatial scales</w:t>
      </w:r>
      <w:r>
        <w:rPr>
          <w:rFonts w:cs="Arial"/>
          <w:color w:val="000000" w:themeColor="text1"/>
        </w:rPr>
        <w:t>.</w:t>
      </w:r>
    </w:p>
    <w:p w14:paraId="20F8888B" w14:textId="77777777" w:rsidR="007372D2" w:rsidRDefault="00F352CD" w:rsidP="009139A2">
      <w:pPr>
        <w:pStyle w:val="Heading3"/>
        <w:rPr>
          <w:color w:val="365F91" w:themeColor="accent1" w:themeShade="BF"/>
        </w:rPr>
      </w:pPr>
      <w:bookmarkStart w:id="242" w:name="_Toc437424417"/>
      <w:bookmarkStart w:id="243" w:name="_Toc437424541"/>
      <w:bookmarkStart w:id="244" w:name="_Toc437432472"/>
      <w:bookmarkStart w:id="245" w:name="_Toc437432545"/>
      <w:r>
        <w:t>6</w:t>
      </w:r>
      <w:r w:rsidR="00FF1C00">
        <w:t xml:space="preserve">.1.4 </w:t>
      </w:r>
      <w:r w:rsidR="007372D2">
        <w:t>Scope of Data</w:t>
      </w:r>
      <w:bookmarkEnd w:id="242"/>
      <w:bookmarkEnd w:id="243"/>
      <w:bookmarkEnd w:id="244"/>
      <w:bookmarkEnd w:id="245"/>
    </w:p>
    <w:p w14:paraId="799AEFE5" w14:textId="77777777" w:rsidR="00A228FB" w:rsidRDefault="007372D2" w:rsidP="003045D3">
      <w:r>
        <w:t>In determining the sources of data that could be incorporated into the coral index we were guided by the desire that report card scores should be spatially and temporally comparable</w:t>
      </w:r>
      <w:r w:rsidR="004C20BB">
        <w:t xml:space="preserve"> and data </w:t>
      </w:r>
      <w:r w:rsidR="006714A8">
        <w:t xml:space="preserve">quality assured. </w:t>
      </w:r>
      <w:r>
        <w:t xml:space="preserve">These considerations effectively constrain retrospective </w:t>
      </w:r>
      <w:r w:rsidR="009E7AD0">
        <w:t xml:space="preserve">inclusion of </w:t>
      </w:r>
      <w:r>
        <w:t>data to the time series of coral community obse</w:t>
      </w:r>
      <w:r w:rsidR="004C20BB">
        <w:t>rvations collected by the AIMS l</w:t>
      </w:r>
      <w:r>
        <w:t xml:space="preserve">ong-term monitoring program </w:t>
      </w:r>
      <w:r w:rsidR="004C20BB">
        <w:t xml:space="preserve">(LTMP) </w:t>
      </w:r>
      <w:r>
        <w:t>and the MMP. Should recent monitoring initiated by the Gladstone Healthy Harbour Project receive a commitment to continue as a long-term data series then this and any similar locally focused projects could be incorporated in future report</w:t>
      </w:r>
      <w:r w:rsidR="003652F8">
        <w:t xml:space="preserve"> cards. Programs such as the </w:t>
      </w:r>
      <w:r w:rsidR="009E7AD0">
        <w:t>reef health and impact survey</w:t>
      </w:r>
      <w:r w:rsidR="002E20D5">
        <w:t xml:space="preserve"> (RHiS)</w:t>
      </w:r>
      <w:r w:rsidR="009E7AD0">
        <w:t xml:space="preserve"> </w:t>
      </w:r>
      <w:r>
        <w:t>undertaken as part of the Eye on the</w:t>
      </w:r>
      <w:r w:rsidR="004C20BB">
        <w:t xml:space="preserve"> Reef program managed by the GBRMPA</w:t>
      </w:r>
      <w:r>
        <w:t xml:space="preserve"> also provide estimates of the indicators of coral and macroalgae cover. </w:t>
      </w:r>
      <w:r w:rsidR="006714A8">
        <w:t>T</w:t>
      </w:r>
      <w:r>
        <w:t>his technique appears well suited to its intended use as a rapid assessment tool</w:t>
      </w:r>
      <w:r w:rsidR="006714A8">
        <w:t>. However,</w:t>
      </w:r>
      <w:r>
        <w:t xml:space="preserve"> it is not currently considered suitable for inclusion as a source of data for the report card</w:t>
      </w:r>
      <w:r w:rsidR="006A1B4E">
        <w:t xml:space="preserve"> due to the lack of a</w:t>
      </w:r>
      <w:r w:rsidR="000450F4">
        <w:t xml:space="preserve"> past or future sampling design</w:t>
      </w:r>
      <w:r>
        <w:t xml:space="preserve"> a</w:t>
      </w:r>
      <w:r w:rsidR="006A1B4E">
        <w:t xml:space="preserve">nd that </w:t>
      </w:r>
      <w:r>
        <w:t>the biases between this technique and th</w:t>
      </w:r>
      <w:r w:rsidR="003652F8">
        <w:t>ose</w:t>
      </w:r>
      <w:r>
        <w:t xml:space="preserve"> used by the long-term data sets have not been determined. </w:t>
      </w:r>
      <w:r w:rsidR="00A85060">
        <w:t xml:space="preserve">Another program that has the potential to add information to the coral index is Reef Check. This program has established monitoring sites </w:t>
      </w:r>
      <w:r w:rsidR="002E20D5">
        <w:t>at inshore locations in the Wet Tropics (</w:t>
      </w:r>
      <w:r w:rsidR="00A85060">
        <w:t>Low Isles</w:t>
      </w:r>
      <w:r w:rsidR="002E20D5">
        <w:t>)</w:t>
      </w:r>
      <w:r w:rsidR="00A85060">
        <w:t xml:space="preserve">, </w:t>
      </w:r>
      <w:r w:rsidR="002E20D5">
        <w:t xml:space="preserve">Burdekin (Palm Group and Magnetic Island) and Mackay – Whitsunday (Hayman Island) regions and appears to provide sound estimates of coral cover that could add to coral index (Loder </w:t>
      </w:r>
      <w:r w:rsidR="002E20D5" w:rsidRPr="00A85060">
        <w:rPr>
          <w:i/>
        </w:rPr>
        <w:t>et al</w:t>
      </w:r>
      <w:r w:rsidR="002E20D5">
        <w:rPr>
          <w:i/>
        </w:rPr>
        <w:t>.</w:t>
      </w:r>
      <w:r w:rsidR="002E20D5">
        <w:t xml:space="preserve"> 2015). As for RHiS consideration of Reef Check data would be based on the ongoing commitment to a suitable sampling design along with willingness by Reef Check to make their data available </w:t>
      </w:r>
    </w:p>
    <w:p w14:paraId="47F21542" w14:textId="77777777" w:rsidR="007372D2" w:rsidRPr="00F352CD" w:rsidRDefault="00FF1C00" w:rsidP="00E56CF1">
      <w:pPr>
        <w:pStyle w:val="Heading4"/>
      </w:pPr>
      <w:bookmarkStart w:id="246" w:name="_Toc437424418"/>
      <w:bookmarkStart w:id="247" w:name="_Toc437424542"/>
      <w:bookmarkStart w:id="248" w:name="_Toc437432473"/>
      <w:bookmarkStart w:id="249" w:name="_Toc437432546"/>
      <w:r w:rsidRPr="00F352CD">
        <w:t xml:space="preserve">Sampling </w:t>
      </w:r>
      <w:r w:rsidR="007372D2" w:rsidRPr="00F352CD">
        <w:t>design of MMP and LTMP</w:t>
      </w:r>
      <w:bookmarkEnd w:id="246"/>
      <w:bookmarkEnd w:id="247"/>
      <w:bookmarkEnd w:id="248"/>
      <w:bookmarkEnd w:id="249"/>
    </w:p>
    <w:p w14:paraId="2D266290" w14:textId="77777777" w:rsidR="00D61C95" w:rsidRDefault="007372D2" w:rsidP="003045D3">
      <w:r>
        <w:t xml:space="preserve">Both the MMP and LTMP utilise two sampling methods to describe coral communities along permanently marked transect. Photo point-intercept transects are used to quantify the proportional cover of various benthic organisms (Jonker </w:t>
      </w:r>
      <w:r w:rsidRPr="00522D23">
        <w:rPr>
          <w:i/>
        </w:rPr>
        <w:t>et al.</w:t>
      </w:r>
      <w:r>
        <w:t xml:space="preserve"> 200</w:t>
      </w:r>
      <w:r w:rsidR="00522D23">
        <w:t>8</w:t>
      </w:r>
      <w:r>
        <w:t>), and co</w:t>
      </w:r>
      <w:r w:rsidR="002F28C0">
        <w:t>-</w:t>
      </w:r>
      <w:r>
        <w:t xml:space="preserve">located belt transects are used in which the number of juvenile corals are quantified. For both techniques the identification of corals is generally to the level of genus (image quality </w:t>
      </w:r>
      <w:r w:rsidR="006714A8">
        <w:t>may</w:t>
      </w:r>
      <w:r>
        <w:t xml:space="preserve"> limit the taxonomic resolution). For the purpose of the report card indicators</w:t>
      </w:r>
      <w:r w:rsidR="006714A8">
        <w:t>,</w:t>
      </w:r>
      <w:r>
        <w:t xml:space="preserve"> genus</w:t>
      </w:r>
      <w:r w:rsidR="006714A8">
        <w:t>-</w:t>
      </w:r>
      <w:r>
        <w:t>level identification is required for the coral community composition indicator while the distinction between Acroporidae corals and all other families of hard coral is required f</w:t>
      </w:r>
      <w:r w:rsidR="006714A8">
        <w:t xml:space="preserve">or the coral change indicator. </w:t>
      </w:r>
      <w:r>
        <w:t xml:space="preserve">As benthic communities in the inshore GBR vary strongly with depth (Sweatman </w:t>
      </w:r>
      <w:r w:rsidRPr="004C20BB">
        <w:rPr>
          <w:i/>
        </w:rPr>
        <w:t>et al.</w:t>
      </w:r>
      <w:r>
        <w:t xml:space="preserve"> 2007), the MMP includes transects at both 2 and 5 m below lowest astronomic tide at each reef, </w:t>
      </w:r>
      <w:r w:rsidR="006714A8">
        <w:t xml:space="preserve">while </w:t>
      </w:r>
      <w:r>
        <w:t xml:space="preserve">the LTMP has transects at ~6m below LAT only. </w:t>
      </w:r>
      <w:r w:rsidR="00E078C6">
        <w:t xml:space="preserve">Deeper transects were not included as at many reefs coral communities either peter out or the reef slope merges with surrounding unconsolidated substrates beyond 5-6m depth. </w:t>
      </w:r>
      <w:r>
        <w:t>To account for spatial heterogeneity of benthic communities within reefs the MMP includes five 20m long transects, at each of two sites at each depth from which the reef mean cover of the benthos and juvenile densities are estimated. The LTMP design inclu</w:t>
      </w:r>
      <w:r w:rsidR="006714A8">
        <w:t>des three sites, each with five</w:t>
      </w:r>
      <w:r>
        <w:t xml:space="preserve"> 50 m long transects for photo point intercept: juvenile densities are estimated from the first 5</w:t>
      </w:r>
      <w:r w:rsidR="006714A8">
        <w:t xml:space="preserve"> m of each of these transects. </w:t>
      </w:r>
      <w:r>
        <w:t xml:space="preserve">The nominal temporal replication for the MMP was for all reefs to be surveyed in both 2005 and 2006. From 2007 to 2014 surveys were continued annually at 15 “core” reefs and reduced to once every two years for the remaining 17 “cycle” reefs. Some cycle reefs were resampled in unscheduled years to quantify the effects of </w:t>
      </w:r>
      <w:r w:rsidR="006714A8">
        <w:t xml:space="preserve">acute </w:t>
      </w:r>
      <w:r>
        <w:t>disturbance events on those communities. From 2015</w:t>
      </w:r>
      <w:r w:rsidR="004C20BB">
        <w:t>,</w:t>
      </w:r>
      <w:r>
        <w:t xml:space="preserve"> all reefs are scheduled for sampling on a two year cycle, </w:t>
      </w:r>
      <w:r w:rsidR="006714A8">
        <w:t>however with</w:t>
      </w:r>
      <w:r>
        <w:t xml:space="preserve"> the </w:t>
      </w:r>
      <w:r w:rsidR="006714A8">
        <w:t>provision for additional surve</w:t>
      </w:r>
      <w:r>
        <w:t>y</w:t>
      </w:r>
      <w:r w:rsidR="006714A8">
        <w:t>s</w:t>
      </w:r>
      <w:r>
        <w:t xml:space="preserve"> following acute disturbances. The LTMP reefs were nominally sampled annually from 1992 through to 2005 after which sampling frequency was reduced to once </w:t>
      </w:r>
      <w:r>
        <w:lastRenderedPageBreak/>
        <w:t>every two years. Some scheduled samples of LTMP reefs were not achieved as a result of poor weather.</w:t>
      </w:r>
    </w:p>
    <w:p w14:paraId="34A00322" w14:textId="77777777" w:rsidR="007372D2" w:rsidRPr="00F352CD" w:rsidRDefault="007372D2" w:rsidP="00E56CF1">
      <w:pPr>
        <w:pStyle w:val="Heading4"/>
      </w:pPr>
      <w:bookmarkStart w:id="250" w:name="_Toc437424419"/>
      <w:bookmarkStart w:id="251" w:name="_Toc437424543"/>
      <w:bookmarkStart w:id="252" w:name="_Toc437432474"/>
      <w:bookmarkStart w:id="253" w:name="_Toc437432547"/>
      <w:r w:rsidRPr="00F352CD">
        <w:t>Environmental covariates</w:t>
      </w:r>
      <w:bookmarkEnd w:id="250"/>
      <w:bookmarkEnd w:id="251"/>
      <w:bookmarkEnd w:id="252"/>
      <w:bookmarkEnd w:id="253"/>
    </w:p>
    <w:p w14:paraId="79A4FA80" w14:textId="77777777" w:rsidR="007372D2" w:rsidRDefault="007372D2" w:rsidP="003045D3">
      <w:r>
        <w:t xml:space="preserve">To determine the relationship between indicators and environmental gradients, </w:t>
      </w:r>
      <w:r w:rsidR="00C70CED">
        <w:t>that</w:t>
      </w:r>
      <w:r>
        <w:t xml:space="preserve"> would suggest the need for location specific thresholds, required environmental covariates that were consistently estimated over the spatial scale of </w:t>
      </w:r>
      <w:r w:rsidR="00C70CED">
        <w:t>coral monitoring programs</w:t>
      </w:r>
      <w:r>
        <w:t>. For the inshore reefs monitored by the MMP and LTMP this limits the available WQ variables to those estimated from satellite imagery. For the analyses presented in this report estimates of the concentration of chlorophyll a (Chl a) as a proxy for nutrient availability and non</w:t>
      </w:r>
      <w:r w:rsidR="002A28EE">
        <w:t>-</w:t>
      </w:r>
      <w:r>
        <w:t>algal particulates (</w:t>
      </w:r>
      <w:r w:rsidR="003652F8">
        <w:t>NAP</w:t>
      </w:r>
      <w:r>
        <w:t>) as an estimate of total suspended solids were sourced from the Bureau of Meteorology (2015)</w:t>
      </w:r>
      <w:r w:rsidR="004C0333">
        <w:rPr>
          <w:rStyle w:val="FootnoteReference"/>
        </w:rPr>
        <w:footnoteReference w:id="2"/>
      </w:r>
      <w:r>
        <w:t xml:space="preserve"> which are derived from methods described by Brando </w:t>
      </w:r>
      <w:r>
        <w:rPr>
          <w:i/>
        </w:rPr>
        <w:t>et al.</w:t>
      </w:r>
      <w:r>
        <w:t xml:space="preserve"> (2012). </w:t>
      </w:r>
    </w:p>
    <w:p w14:paraId="492B07D2" w14:textId="77777777" w:rsidR="007372D2" w:rsidRDefault="007372D2" w:rsidP="003045D3">
      <w:pPr>
        <w:rPr>
          <w:color w:val="000000"/>
        </w:rPr>
      </w:pPr>
      <w:r>
        <w:t>For each coral reef monitoring location a square of nine 1 km pixels was identified in adjacent open water and all available estimates of Chl a and nap for the period July 2002 until the end of 2014 obtained. For each day</w:t>
      </w:r>
      <w:r w:rsidR="004C0333">
        <w:t>,</w:t>
      </w:r>
      <w:r>
        <w:t xml:space="preserve"> </w:t>
      </w:r>
      <w:r w:rsidR="004C0333">
        <w:t xml:space="preserve">available </w:t>
      </w:r>
      <w:r>
        <w:t xml:space="preserve">data with a quality level of 4 were averaged for each location. From these daily averages the median levels for each variable were extracted as the long-term condition </w:t>
      </w:r>
      <w:r w:rsidR="00FE5FD1">
        <w:t>estimated for each reef (</w:t>
      </w:r>
      <w:r w:rsidR="003C3A1E">
        <w:fldChar w:fldCharType="begin"/>
      </w:r>
      <w:r w:rsidR="003C3A1E">
        <w:instrText xml:space="preserve"> REF _Ref460423145 \h </w:instrText>
      </w:r>
      <w:r w:rsidR="003C3A1E">
        <w:fldChar w:fldCharType="separate"/>
      </w:r>
      <w:r w:rsidR="00B61881">
        <w:t xml:space="preserve">Table </w:t>
      </w:r>
      <w:proofErr w:type="gramStart"/>
      <w:r w:rsidR="00B61881">
        <w:t>A</w:t>
      </w:r>
      <w:proofErr w:type="gramEnd"/>
      <w:r w:rsidR="00B61881">
        <w:t xml:space="preserve"> </w:t>
      </w:r>
      <w:r w:rsidR="00B61881">
        <w:rPr>
          <w:noProof/>
        </w:rPr>
        <w:t>4</w:t>
      </w:r>
      <w:r w:rsidR="003C3A1E">
        <w:fldChar w:fldCharType="end"/>
      </w:r>
      <w:r>
        <w:t>). The relative</w:t>
      </w:r>
      <w:r w:rsidR="003652F8">
        <w:t xml:space="preserve"> hydrodynamic forcing</w:t>
      </w:r>
      <w:r>
        <w:t xml:space="preserve"> of each site was estimated as the proportion of clay and silt sized particles in sediments collected from 5 m depth at MMP sites</w:t>
      </w:r>
      <w:r w:rsidR="00FE5FD1">
        <w:t xml:space="preserve"> (</w:t>
      </w:r>
      <w:r w:rsidR="003C3A1E">
        <w:fldChar w:fldCharType="begin"/>
      </w:r>
      <w:r w:rsidR="003C3A1E">
        <w:instrText xml:space="preserve"> REF _Ref460423145 \h </w:instrText>
      </w:r>
      <w:r w:rsidR="003C3A1E">
        <w:fldChar w:fldCharType="separate"/>
      </w:r>
      <w:r w:rsidR="00B61881">
        <w:t xml:space="preserve">Table </w:t>
      </w:r>
      <w:proofErr w:type="gramStart"/>
      <w:r w:rsidR="00B61881">
        <w:t>A</w:t>
      </w:r>
      <w:proofErr w:type="gramEnd"/>
      <w:r w:rsidR="00B61881">
        <w:t xml:space="preserve"> </w:t>
      </w:r>
      <w:r w:rsidR="00B61881">
        <w:rPr>
          <w:noProof/>
        </w:rPr>
        <w:t>4</w:t>
      </w:r>
      <w:r w:rsidR="003C3A1E">
        <w:fldChar w:fldCharType="end"/>
      </w:r>
      <w:r w:rsidR="00FE5FD1">
        <w:t>)</w:t>
      </w:r>
      <w:r w:rsidR="00E078C6">
        <w:t xml:space="preserve"> averaged over sample</w:t>
      </w:r>
      <w:r w:rsidR="006B6D8C">
        <w:t>s collected during annual or biennial</w:t>
      </w:r>
      <w:r w:rsidR="00E078C6">
        <w:t xml:space="preserve"> sampling of the coral communities between 2007 and 2014</w:t>
      </w:r>
      <w:r w:rsidR="004C0333">
        <w:t xml:space="preserve">. </w:t>
      </w:r>
      <w:r>
        <w:t xml:space="preserve">Reefs with a high proportion of fine grained particles are assumed to represent locations at which turbulence is low and so the accumulation of fine sediments promoted. In contrast, a low proportion of fine grained particles are assumed to reflect higher levels of turbulence that precludes the accumulation of </w:t>
      </w:r>
      <w:r w:rsidR="00FE5FD1">
        <w:t>fine-grained sediments</w:t>
      </w:r>
      <w:r w:rsidR="004C0333">
        <w:t xml:space="preserve">. </w:t>
      </w:r>
      <w:r>
        <w:rPr>
          <w:color w:val="000000"/>
        </w:rPr>
        <w:t xml:space="preserve">For LTMP reefs no sediment data exist and estimates of the proportion of clay and silt in the sediments was interpolated by placing the LTMP sites within the gradient of MMP sites by considering their comparable exposure to waves from the SE as the predominant direction of waves in the inner GBR. Images from LTMP photo-transects that included sand or silt observations were </w:t>
      </w:r>
      <w:r w:rsidR="00FE5FD1">
        <w:rPr>
          <w:color w:val="000000"/>
        </w:rPr>
        <w:t xml:space="preserve">visually </w:t>
      </w:r>
      <w:r>
        <w:rPr>
          <w:color w:val="000000"/>
        </w:rPr>
        <w:t>compared to images from MMP reefs with similar exposure to visually verify the validity of interpolated estimates.</w:t>
      </w:r>
    </w:p>
    <w:p w14:paraId="12D7DEEE" w14:textId="77777777" w:rsidR="007372D2" w:rsidRPr="00FF1C00" w:rsidRDefault="00F352CD" w:rsidP="009139A2">
      <w:pPr>
        <w:pStyle w:val="Heading2"/>
        <w:spacing w:before="240"/>
      </w:pPr>
      <w:bookmarkStart w:id="254" w:name="_Toc460490669"/>
      <w:bookmarkStart w:id="255" w:name="_Toc437424420"/>
      <w:bookmarkStart w:id="256" w:name="_Toc437424544"/>
      <w:bookmarkStart w:id="257" w:name="_Toc437432475"/>
      <w:bookmarkStart w:id="258" w:name="_Toc437432548"/>
      <w:r>
        <w:t>6</w:t>
      </w:r>
      <w:r w:rsidR="00FF1C00" w:rsidRPr="00FF1C00">
        <w:t xml:space="preserve">.2 </w:t>
      </w:r>
      <w:r w:rsidR="00276D8B">
        <w:t xml:space="preserve">Metric 1: </w:t>
      </w:r>
      <w:r w:rsidR="00A228FB" w:rsidRPr="00FF1C00">
        <w:t xml:space="preserve">Proportional cover </w:t>
      </w:r>
      <w:r w:rsidR="007372D2" w:rsidRPr="00FF1C00">
        <w:t>of macroalgae</w:t>
      </w:r>
      <w:bookmarkEnd w:id="254"/>
      <w:r w:rsidR="00A228FB" w:rsidRPr="00FF1C00">
        <w:t xml:space="preserve"> </w:t>
      </w:r>
      <w:bookmarkEnd w:id="255"/>
      <w:bookmarkEnd w:id="256"/>
      <w:bookmarkEnd w:id="257"/>
      <w:bookmarkEnd w:id="258"/>
    </w:p>
    <w:p w14:paraId="7E90098E" w14:textId="77777777" w:rsidR="00FE5FD1" w:rsidRDefault="00FE5FD1" w:rsidP="003045D3">
      <w:r>
        <w:t xml:space="preserve">Macroalgal recruitment, growth and biomass are controlled by a number of environmental factors such as the availability of suitable substratum, sufficient nutrients and light, and rates of herbivory (Schaffelke </w:t>
      </w:r>
      <w:r>
        <w:rPr>
          <w:i/>
        </w:rPr>
        <w:t>et al.</w:t>
      </w:r>
      <w:r>
        <w:t xml:space="preserve"> 2005). Abundant fleshy macroalgae on coral reefs are considered to be a consequence and, mostly, not a cause of coral mortality (McCook </w:t>
      </w:r>
      <w:r>
        <w:rPr>
          <w:i/>
        </w:rPr>
        <w:t>et al.</w:t>
      </w:r>
      <w:r w:rsidR="00522D23">
        <w:t xml:space="preserve"> 2001</w:t>
      </w:r>
      <w:r>
        <w:t xml:space="preserve">, Szmant 2002). However, high macroalgal abundance may suppress reef resilience (e.g., Hughes </w:t>
      </w:r>
      <w:r>
        <w:rPr>
          <w:i/>
        </w:rPr>
        <w:t>et al.</w:t>
      </w:r>
      <w:r>
        <w:t xml:space="preserve"> 2007, Foster </w:t>
      </w:r>
      <w:r>
        <w:rPr>
          <w:i/>
        </w:rPr>
        <w:t>et al.</w:t>
      </w:r>
      <w:r>
        <w:t xml:space="preserve"> 2008, Cheal </w:t>
      </w:r>
      <w:r>
        <w:rPr>
          <w:i/>
        </w:rPr>
        <w:t>et al.</w:t>
      </w:r>
      <w:r>
        <w:t xml:space="preserve"> 2010; but see Bruno </w:t>
      </w:r>
      <w:r>
        <w:rPr>
          <w:i/>
        </w:rPr>
        <w:t>et al.</w:t>
      </w:r>
      <w:r>
        <w:t xml:space="preserve"> 2009) by increased competition for space or changing the microenvironment for corals to settle and grow in (e.g. McCook </w:t>
      </w:r>
      <w:r>
        <w:rPr>
          <w:i/>
        </w:rPr>
        <w:t>et al.</w:t>
      </w:r>
      <w:r w:rsidR="00522D23">
        <w:t xml:space="preserve"> 2001</w:t>
      </w:r>
      <w:r>
        <w:t xml:space="preserve">, Hauri </w:t>
      </w:r>
      <w:r>
        <w:rPr>
          <w:i/>
        </w:rPr>
        <w:t>et al.</w:t>
      </w:r>
      <w:r>
        <w:t xml:space="preserve"> 2010). On the Reef, high macroalgal cover correlates with high concentrations of chlorophyll, a proxy for nutrient availability (De’ath </w:t>
      </w:r>
      <w:r w:rsidR="005A065B">
        <w:t>&amp;</w:t>
      </w:r>
      <w:r>
        <w:t xml:space="preserve"> Fabricius 2010). O</w:t>
      </w:r>
      <w:r w:rsidR="004304DE">
        <w:t>nce established, macroalgae pre-empt</w:t>
      </w:r>
      <w:r>
        <w:t xml:space="preserve"> or compete with corals for space that might otherwise be available for coral growth or recruitment (e.g. Box </w:t>
      </w:r>
      <w:r w:rsidR="005A065B">
        <w:t>&amp;</w:t>
      </w:r>
      <w:r>
        <w:t xml:space="preserve"> Mumby 2007, Hughes </w:t>
      </w:r>
      <w:r>
        <w:rPr>
          <w:i/>
        </w:rPr>
        <w:t>et al.</w:t>
      </w:r>
      <w:r>
        <w:t xml:space="preserve"> 2007). However, as the interactions between corals and algae are complex, likely species-specific and, mostly, un-quantified (McCook </w:t>
      </w:r>
      <w:r>
        <w:rPr>
          <w:i/>
        </w:rPr>
        <w:t>et al.</w:t>
      </w:r>
      <w:r w:rsidR="00522D23">
        <w:t xml:space="preserve"> 2001</w:t>
      </w:r>
      <w:r>
        <w:t>), it is difficult to determine realistic thresholds of macroalgal cover from which to infer impacts to the resilience of coral communities.</w:t>
      </w:r>
    </w:p>
    <w:p w14:paraId="76CB7628" w14:textId="77777777" w:rsidR="007372D2" w:rsidRDefault="007372D2" w:rsidP="003045D3">
      <w:r>
        <w:t xml:space="preserve">Until and including 2014, the scoring of the macroalgae indicator for the Great Barrier Reef Report Card was based on baseline data from the MMP. This approach imposed common thresholds for macroalgae cover across all inshore reefs that were based on the distribution of macroalgae cover </w:t>
      </w:r>
      <w:r>
        <w:lastRenderedPageBreak/>
        <w:t xml:space="preserve">observed in 2005 </w:t>
      </w:r>
      <w:r>
        <w:rPr>
          <w:color w:val="0070C0"/>
        </w:rPr>
        <w:t>(</w:t>
      </w:r>
      <w:r w:rsidR="00553772">
        <w:rPr>
          <w:color w:val="000000" w:themeColor="text1"/>
        </w:rPr>
        <w:fldChar w:fldCharType="begin"/>
      </w:r>
      <w:r w:rsidR="00553772">
        <w:rPr>
          <w:color w:val="0070C0"/>
        </w:rPr>
        <w:instrText xml:space="preserve"> REF _Ref438121998 \h </w:instrText>
      </w:r>
      <w:r w:rsidR="00553772">
        <w:rPr>
          <w:color w:val="000000" w:themeColor="text1"/>
        </w:rPr>
      </w:r>
      <w:r w:rsidR="00553772">
        <w:rPr>
          <w:color w:val="000000" w:themeColor="text1"/>
        </w:rPr>
        <w:fldChar w:fldCharType="separate"/>
      </w:r>
      <w:r w:rsidR="00B61881">
        <w:t xml:space="preserve">Table </w:t>
      </w:r>
      <w:r w:rsidR="00B61881">
        <w:rPr>
          <w:noProof/>
        </w:rPr>
        <w:t>7</w:t>
      </w:r>
      <w:r w:rsidR="00553772">
        <w:rPr>
          <w:color w:val="000000" w:themeColor="text1"/>
        </w:rPr>
        <w:fldChar w:fldCharType="end"/>
      </w:r>
      <w:r w:rsidRPr="002A28EE">
        <w:rPr>
          <w:color w:val="000000" w:themeColor="text1"/>
        </w:rPr>
        <w:t xml:space="preserve">). </w:t>
      </w:r>
      <w:r>
        <w:t xml:space="preserve">From a practical perspective these thresholds clearly identified, and positively scored reefs at which cover of large fleshy algae was low and unlikely to be influencing coral resilience. </w:t>
      </w:r>
      <w:r w:rsidR="00E078C6">
        <w:t>Moreover</w:t>
      </w:r>
      <w:r>
        <w:t>, the distinction between moderate and high levels of macroalgal cover appropriately scored reefs at which the cover of macroalgae was high and indicated a high likelihood of incr</w:t>
      </w:r>
      <w:r w:rsidR="00276D8B">
        <w:t>eased coral-algal competition</w:t>
      </w:r>
      <w:r w:rsidR="00276D8B" w:rsidRPr="006C6631">
        <w:t xml:space="preserve">. </w:t>
      </w:r>
      <w:r w:rsidRPr="006C6631">
        <w:t xml:space="preserve">A significant </w:t>
      </w:r>
      <w:r w:rsidR="00276D8B" w:rsidRPr="006C6631">
        <w:t>disadvantage</w:t>
      </w:r>
      <w:r w:rsidRPr="006C6631">
        <w:t xml:space="preserve"> </w:t>
      </w:r>
      <w:r w:rsidR="00276D8B" w:rsidRPr="006C6631">
        <w:t>was that</w:t>
      </w:r>
      <w:r w:rsidRPr="006C6631">
        <w:t xml:space="preserve"> this </w:t>
      </w:r>
      <w:r w:rsidR="00276D8B" w:rsidRPr="006C6631">
        <w:t xml:space="preserve">uniform categorical scoring system </w:t>
      </w:r>
      <w:r w:rsidR="006C6631" w:rsidRPr="006C6631">
        <w:t xml:space="preserve">when applied across </w:t>
      </w:r>
      <w:r w:rsidR="00276D8B" w:rsidRPr="006C6631">
        <w:t>natural gradient</w:t>
      </w:r>
      <w:r w:rsidR="006C6631" w:rsidRPr="006C6631">
        <w:t>s</w:t>
      </w:r>
      <w:r w:rsidR="00276D8B" w:rsidRPr="006C6631">
        <w:t xml:space="preserve"> in conditions t</w:t>
      </w:r>
      <w:r w:rsidR="006C6631" w:rsidRPr="006C6631">
        <w:t xml:space="preserve">hat govern macroalgae abundance limited the sensitivity of scoring. At one extreme, reefs at which water quality is optimal for macroalgae are likely to constantly support levels of macroalgae above the threshold, in contrast at reefs toward the cleaner end of the water quality gradient are unlikely to ever support macroalgae cover above the threshold. </w:t>
      </w:r>
      <w:r w:rsidRPr="006C6631">
        <w:t>In addition</w:t>
      </w:r>
      <w:r w:rsidR="00276D8B">
        <w:t>,</w:t>
      </w:r>
      <w:r>
        <w:t xml:space="preserve"> there was no consideration </w:t>
      </w:r>
      <w:r w:rsidR="00276D8B">
        <w:t>of</w:t>
      </w:r>
      <w:r>
        <w:t xml:space="preserve"> ecological thresholds about which the cover of macroalgae had detrimental impacts on coral communities other than those implicitly implied from the categorisation.</w:t>
      </w:r>
    </w:p>
    <w:p w14:paraId="7680DA2F" w14:textId="77777777" w:rsidR="003D6C46" w:rsidRDefault="00F352CD" w:rsidP="009139A2">
      <w:pPr>
        <w:pStyle w:val="Heading3"/>
      </w:pPr>
      <w:bookmarkStart w:id="259" w:name="_Toc437424421"/>
      <w:bookmarkStart w:id="260" w:name="_Toc437424545"/>
      <w:bookmarkStart w:id="261" w:name="_Ref437429065"/>
      <w:bookmarkStart w:id="262" w:name="_Toc437432476"/>
      <w:bookmarkStart w:id="263" w:name="_Toc437432549"/>
      <w:r>
        <w:t>6</w:t>
      </w:r>
      <w:r w:rsidR="003D6C46">
        <w:t xml:space="preserve">.2.1 </w:t>
      </w:r>
      <w:r w:rsidR="00BA5AEB">
        <w:t>The</w:t>
      </w:r>
      <w:r w:rsidR="003D6C46">
        <w:t xml:space="preserve"> response variable</w:t>
      </w:r>
      <w:bookmarkEnd w:id="259"/>
      <w:bookmarkEnd w:id="260"/>
      <w:bookmarkEnd w:id="261"/>
      <w:bookmarkEnd w:id="262"/>
      <w:bookmarkEnd w:id="263"/>
    </w:p>
    <w:p w14:paraId="483F2E71" w14:textId="77777777" w:rsidR="007372D2" w:rsidRDefault="007372D2" w:rsidP="003045D3">
      <w:r>
        <w:t>The response variable for the macroalgae indicator up to and including 2014 was the mean proportion of the reef benthos occupied by macroalgae</w:t>
      </w:r>
      <w:r w:rsidR="00276D8B">
        <w:t>,</w:t>
      </w:r>
      <w:r>
        <w:t xml:space="preserve"> as estimated from photo point intercept transects at a given reef and depth</w:t>
      </w:r>
      <w:r w:rsidR="00276D8B">
        <w:t>,</w:t>
      </w:r>
      <w:r>
        <w:t xml:space="preserve"> expressed a</w:t>
      </w:r>
      <w:r w:rsidR="00276D8B">
        <w:t xml:space="preserve">s percent cover of macroalgae. </w:t>
      </w:r>
      <w:r>
        <w:t>The collective term; “macroalgae” here represents a broad functional grouping that combines species clearly visible to the naked eye</w:t>
      </w:r>
      <w:r w:rsidR="00276D8B">
        <w:t>, but</w:t>
      </w:r>
      <w:r>
        <w:t xml:space="preserve"> excluding crustose coralline and fin</w:t>
      </w:r>
      <w:r w:rsidR="00276D8B">
        <w:t xml:space="preserve">e filamentous or “turf” forms. </w:t>
      </w:r>
      <w:r>
        <w:t>This percent cover estimate did not account for the area of substrate occupied by soft sediments that are largely unavailable to algal colonisation</w:t>
      </w:r>
      <w:r w:rsidR="00276D8B">
        <w:t>,</w:t>
      </w:r>
      <w:r>
        <w:t xml:space="preserve"> and so values between reefs were potentially biased. Similarly</w:t>
      </w:r>
      <w:r w:rsidR="00276D8B">
        <w:t>,</w:t>
      </w:r>
      <w:r>
        <w:t xml:space="preserve"> the area of substrate occupied by other benthos such as corals that could preclude </w:t>
      </w:r>
      <w:r w:rsidR="00FE5FD1">
        <w:t>macro</w:t>
      </w:r>
      <w:r>
        <w:t xml:space="preserve">algae </w:t>
      </w:r>
      <w:r w:rsidR="00FE5FD1">
        <w:t xml:space="preserve">colonising the area </w:t>
      </w:r>
      <w:r>
        <w:t>was not considered, again providing for bias between reefs but also leading to potential co</w:t>
      </w:r>
      <w:r w:rsidR="00276D8B">
        <w:t>-</w:t>
      </w:r>
      <w:r>
        <w:t>variation between the indicators f</w:t>
      </w:r>
      <w:r w:rsidR="00276D8B">
        <w:t xml:space="preserve">or coral cover and macroalgae. </w:t>
      </w:r>
      <w:r w:rsidR="00FE5FD1">
        <w:t xml:space="preserve">The revised response variable </w:t>
      </w:r>
      <w:r w:rsidR="00FF3A65">
        <w:t>is the</w:t>
      </w:r>
      <w:r>
        <w:t xml:space="preserve"> relative proportion of macroa</w:t>
      </w:r>
      <w:r w:rsidR="00FF3A65">
        <w:t>lgae within the algal community</w:t>
      </w:r>
      <w:r w:rsidR="00FA2F45">
        <w:t>, expressed</w:t>
      </w:r>
      <w:r w:rsidR="00FF3A65">
        <w:t xml:space="preserve"> </w:t>
      </w:r>
      <w:r>
        <w:t xml:space="preserve">as the percent cover of </w:t>
      </w:r>
      <w:r w:rsidR="006C6631">
        <w:t xml:space="preserve">large structurally complex </w:t>
      </w:r>
      <w:r>
        <w:t>macroalgae</w:t>
      </w:r>
      <w:r w:rsidR="006C6631">
        <w:t xml:space="preserve"> (as opposed to fine filamentous turf or crustose coralline forms)</w:t>
      </w:r>
      <w:r>
        <w:t xml:space="preserve"> as a proportion of the total cover of all </w:t>
      </w:r>
      <w:r w:rsidR="006F1ACE">
        <w:t>algae</w:t>
      </w:r>
      <w:r>
        <w:t xml:space="preserve">. Explicitly if we allow </w:t>
      </w:r>
      <m:oMath>
        <m:sSub>
          <m:sSubPr>
            <m:ctrlPr>
              <w:rPr>
                <w:rFonts w:ascii="Cambria Math" w:hAnsi="Cambria Math"/>
                <w:i/>
                <w:szCs w:val="22"/>
              </w:rPr>
            </m:ctrlPr>
          </m:sSubPr>
          <m:e>
            <m:r>
              <w:rPr>
                <w:rFonts w:ascii="Cambria Math" w:hAnsi="Cambria Math"/>
              </w:rPr>
              <m:t>A</m:t>
            </m:r>
          </m:e>
          <m:sub>
            <m:r>
              <w:rPr>
                <w:rFonts w:ascii="Cambria Math" w:hAnsi="Cambria Math"/>
              </w:rPr>
              <m:t>ij</m:t>
            </m:r>
          </m:sub>
        </m:sSub>
      </m:oMath>
      <w:r>
        <w:t xml:space="preserve"> </w:t>
      </w:r>
      <w:proofErr w:type="gramStart"/>
      <w:r>
        <w:t>to represent</w:t>
      </w:r>
      <w:proofErr w:type="gramEnd"/>
      <w:r>
        <w:t xml:space="preserve"> the percent cover of all algae (</w:t>
      </w:r>
      <m:oMath>
        <m:r>
          <w:rPr>
            <w:rFonts w:ascii="Cambria Math" w:hAnsi="Cambria Math"/>
          </w:rPr>
          <m:t>A</m:t>
        </m:r>
      </m:oMath>
      <w:r>
        <w:t>) at a reef (</w:t>
      </w:r>
      <m:oMath>
        <m:r>
          <w:rPr>
            <w:rFonts w:ascii="Cambria Math" w:hAnsi="Cambria Math"/>
          </w:rPr>
          <m:t>i</m:t>
        </m:r>
      </m:oMath>
      <w:r>
        <w:t>) at time (</w:t>
      </w:r>
      <m:oMath>
        <m:r>
          <w:rPr>
            <w:rFonts w:ascii="Cambria Math" w:hAnsi="Cambria Math"/>
          </w:rPr>
          <m:t>j</m:t>
        </m:r>
      </m:oMath>
      <w:r>
        <w:t xml:space="preserve">) and </w:t>
      </w:r>
      <m:oMath>
        <m:sSub>
          <m:sSubPr>
            <m:ctrlPr>
              <w:rPr>
                <w:rFonts w:ascii="Cambria Math" w:hAnsi="Cambria Math"/>
                <w:i/>
                <w:szCs w:val="22"/>
              </w:rPr>
            </m:ctrlPr>
          </m:sSubPr>
          <m:e>
            <m:r>
              <w:rPr>
                <w:rFonts w:ascii="Cambria Math" w:hAnsi="Cambria Math"/>
              </w:rPr>
              <m:t>MA</m:t>
            </m:r>
          </m:e>
          <m:sub>
            <m:r>
              <w:rPr>
                <w:rFonts w:ascii="Cambria Math" w:hAnsi="Cambria Math"/>
              </w:rPr>
              <m:t>ij</m:t>
            </m:r>
          </m:sub>
        </m:sSub>
      </m:oMath>
      <w:r>
        <w:t xml:space="preserve"> to be the percent cover of macroalgae </w:t>
      </w:r>
      <m:oMath>
        <m:r>
          <w:rPr>
            <w:rFonts w:ascii="Cambria Math" w:hAnsi="Cambria Math"/>
          </w:rPr>
          <m:t>MA</m:t>
        </m:r>
      </m:oMath>
      <w:r>
        <w:t xml:space="preserve"> at a reef (</w:t>
      </w:r>
      <m:oMath>
        <m:r>
          <w:rPr>
            <w:rFonts w:ascii="Cambria Math" w:hAnsi="Cambria Math"/>
          </w:rPr>
          <m:t>i</m:t>
        </m:r>
      </m:oMath>
      <w:r>
        <w:t>) at time (</w:t>
      </w:r>
      <m:oMath>
        <m:r>
          <w:rPr>
            <w:rFonts w:ascii="Cambria Math" w:hAnsi="Cambria Math"/>
          </w:rPr>
          <m:t>j</m:t>
        </m:r>
      </m:oMath>
      <w:r>
        <w:t xml:space="preserve">) then macroalgae indicator response variable </w:t>
      </w:r>
      <m:oMath>
        <m:r>
          <w:rPr>
            <w:rFonts w:ascii="Cambria Math" w:hAnsi="Cambria Math"/>
          </w:rPr>
          <m:t>MAproportion</m:t>
        </m:r>
      </m:oMath>
      <w:r>
        <w:t xml:space="preserve"> is:</w:t>
      </w:r>
    </w:p>
    <w:p w14:paraId="3AE57826" w14:textId="77777777" w:rsidR="007372D2" w:rsidRDefault="00A966BF" w:rsidP="00FF3A65">
      <w:pPr>
        <w:ind w:left="1440" w:firstLine="720"/>
      </w:pPr>
      <m:oMath>
        <m:sSub>
          <m:sSubPr>
            <m:ctrlPr>
              <w:rPr>
                <w:rFonts w:ascii="Cambria Math" w:eastAsiaTheme="minorEastAsia" w:hAnsi="Cambria Math"/>
                <w:i/>
                <w:szCs w:val="22"/>
              </w:rPr>
            </m:ctrlPr>
          </m:sSubPr>
          <m:e>
            <m:r>
              <w:rPr>
                <w:rFonts w:ascii="Cambria Math" w:eastAsiaTheme="minorEastAsia" w:hAnsi="Cambria Math"/>
              </w:rPr>
              <m:t>MAproportion</m:t>
            </m:r>
          </m:e>
          <m:sub>
            <m:r>
              <w:rPr>
                <w:rFonts w:ascii="Cambria Math" w:eastAsiaTheme="minorEastAsia" w:hAnsi="Cambria Math"/>
              </w:rPr>
              <m:t>ij</m:t>
            </m:r>
          </m:sub>
        </m:sSub>
      </m:oMath>
      <w:r w:rsidR="007372D2">
        <w:rPr>
          <w:rFonts w:eastAsiaTheme="minorEastAsia"/>
        </w:rPr>
        <w:t xml:space="preserve"> = </w:t>
      </w:r>
      <m:oMath>
        <m:sSub>
          <m:sSubPr>
            <m:ctrlPr>
              <w:rPr>
                <w:rFonts w:ascii="Cambria Math" w:hAnsi="Cambria Math"/>
                <w:i/>
                <w:szCs w:val="22"/>
              </w:rPr>
            </m:ctrlPr>
          </m:sSubPr>
          <m:e>
            <m:r>
              <w:rPr>
                <w:rFonts w:ascii="Cambria Math" w:hAnsi="Cambria Math"/>
              </w:rPr>
              <m:t>MA</m:t>
            </m:r>
          </m:e>
          <m:sub>
            <m:r>
              <w:rPr>
                <w:rFonts w:ascii="Cambria Math" w:hAnsi="Cambria Math"/>
              </w:rPr>
              <m:t>ij</m:t>
            </m:r>
          </m:sub>
        </m:sSub>
      </m:oMath>
      <w:r w:rsidR="007372D2">
        <w:rPr>
          <w:rFonts w:eastAsiaTheme="minorEastAsia"/>
        </w:rPr>
        <w:t xml:space="preserve"> / </w:t>
      </w:r>
      <m:oMath>
        <m:sSub>
          <m:sSubPr>
            <m:ctrlPr>
              <w:rPr>
                <w:rFonts w:ascii="Cambria Math" w:hAnsi="Cambria Math"/>
                <w:i/>
                <w:szCs w:val="22"/>
              </w:rPr>
            </m:ctrlPr>
          </m:sSubPr>
          <m:e>
            <m:r>
              <w:rPr>
                <w:rFonts w:ascii="Cambria Math" w:hAnsi="Cambria Math"/>
              </w:rPr>
              <m:t>A</m:t>
            </m:r>
          </m:e>
          <m:sub>
            <m:r>
              <w:rPr>
                <w:rFonts w:ascii="Cambria Math" w:hAnsi="Cambria Math"/>
              </w:rPr>
              <m:t>ij</m:t>
            </m:r>
          </m:sub>
        </m:sSub>
      </m:oMath>
    </w:p>
    <w:p w14:paraId="103F0E24" w14:textId="77777777" w:rsidR="003D6C46" w:rsidRDefault="003D6C46" w:rsidP="003045D3">
      <w:r>
        <w:t xml:space="preserve">Within the LTMP and MMP database percent cover of each benthic category is estimated based on the proportional representation of that benthic category within all points identified along point intercept transects. The identification of points follows a hierarchical system allowing aggregation of data into increasingly broad classifications. The hierarchy follows the levels: species, genus, family, benthos, and group. Each point </w:t>
      </w:r>
      <w:r w:rsidR="006561AA">
        <w:t>overlaid</w:t>
      </w:r>
      <w:r>
        <w:t xml:space="preserve"> on photos taken along the photo point intercept transects is assigned a point_code that describes the benthos to the highest taxonomic resolution afforded by image quality and observer skill. This point_code may sit anywhere in the hierarchy listed above and maps automatically with the appropriate higher level taxonomy or propagates that identified level into lower levels. For example an alga identified as the genus </w:t>
      </w:r>
      <w:r>
        <w:rPr>
          <w:i/>
        </w:rPr>
        <w:t xml:space="preserve">Sargassum </w:t>
      </w:r>
      <w:r>
        <w:t>will back</w:t>
      </w:r>
      <w:r w:rsidR="001B5AFA">
        <w:t>-</w:t>
      </w:r>
      <w:r>
        <w:t>fill the species</w:t>
      </w:r>
      <w:r w:rsidR="001B5AFA">
        <w:t>-</w:t>
      </w:r>
      <w:r>
        <w:t xml:space="preserve">level classification </w:t>
      </w:r>
      <w:r w:rsidR="001B5AFA">
        <w:t xml:space="preserve">codes </w:t>
      </w:r>
      <w:r>
        <w:t xml:space="preserve">with </w:t>
      </w:r>
      <w:r>
        <w:rPr>
          <w:i/>
        </w:rPr>
        <w:t xml:space="preserve">Sargassum </w:t>
      </w:r>
      <w:r>
        <w:t>sp. and assign the family to the poly-familial group “Brown macroalgae”, the benthos as macroalgae (benthos_code, MA) and the group as algae (group_code, A). Although genus and family</w:t>
      </w:r>
      <w:r w:rsidR="001B5AFA">
        <w:t>-</w:t>
      </w:r>
      <w:r>
        <w:t>level differentiation is often achieved for macroalgae, the level of benthos_code is consistently achieved, and as such, the percent cover of both macroalgae and total algae are retrievable from the AIMS oracle database tables REEFMON_BENTHOS_SUMMARY_ZEROS and REEFMON_GROUP_SUMMARY_ZEROS respectively.</w:t>
      </w:r>
    </w:p>
    <w:p w14:paraId="5E0E47BA" w14:textId="77777777" w:rsidR="007372D2" w:rsidRDefault="00F352CD" w:rsidP="009139A2">
      <w:pPr>
        <w:pStyle w:val="Heading3"/>
      </w:pPr>
      <w:bookmarkStart w:id="264" w:name="_Toc437424422"/>
      <w:bookmarkStart w:id="265" w:name="_Toc437424546"/>
      <w:bookmarkStart w:id="266" w:name="_Toc437432477"/>
      <w:bookmarkStart w:id="267" w:name="_Toc437432550"/>
      <w:r>
        <w:t>6</w:t>
      </w:r>
      <w:r w:rsidR="00FF1C00">
        <w:t xml:space="preserve">.2.2 </w:t>
      </w:r>
      <w:r w:rsidR="00A228FB">
        <w:t>Selection of threshold values</w:t>
      </w:r>
      <w:r w:rsidR="00FF1C00">
        <w:t xml:space="preserve"> and scoring</w:t>
      </w:r>
      <w:bookmarkEnd w:id="264"/>
      <w:bookmarkEnd w:id="265"/>
      <w:bookmarkEnd w:id="266"/>
      <w:bookmarkEnd w:id="267"/>
    </w:p>
    <w:p w14:paraId="64E2A3CD" w14:textId="77777777" w:rsidR="003D6C46" w:rsidRDefault="003D6C46" w:rsidP="003045D3">
      <w:r>
        <w:t>As natural variation in macroalgae communities occurs along gradients in water quality (De’ ath and Fabricius 2008) reef</w:t>
      </w:r>
      <w:r w:rsidR="001B5AFA">
        <w:t>-</w:t>
      </w:r>
      <w:r>
        <w:t xml:space="preserve">specific thresholds based on ambient environmental conditions are appropriate. For this purpose Generalised Boosted Models (GBM’s, Ridgeway 2007) were applied </w:t>
      </w:r>
      <w:r>
        <w:lastRenderedPageBreak/>
        <w:t xml:space="preserve">separately to the average and minimum </w:t>
      </w:r>
      <w:r>
        <w:rPr>
          <w:i/>
        </w:rPr>
        <w:t>MAproportion</w:t>
      </w:r>
      <w:r>
        <w:t xml:space="preserve"> observed at all MMP and inshore LTMP reefs and depths over the period 2005-2014.</w:t>
      </w:r>
    </w:p>
    <w:p w14:paraId="65B2EBA0" w14:textId="77777777" w:rsidR="007372D2" w:rsidRDefault="007372D2" w:rsidP="003045D3">
      <w:r>
        <w:t xml:space="preserve">At 2m depth the concentration of chlorophyll was the most important of the environmental variables assessed </w:t>
      </w:r>
      <w:r w:rsidR="001B5AFA">
        <w:t>to</w:t>
      </w:r>
      <w:r>
        <w:t xml:space="preserve"> predict </w:t>
      </w:r>
      <w:r>
        <w:rPr>
          <w:i/>
        </w:rPr>
        <w:t>MAproportion</w:t>
      </w:r>
      <w:r w:rsidR="001B5AFA">
        <w:rPr>
          <w:i/>
        </w:rPr>
        <w:t>,</w:t>
      </w:r>
      <w:r>
        <w:t xml:space="preserve"> with </w:t>
      </w:r>
      <w:r>
        <w:rPr>
          <w:i/>
        </w:rPr>
        <w:t>MAproportion</w:t>
      </w:r>
      <w:r>
        <w:t xml:space="preserve"> </w:t>
      </w:r>
      <w:r w:rsidR="001B5AFA">
        <w:t>increasing</w:t>
      </w:r>
      <w:r>
        <w:t xml:space="preserve"> sharply at reefs experiencing mean chlorophyll concentrations in excess of 0.4</w:t>
      </w:r>
      <w:r w:rsidR="001B5AFA">
        <w:rPr>
          <w:rFonts w:cs="Arial"/>
        </w:rPr>
        <w:t>µ</w:t>
      </w:r>
      <w:r>
        <w:t>gL</w:t>
      </w:r>
      <w:r>
        <w:rPr>
          <w:vertAlign w:val="superscript"/>
        </w:rPr>
        <w:t>-1</w:t>
      </w:r>
      <w:r>
        <w:t xml:space="preserve"> (Figure 1</w:t>
      </w:r>
      <w:r w:rsidR="003D6C46">
        <w:t>6a</w:t>
      </w:r>
      <w:r>
        <w:t xml:space="preserve">). </w:t>
      </w:r>
      <w:r>
        <w:rPr>
          <w:i/>
        </w:rPr>
        <w:t>MAproportion</w:t>
      </w:r>
      <w:r>
        <w:t xml:space="preserve"> was also higher at more exposed sites</w:t>
      </w:r>
      <w:r w:rsidR="001B5AFA">
        <w:t xml:space="preserve">, i.e. sites </w:t>
      </w:r>
      <w:r>
        <w:t>where the proportion of clay and silt sized particles in sediments was low</w:t>
      </w:r>
      <w:r w:rsidR="001B5AFA">
        <w:t>,</w:t>
      </w:r>
      <w:r>
        <w:t xml:space="preserve"> and in less turbid water (</w:t>
      </w:r>
      <w:r w:rsidR="00553772">
        <w:fldChar w:fldCharType="begin"/>
      </w:r>
      <w:r w:rsidR="00553772">
        <w:instrText xml:space="preserve"> REF _Ref438122070 \h </w:instrText>
      </w:r>
      <w:r w:rsidR="00553772">
        <w:fldChar w:fldCharType="separate"/>
      </w:r>
      <w:r w:rsidR="00B61881">
        <w:t xml:space="preserve">Figure </w:t>
      </w:r>
      <w:r w:rsidR="00B61881">
        <w:rPr>
          <w:noProof/>
        </w:rPr>
        <w:t>16</w:t>
      </w:r>
      <w:r w:rsidR="00553772">
        <w:fldChar w:fldCharType="end"/>
      </w:r>
      <w:r>
        <w:t>b</w:t>
      </w:r>
      <w:proofErr w:type="gramStart"/>
      <w:r>
        <w:t>,c</w:t>
      </w:r>
      <w:proofErr w:type="gramEnd"/>
      <w:r>
        <w:t>). At 5m depths</w:t>
      </w:r>
      <w:r w:rsidR="001B5AFA">
        <w:t>,</w:t>
      </w:r>
      <w:r>
        <w:t xml:space="preserve"> </w:t>
      </w:r>
      <w:r>
        <w:rPr>
          <w:i/>
        </w:rPr>
        <w:t>MAproportion</w:t>
      </w:r>
      <w:r>
        <w:t xml:space="preserve"> was also higher where chlorophyll concentrations were above 0.4 ugL</w:t>
      </w:r>
      <w:r>
        <w:rPr>
          <w:vertAlign w:val="superscript"/>
        </w:rPr>
        <w:t>-1</w:t>
      </w:r>
      <w:r>
        <w:t xml:space="preserve"> and was lower in sheltered habitats (</w:t>
      </w:r>
      <w:r w:rsidR="00553772">
        <w:fldChar w:fldCharType="begin"/>
      </w:r>
      <w:r w:rsidR="00553772">
        <w:instrText xml:space="preserve"> REF _Ref438122070 \h </w:instrText>
      </w:r>
      <w:r w:rsidR="00553772">
        <w:fldChar w:fldCharType="separate"/>
      </w:r>
      <w:r w:rsidR="00B61881">
        <w:t xml:space="preserve">Figure </w:t>
      </w:r>
      <w:r w:rsidR="00B61881">
        <w:rPr>
          <w:noProof/>
        </w:rPr>
        <w:t>16</w:t>
      </w:r>
      <w:r w:rsidR="00553772">
        <w:fldChar w:fldCharType="end"/>
      </w:r>
      <w:r>
        <w:t>d</w:t>
      </w:r>
      <w:proofErr w:type="gramStart"/>
      <w:r>
        <w:t>,e</w:t>
      </w:r>
      <w:proofErr w:type="gramEnd"/>
      <w:r>
        <w:t>). The influence of turbidity was more pronounced at 5m than at 2m</w:t>
      </w:r>
      <w:r w:rsidR="001B5AFA">
        <w:t>,</w:t>
      </w:r>
      <w:r>
        <w:t xml:space="preserve"> demonstrating the limiting influence of low light on Map (</w:t>
      </w:r>
      <w:r w:rsidR="00553772">
        <w:fldChar w:fldCharType="begin"/>
      </w:r>
      <w:r w:rsidR="00553772">
        <w:instrText xml:space="preserve"> REF _Ref438122070 \h </w:instrText>
      </w:r>
      <w:r w:rsidR="00553772">
        <w:fldChar w:fldCharType="separate"/>
      </w:r>
      <w:r w:rsidR="00B61881">
        <w:t xml:space="preserve">Figure </w:t>
      </w:r>
      <w:r w:rsidR="00B61881">
        <w:rPr>
          <w:noProof/>
        </w:rPr>
        <w:t>16</w:t>
      </w:r>
      <w:r w:rsidR="00553772">
        <w:fldChar w:fldCharType="end"/>
      </w:r>
      <w:r>
        <w:t xml:space="preserve">f). </w:t>
      </w:r>
    </w:p>
    <w:p w14:paraId="1C065881" w14:textId="77777777" w:rsidR="003045D3" w:rsidRDefault="003045D3" w:rsidP="003045D3">
      <w:pPr>
        <w:rPr>
          <w:noProof/>
          <w:lang w:val="en-AU" w:eastAsia="en-AU"/>
        </w:rPr>
      </w:pPr>
      <w:bookmarkStart w:id="268" w:name="_Toc437424311"/>
    </w:p>
    <w:p w14:paraId="3A7E1E9C" w14:textId="77777777" w:rsidR="00D61C95" w:rsidRDefault="007372D2" w:rsidP="003045D3">
      <w:r>
        <w:rPr>
          <w:noProof/>
          <w:lang w:val="en-AU" w:eastAsia="en-AU"/>
        </w:rPr>
        <w:drawing>
          <wp:inline distT="0" distB="0" distL="0" distR="0" wp14:anchorId="1B9B7B68" wp14:editId="36DA12D2">
            <wp:extent cx="5727064" cy="4084320"/>
            <wp:effectExtent l="0" t="0" r="7620" b="0"/>
            <wp:docPr id="41" name="Picture 41" descr="Figure 16: Macroalgae proportion relationships to environmental conditions. Generalised boosted model partial plots demonstrating the relationship between MAproportion and environmental conditions. Pseudo R2 for the full models were 0.15 at 2m and 0.17 at 5m." title="Figure 16: Macroalgae proportion relationships to environmental condi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b="4965"/>
                    <a:stretch/>
                  </pic:blipFill>
                  <pic:spPr bwMode="auto">
                    <a:xfrm>
                      <a:off x="0" y="0"/>
                      <a:ext cx="5724525" cy="4082510"/>
                    </a:xfrm>
                    <a:prstGeom prst="rect">
                      <a:avLst/>
                    </a:prstGeom>
                    <a:noFill/>
                    <a:ln>
                      <a:noFill/>
                    </a:ln>
                    <a:extLst>
                      <a:ext uri="{53640926-AAD7-44D8-BBD7-CCE9431645EC}">
                        <a14:shadowObscured xmlns:a14="http://schemas.microsoft.com/office/drawing/2010/main"/>
                      </a:ext>
                    </a:extLst>
                  </pic:spPr>
                </pic:pic>
              </a:graphicData>
            </a:graphic>
          </wp:inline>
        </w:drawing>
      </w:r>
      <w:bookmarkEnd w:id="268"/>
    </w:p>
    <w:p w14:paraId="13692708" w14:textId="77777777" w:rsidR="006B3B22" w:rsidRPr="006B3B22" w:rsidRDefault="006B3B22" w:rsidP="00E56CF1">
      <w:pPr>
        <w:pStyle w:val="Caption"/>
        <w:rPr>
          <w:vanish/>
        </w:rPr>
      </w:pPr>
      <w:bookmarkStart w:id="269" w:name="_Ref438122070"/>
      <w:bookmarkStart w:id="270" w:name="_Toc437597647"/>
      <w:bookmarkStart w:id="271" w:name="_Toc460490785"/>
      <w:bookmarkStart w:id="272" w:name="_Toc437423861"/>
      <w:bookmarkStart w:id="273" w:name="_Toc437424040"/>
      <w:bookmarkStart w:id="274" w:name="_Toc437424312"/>
      <w:r>
        <w:t xml:space="preserve">Figure </w:t>
      </w:r>
      <w:r w:rsidR="005D2F9F">
        <w:fldChar w:fldCharType="begin"/>
      </w:r>
      <w:r w:rsidR="005D2F9F">
        <w:instrText xml:space="preserve"> SEQ Figure \* ARABIC </w:instrText>
      </w:r>
      <w:r w:rsidR="005D2F9F">
        <w:fldChar w:fldCharType="separate"/>
      </w:r>
      <w:r w:rsidR="00B61881">
        <w:rPr>
          <w:noProof/>
        </w:rPr>
        <w:t>16</w:t>
      </w:r>
      <w:r w:rsidR="005D2F9F">
        <w:rPr>
          <w:noProof/>
        </w:rPr>
        <w:fldChar w:fldCharType="end"/>
      </w:r>
      <w:bookmarkEnd w:id="269"/>
      <w:r>
        <w:t xml:space="preserve">: </w:t>
      </w:r>
      <w:r w:rsidR="00A228FB" w:rsidRPr="003045D3">
        <w:t>Macroalgae proportion relationships to environmental conditions</w:t>
      </w:r>
      <w:bookmarkEnd w:id="270"/>
      <w:bookmarkEnd w:id="271"/>
    </w:p>
    <w:p w14:paraId="440B2803" w14:textId="77777777" w:rsidR="003045D3" w:rsidRPr="003045D3" w:rsidRDefault="00A228FB" w:rsidP="00E56CF1">
      <w:pPr>
        <w:pStyle w:val="Caption"/>
        <w:rPr>
          <w:rStyle w:val="IntenseReference"/>
          <w:rFonts w:eastAsia="SimSun"/>
        </w:rPr>
      </w:pPr>
      <w:bookmarkStart w:id="275" w:name="_Toc437597648"/>
      <w:r w:rsidRPr="003045D3">
        <w:t>.</w:t>
      </w:r>
      <w:r>
        <w:t xml:space="preserve"> </w:t>
      </w:r>
      <w:r w:rsidR="007372D2" w:rsidRPr="003045D3">
        <w:rPr>
          <w:rStyle w:val="IntenseReference"/>
          <w:rFonts w:eastAsia="SimSun"/>
        </w:rPr>
        <w:t xml:space="preserve">Generalised boosted model partial plots demonstrating the relationship between MAproportion and environmental conditions. Pseudo R2 for the full models </w:t>
      </w:r>
      <w:proofErr w:type="gramStart"/>
      <w:r w:rsidR="007372D2" w:rsidRPr="003045D3">
        <w:rPr>
          <w:rStyle w:val="IntenseReference"/>
          <w:rFonts w:eastAsia="SimSun"/>
        </w:rPr>
        <w:t>were</w:t>
      </w:r>
      <w:proofErr w:type="gramEnd"/>
      <w:r w:rsidR="007372D2" w:rsidRPr="003045D3">
        <w:rPr>
          <w:rStyle w:val="IntenseReference"/>
          <w:rFonts w:eastAsia="SimSun"/>
        </w:rPr>
        <w:t xml:space="preserve"> 0.15 at 2m and 0.17 at 5m.</w:t>
      </w:r>
      <w:bookmarkEnd w:id="272"/>
      <w:bookmarkEnd w:id="273"/>
      <w:bookmarkEnd w:id="274"/>
      <w:bookmarkEnd w:id="275"/>
    </w:p>
    <w:p w14:paraId="7B0AC737" w14:textId="77777777" w:rsidR="001B5AFA" w:rsidRDefault="001B5AFA" w:rsidP="003045D3"/>
    <w:p w14:paraId="678977CC" w14:textId="77777777" w:rsidR="007372D2" w:rsidRPr="003045D3" w:rsidRDefault="007372D2" w:rsidP="003045D3">
      <w:pPr>
        <w:rPr>
          <w:rFonts w:ascii="Arial Narrow" w:eastAsia="SimSun" w:hAnsi="Arial Narrow"/>
          <w:bCs/>
          <w:color w:val="000000" w:themeColor="text1"/>
          <w:sz w:val="20"/>
        </w:rPr>
      </w:pPr>
      <w:r>
        <w:t xml:space="preserve">Based on the </w:t>
      </w:r>
      <w:r w:rsidR="003D6C46">
        <w:t>GBM</w:t>
      </w:r>
      <w:r>
        <w:t xml:space="preserve"> results</w:t>
      </w:r>
      <w:r w:rsidR="001B5AFA">
        <w:t>,</w:t>
      </w:r>
      <w:r>
        <w:t xml:space="preserve"> it is clear that the combination of water quality and hydrodynamic setting influenced the relative abundance of macroalgae within algal communities. As such it is not appropriate to have consistent expectations of </w:t>
      </w:r>
      <w:r>
        <w:rPr>
          <w:i/>
        </w:rPr>
        <w:t>MAproportion</w:t>
      </w:r>
      <w:r w:rsidR="001B5AFA">
        <w:t xml:space="preserve"> across all sites. </w:t>
      </w:r>
      <w:r>
        <w:t>For each reef and depth</w:t>
      </w:r>
      <w:r w:rsidR="001B5AFA">
        <w:t>,</w:t>
      </w:r>
      <w:r>
        <w:t xml:space="preserve"> the predicted </w:t>
      </w:r>
      <w:r>
        <w:rPr>
          <w:i/>
        </w:rPr>
        <w:t>MAproportion</w:t>
      </w:r>
      <w:r>
        <w:t xml:space="preserve"> from the </w:t>
      </w:r>
      <w:r w:rsidR="003D6C46">
        <w:t>GBM’s</w:t>
      </w:r>
      <w:r>
        <w:t xml:space="preserve"> was extracted as the upper threshold for </w:t>
      </w:r>
      <w:r>
        <w:rPr>
          <w:i/>
        </w:rPr>
        <w:t>MAproportion</w:t>
      </w:r>
      <w:r>
        <w:t xml:space="preserve"> (</w:t>
      </w:r>
      <w:r w:rsidR="00553772">
        <w:fldChar w:fldCharType="begin"/>
      </w:r>
      <w:r w:rsidR="00553772">
        <w:instrText xml:space="preserve"> REF _Ref438122103 \h </w:instrText>
      </w:r>
      <w:r w:rsidR="00553772">
        <w:fldChar w:fldCharType="separate"/>
      </w:r>
      <w:r w:rsidR="00B61881">
        <w:t xml:space="preserve">Table </w:t>
      </w:r>
      <w:r w:rsidR="00B61881">
        <w:rPr>
          <w:noProof/>
        </w:rPr>
        <w:t>4</w:t>
      </w:r>
      <w:r w:rsidR="00553772">
        <w:fldChar w:fldCharType="end"/>
      </w:r>
      <w:r>
        <w:t xml:space="preserve">). The reason for considering the predicted level as the upper bound for </w:t>
      </w:r>
      <w:r>
        <w:rPr>
          <w:i/>
        </w:rPr>
        <w:t>MAproportion</w:t>
      </w:r>
      <w:r>
        <w:t xml:space="preserve"> is that the response of macroalgal communities to Chl a as a proxy for nutrient availability must be considered as being a worst case scenario in terms of the relationship between water quality and this indicator. On the one hand the period (2005-2014) of observations leading to these predictions began at the beginning of Reef Plan when it could be assumed that loads of nutrients were at a maximum. Although Reef Plan actions throughout the period have resulted in improvements in management practice (</w:t>
      </w:r>
      <w:r>
        <w:rPr>
          <w:color w:val="000000" w:themeColor="text1"/>
        </w:rPr>
        <w:t>Anon</w:t>
      </w:r>
      <w:r w:rsidR="005345E1">
        <w:rPr>
          <w:color w:val="000000" w:themeColor="text1"/>
        </w:rPr>
        <w:t>.</w:t>
      </w:r>
      <w:r>
        <w:rPr>
          <w:color w:val="000000" w:themeColor="text1"/>
        </w:rPr>
        <w:t xml:space="preserve"> 2015)</w:t>
      </w:r>
      <w:r w:rsidR="001B5AFA">
        <w:rPr>
          <w:color w:val="000000" w:themeColor="text1"/>
        </w:rPr>
        <w:t>,</w:t>
      </w:r>
      <w:r>
        <w:rPr>
          <w:color w:val="000000" w:themeColor="text1"/>
        </w:rPr>
        <w:t xml:space="preserve"> </w:t>
      </w:r>
      <w:r>
        <w:t xml:space="preserve">the period 2007-2013 was particularly wet resulting in high flows </w:t>
      </w:r>
      <w:r w:rsidR="001B5AFA">
        <w:t>with</w:t>
      </w:r>
      <w:r>
        <w:t xml:space="preserve"> high loads of nutrients and sediments entering the reef (Turner </w:t>
      </w:r>
      <w:r>
        <w:rPr>
          <w:i/>
        </w:rPr>
        <w:t>et al.</w:t>
      </w:r>
      <w:r w:rsidR="009F400E">
        <w:t xml:space="preserve"> </w:t>
      </w:r>
      <w:r w:rsidR="009F400E">
        <w:lastRenderedPageBreak/>
        <w:t>2012,</w:t>
      </w:r>
      <w:r w:rsidR="001B5AFA">
        <w:t xml:space="preserve"> </w:t>
      </w:r>
      <w:r w:rsidR="009F400E">
        <w:t>2013</w:t>
      </w:r>
      <w:r w:rsidR="001B5AFA">
        <w:t>;</w:t>
      </w:r>
      <w:r>
        <w:t xml:space="preserve"> Wallace </w:t>
      </w:r>
      <w:r>
        <w:rPr>
          <w:i/>
        </w:rPr>
        <w:t>et al.</w:t>
      </w:r>
      <w:r>
        <w:t xml:space="preserve"> 2014,</w:t>
      </w:r>
      <w:r w:rsidR="001B5AFA">
        <w:t xml:space="preserve"> 2015). </w:t>
      </w:r>
      <w:r>
        <w:t>In combination</w:t>
      </w:r>
      <w:r w:rsidR="001B5AFA">
        <w:t xml:space="preserve">, </w:t>
      </w:r>
      <w:r>
        <w:t xml:space="preserve">it should be considered that any increase in </w:t>
      </w:r>
      <w:r>
        <w:rPr>
          <w:i/>
        </w:rPr>
        <w:t>MAproportion</w:t>
      </w:r>
      <w:r>
        <w:t xml:space="preserve"> above these levels would be counter to the underlying goals of Reef Plan.</w:t>
      </w:r>
    </w:p>
    <w:p w14:paraId="1FC5BFD4" w14:textId="77777777" w:rsidR="007372D2" w:rsidRDefault="007372D2" w:rsidP="003045D3">
      <w:r>
        <w:t xml:space="preserve">An additional consideration in setting the upper threshold for </w:t>
      </w:r>
      <w:r>
        <w:rPr>
          <w:i/>
        </w:rPr>
        <w:t>MAproportion</w:t>
      </w:r>
      <w:r>
        <w:t xml:space="preserve"> is the ecological influence of </w:t>
      </w:r>
      <w:r w:rsidR="006F4930">
        <w:t>macroalgae</w:t>
      </w:r>
      <w:r>
        <w:t xml:space="preserve"> on other indicator</w:t>
      </w:r>
      <w:r w:rsidR="001B5AFA">
        <w:t>s of coral community condition.</w:t>
      </w:r>
      <w:r>
        <w:t xml:space="preserve"> Regression tree analyses that included </w:t>
      </w:r>
      <w:r>
        <w:rPr>
          <w:i/>
        </w:rPr>
        <w:t>MAproportion</w:t>
      </w:r>
      <w:r>
        <w:t xml:space="preserve"> as the predictor variable indicated reduced levels of the </w:t>
      </w:r>
      <w:r w:rsidR="001B5AFA">
        <w:t xml:space="preserve">other three </w:t>
      </w:r>
      <w:r>
        <w:t>i</w:t>
      </w:r>
      <w:r w:rsidR="006F1ACE">
        <w:t>ndicator metrics</w:t>
      </w:r>
      <w:r>
        <w:t xml:space="preserve"> juvenile density, coral cover and the rate of change in coral cover at higher levels of </w:t>
      </w:r>
      <w:r>
        <w:rPr>
          <w:i/>
        </w:rPr>
        <w:t>MAproportion</w:t>
      </w:r>
      <w:r>
        <w:t xml:space="preserve">. These thresholds for an ecological impact serve as potential caps for </w:t>
      </w:r>
      <w:r>
        <w:rPr>
          <w:i/>
        </w:rPr>
        <w:t>MAproportion</w:t>
      </w:r>
      <w:r w:rsidR="001B5AFA">
        <w:t xml:space="preserve"> at any given reef. </w:t>
      </w:r>
      <w:r>
        <w:t xml:space="preserve">The thresholds for an influence of </w:t>
      </w:r>
      <w:r>
        <w:rPr>
          <w:i/>
        </w:rPr>
        <w:t>MAproportion</w:t>
      </w:r>
      <w:r>
        <w:t xml:space="preserve"> are</w:t>
      </w:r>
      <w:r w:rsidR="001B5AFA">
        <w:t>,</w:t>
      </w:r>
      <w:r>
        <w:t xml:space="preserve"> however</w:t>
      </w:r>
      <w:r w:rsidR="001B5AFA">
        <w:t>,</w:t>
      </w:r>
      <w:r>
        <w:t xml:space="preserve"> variable both between indicators and depths. To set caps to the upper bound of </w:t>
      </w:r>
      <w:r>
        <w:rPr>
          <w:i/>
        </w:rPr>
        <w:t>MAproportion</w:t>
      </w:r>
      <w:r>
        <w:t xml:space="preserve"> across all reefs at either 2 m or 5 m depths the mean of the thresholds evident for the three indicators was taken resulting in an upper bound cap of 23% at 2 m and a 25% at 5 m. The upper bounds for any reefs </w:t>
      </w:r>
      <w:r w:rsidR="004D3625">
        <w:t>with</w:t>
      </w:r>
      <w:r>
        <w:t xml:space="preserve"> predicted </w:t>
      </w:r>
      <w:r>
        <w:rPr>
          <w:i/>
        </w:rPr>
        <w:t>MAproportion</w:t>
      </w:r>
      <w:r>
        <w:t xml:space="preserve"> higher than these caps were reduced to the cap level (</w:t>
      </w:r>
      <w:r w:rsidR="00553772">
        <w:fldChar w:fldCharType="begin"/>
      </w:r>
      <w:r w:rsidR="00553772">
        <w:instrText xml:space="preserve"> REF _Ref438122103 \h </w:instrText>
      </w:r>
      <w:r w:rsidR="00553772">
        <w:fldChar w:fldCharType="separate"/>
      </w:r>
      <w:r w:rsidR="00B61881">
        <w:t xml:space="preserve">Table </w:t>
      </w:r>
      <w:r w:rsidR="00B61881">
        <w:rPr>
          <w:noProof/>
        </w:rPr>
        <w:t>4</w:t>
      </w:r>
      <w:r w:rsidR="00553772">
        <w:fldChar w:fldCharType="end"/>
      </w:r>
      <w:r>
        <w:t>).</w:t>
      </w:r>
    </w:p>
    <w:p w14:paraId="005CDF04" w14:textId="77777777" w:rsidR="007372D2" w:rsidRDefault="007372D2" w:rsidP="003045D3">
      <w:pPr>
        <w:rPr>
          <w:color w:val="000000"/>
        </w:rPr>
      </w:pPr>
      <w:r>
        <w:rPr>
          <w:color w:val="000000"/>
        </w:rPr>
        <w:t xml:space="preserve">The setting of lower bounds was based primarily </w:t>
      </w:r>
      <w:r w:rsidR="004D3625">
        <w:rPr>
          <w:color w:val="000000"/>
        </w:rPr>
        <w:t>on</w:t>
      </w:r>
      <w:r>
        <w:rPr>
          <w:color w:val="000000"/>
        </w:rPr>
        <w:t xml:space="preserve"> the consideration of what was an achievable lower </w:t>
      </w:r>
      <w:r>
        <w:rPr>
          <w:i/>
        </w:rPr>
        <w:t>MAproportion</w:t>
      </w:r>
      <w:r>
        <w:rPr>
          <w:color w:val="000000"/>
        </w:rPr>
        <w:t xml:space="preserve"> based on the </w:t>
      </w:r>
      <w:r w:rsidR="006F4930">
        <w:rPr>
          <w:color w:val="000000"/>
        </w:rPr>
        <w:t>ambient</w:t>
      </w:r>
      <w:r>
        <w:rPr>
          <w:color w:val="000000"/>
        </w:rPr>
        <w:t xml:space="preserve"> environm</w:t>
      </w:r>
      <w:r w:rsidR="004D3625">
        <w:rPr>
          <w:color w:val="000000"/>
        </w:rPr>
        <w:t xml:space="preserve">ental setting of a given reef. </w:t>
      </w:r>
      <w:r>
        <w:rPr>
          <w:color w:val="000000"/>
        </w:rPr>
        <w:t xml:space="preserve">A second set of </w:t>
      </w:r>
      <w:r w:rsidR="006F4930">
        <w:rPr>
          <w:color w:val="000000"/>
        </w:rPr>
        <w:t xml:space="preserve">GBM’s </w:t>
      </w:r>
      <w:r>
        <w:rPr>
          <w:color w:val="000000"/>
        </w:rPr>
        <w:t xml:space="preserve">was applied to the minimum </w:t>
      </w:r>
      <w:r>
        <w:rPr>
          <w:i/>
        </w:rPr>
        <w:t>MAproportion</w:t>
      </w:r>
      <w:r>
        <w:rPr>
          <w:color w:val="000000"/>
        </w:rPr>
        <w:t xml:space="preserve"> observed at each reef over the </w:t>
      </w:r>
      <w:r w:rsidR="00FF1C00">
        <w:rPr>
          <w:color w:val="000000"/>
        </w:rPr>
        <w:t>period 2005-2014</w:t>
      </w:r>
      <w:r>
        <w:rPr>
          <w:color w:val="000000"/>
        </w:rPr>
        <w:t xml:space="preserve">. The predictions from these models were taken as the lower bound for </w:t>
      </w:r>
      <w:r>
        <w:rPr>
          <w:i/>
        </w:rPr>
        <w:t>MAproportion</w:t>
      </w:r>
      <w:r>
        <w:rPr>
          <w:color w:val="000000"/>
        </w:rPr>
        <w:t xml:space="preserve"> as representing the lower levels of </w:t>
      </w:r>
      <w:r>
        <w:rPr>
          <w:i/>
        </w:rPr>
        <w:t>MAproportion</w:t>
      </w:r>
      <w:r>
        <w:rPr>
          <w:color w:val="000000"/>
        </w:rPr>
        <w:t xml:space="preserve"> that could reasonably be expected at the different locations along the en</w:t>
      </w:r>
      <w:r w:rsidR="006F4930">
        <w:rPr>
          <w:color w:val="000000"/>
        </w:rPr>
        <w:t>vironmental gradients (</w:t>
      </w:r>
      <w:r w:rsidR="00553772">
        <w:rPr>
          <w:color w:val="000000"/>
        </w:rPr>
        <w:fldChar w:fldCharType="begin"/>
      </w:r>
      <w:r w:rsidR="00553772">
        <w:rPr>
          <w:color w:val="000000"/>
        </w:rPr>
        <w:instrText xml:space="preserve"> REF _Ref438122103 \h </w:instrText>
      </w:r>
      <w:r w:rsidR="00553772">
        <w:rPr>
          <w:color w:val="000000"/>
        </w:rPr>
      </w:r>
      <w:r w:rsidR="00553772">
        <w:rPr>
          <w:color w:val="000000"/>
        </w:rPr>
        <w:fldChar w:fldCharType="separate"/>
      </w:r>
      <w:r w:rsidR="00B61881">
        <w:t xml:space="preserve">Table </w:t>
      </w:r>
      <w:r w:rsidR="00B61881">
        <w:rPr>
          <w:noProof/>
        </w:rPr>
        <w:t>4</w:t>
      </w:r>
      <w:r w:rsidR="00553772">
        <w:rPr>
          <w:color w:val="000000"/>
        </w:rPr>
        <w:fldChar w:fldCharType="end"/>
      </w:r>
      <w:r w:rsidR="006F4930">
        <w:rPr>
          <w:color w:val="000000"/>
        </w:rPr>
        <w:t>)</w:t>
      </w:r>
      <w:r>
        <w:rPr>
          <w:color w:val="000000"/>
        </w:rPr>
        <w:t xml:space="preserve">. Scoring the </w:t>
      </w:r>
      <w:r>
        <w:rPr>
          <w:i/>
        </w:rPr>
        <w:t>MAproportion</w:t>
      </w:r>
      <w:r>
        <w:rPr>
          <w:color w:val="000000"/>
        </w:rPr>
        <w:t xml:space="preserve"> indicator at each reef linearly scales from 0 when </w:t>
      </w:r>
      <w:r>
        <w:rPr>
          <w:i/>
        </w:rPr>
        <w:t>MAproportion</w:t>
      </w:r>
      <w:r>
        <w:rPr>
          <w:color w:val="000000"/>
        </w:rPr>
        <w:t xml:space="preserve"> is at or above the upper threshold through to 1 when </w:t>
      </w:r>
      <w:r>
        <w:rPr>
          <w:i/>
        </w:rPr>
        <w:t>MAproportion</w:t>
      </w:r>
      <w:r>
        <w:rPr>
          <w:color w:val="000000"/>
        </w:rPr>
        <w:t xml:space="preserve"> is at or bel</w:t>
      </w:r>
      <w:r w:rsidR="006F4930">
        <w:rPr>
          <w:color w:val="000000"/>
        </w:rPr>
        <w:t>ow the lower threshold (</w:t>
      </w:r>
      <w:r w:rsidR="00553772">
        <w:rPr>
          <w:color w:val="000000"/>
        </w:rPr>
        <w:fldChar w:fldCharType="begin"/>
      </w:r>
      <w:r w:rsidR="00553772">
        <w:rPr>
          <w:color w:val="000000"/>
        </w:rPr>
        <w:instrText xml:space="preserve"> REF _Ref438122135 \h </w:instrText>
      </w:r>
      <w:r w:rsidR="00553772">
        <w:rPr>
          <w:color w:val="000000"/>
        </w:rPr>
      </w:r>
      <w:r w:rsidR="00553772">
        <w:rPr>
          <w:color w:val="000000"/>
        </w:rPr>
        <w:fldChar w:fldCharType="separate"/>
      </w:r>
      <w:r w:rsidR="00B61881">
        <w:t xml:space="preserve">Figure </w:t>
      </w:r>
      <w:r w:rsidR="00B61881">
        <w:rPr>
          <w:noProof/>
        </w:rPr>
        <w:t>17</w:t>
      </w:r>
      <w:r w:rsidR="00553772">
        <w:rPr>
          <w:color w:val="000000"/>
        </w:rPr>
        <w:fldChar w:fldCharType="end"/>
      </w:r>
      <w:r>
        <w:rPr>
          <w:color w:val="000000"/>
        </w:rPr>
        <w:t>).</w:t>
      </w:r>
      <w:r w:rsidR="002E6A21">
        <w:rPr>
          <w:color w:val="000000"/>
        </w:rPr>
        <w:t xml:space="preserve"> </w:t>
      </w:r>
    </w:p>
    <w:p w14:paraId="05E45C5F" w14:textId="77777777" w:rsidR="007372D2" w:rsidRDefault="0026052F" w:rsidP="00EE5DC8">
      <w:pPr>
        <w:pStyle w:val="Heading7"/>
        <w:rPr>
          <w:color w:val="000000"/>
        </w:rPr>
      </w:pPr>
      <w:bookmarkStart w:id="276" w:name="_Ref438122103"/>
      <w:bookmarkStart w:id="277" w:name="_Toc437424423"/>
      <w:bookmarkStart w:id="278" w:name="_Toc437424547"/>
      <w:bookmarkStart w:id="279" w:name="_Toc437432478"/>
      <w:bookmarkStart w:id="280" w:name="_Toc437432551"/>
      <w:bookmarkStart w:id="281" w:name="_Toc453855051"/>
      <w:proofErr w:type="gramStart"/>
      <w:r>
        <w:t xml:space="preserve">Table </w:t>
      </w:r>
      <w:r w:rsidR="005D2F9F">
        <w:fldChar w:fldCharType="begin"/>
      </w:r>
      <w:r w:rsidR="005D2F9F">
        <w:instrText xml:space="preserve"> SEQ Table \* ARABIC </w:instrText>
      </w:r>
      <w:r w:rsidR="005D2F9F">
        <w:fldChar w:fldCharType="separate"/>
      </w:r>
      <w:r w:rsidR="00B61881">
        <w:rPr>
          <w:noProof/>
        </w:rPr>
        <w:t>4</w:t>
      </w:r>
      <w:r w:rsidR="005D2F9F">
        <w:rPr>
          <w:noProof/>
        </w:rPr>
        <w:fldChar w:fldCharType="end"/>
      </w:r>
      <w:bookmarkEnd w:id="276"/>
      <w:r>
        <w:t>:</w:t>
      </w:r>
      <w:r w:rsidR="003045D3">
        <w:t xml:space="preserve"> </w:t>
      </w:r>
      <w:r w:rsidR="007372D2" w:rsidRPr="003045D3">
        <w:t>Thresholds for proportion of macroalgae in the algae communities</w:t>
      </w:r>
      <w:bookmarkEnd w:id="277"/>
      <w:bookmarkEnd w:id="278"/>
      <w:r w:rsidR="00FF1C00">
        <w:rPr>
          <w:color w:val="000000"/>
        </w:rPr>
        <w:t>.</w:t>
      </w:r>
      <w:bookmarkEnd w:id="279"/>
      <w:bookmarkEnd w:id="280"/>
      <w:bookmarkEnd w:id="281"/>
      <w:proofErr w:type="gramEnd"/>
    </w:p>
    <w:tbl>
      <w:tblPr>
        <w:tblStyle w:val="TableGrid"/>
        <w:tblW w:w="0" w:type="auto"/>
        <w:tblInd w:w="250" w:type="dxa"/>
        <w:tblLook w:val="04A0" w:firstRow="1" w:lastRow="0" w:firstColumn="1" w:lastColumn="0" w:noHBand="0" w:noVBand="1"/>
        <w:tblCaption w:val="Table 4: Thresholds for proportion of macroalgae in the algae communities."/>
        <w:tblDescription w:val="Table 4: Thresholds for proportion of macroalgae in the algae communities."/>
      </w:tblPr>
      <w:tblGrid>
        <w:gridCol w:w="1701"/>
        <w:gridCol w:w="709"/>
        <w:gridCol w:w="709"/>
        <w:gridCol w:w="708"/>
        <w:gridCol w:w="709"/>
        <w:gridCol w:w="284"/>
        <w:gridCol w:w="1701"/>
        <w:gridCol w:w="708"/>
        <w:gridCol w:w="709"/>
        <w:gridCol w:w="709"/>
        <w:gridCol w:w="709"/>
      </w:tblGrid>
      <w:tr w:rsidR="007372D2" w14:paraId="79F539DF" w14:textId="77777777" w:rsidTr="00C32638">
        <w:trPr>
          <w:cantSplit/>
          <w:trHeight w:hRule="exact" w:val="284"/>
          <w:tblHeader/>
        </w:trPr>
        <w:tc>
          <w:tcPr>
            <w:tcW w:w="1701" w:type="dxa"/>
            <w:vMerge w:val="restart"/>
            <w:tcBorders>
              <w:top w:val="single" w:sz="4" w:space="0" w:color="auto"/>
              <w:left w:val="single" w:sz="4" w:space="0" w:color="auto"/>
              <w:bottom w:val="single" w:sz="4" w:space="0" w:color="auto"/>
              <w:right w:val="single" w:sz="4" w:space="0" w:color="auto"/>
            </w:tcBorders>
            <w:noWrap/>
            <w:vAlign w:val="center"/>
            <w:hideMark/>
          </w:tcPr>
          <w:p w14:paraId="24B859AB" w14:textId="77777777" w:rsidR="007372D2" w:rsidRPr="00EE5DC8" w:rsidRDefault="007372D2" w:rsidP="00A228FB">
            <w:pPr>
              <w:spacing w:after="120"/>
              <w:jc w:val="center"/>
              <w:rPr>
                <w:rStyle w:val="IntenseReference"/>
              </w:rPr>
            </w:pPr>
            <w:r w:rsidRPr="00EE5DC8">
              <w:rPr>
                <w:rStyle w:val="IntenseReference"/>
              </w:rPr>
              <w:t>Reef</w:t>
            </w:r>
          </w:p>
        </w:tc>
        <w:tc>
          <w:tcPr>
            <w:tcW w:w="1418" w:type="dxa"/>
            <w:gridSpan w:val="2"/>
            <w:tcBorders>
              <w:top w:val="single" w:sz="4" w:space="0" w:color="auto"/>
              <w:left w:val="single" w:sz="4" w:space="0" w:color="auto"/>
              <w:bottom w:val="single" w:sz="4" w:space="0" w:color="auto"/>
              <w:right w:val="single" w:sz="4" w:space="0" w:color="auto"/>
            </w:tcBorders>
            <w:noWrap/>
            <w:vAlign w:val="center"/>
            <w:hideMark/>
          </w:tcPr>
          <w:p w14:paraId="4F54BCF6" w14:textId="77777777" w:rsidR="007372D2" w:rsidRPr="00EE5DC8" w:rsidRDefault="007372D2" w:rsidP="00A228FB">
            <w:pPr>
              <w:spacing w:after="120"/>
              <w:jc w:val="center"/>
              <w:rPr>
                <w:rStyle w:val="IntenseReference"/>
              </w:rPr>
            </w:pPr>
            <w:r w:rsidRPr="00EE5DC8">
              <w:rPr>
                <w:rStyle w:val="IntenseReference"/>
              </w:rPr>
              <w:t>2m Depth</w:t>
            </w:r>
          </w:p>
        </w:tc>
        <w:tc>
          <w:tcPr>
            <w:tcW w:w="1417" w:type="dxa"/>
            <w:gridSpan w:val="2"/>
            <w:tcBorders>
              <w:top w:val="single" w:sz="4" w:space="0" w:color="auto"/>
              <w:left w:val="single" w:sz="4" w:space="0" w:color="auto"/>
              <w:bottom w:val="single" w:sz="4" w:space="0" w:color="auto"/>
              <w:right w:val="single" w:sz="4" w:space="0" w:color="auto"/>
            </w:tcBorders>
            <w:noWrap/>
            <w:vAlign w:val="center"/>
            <w:hideMark/>
          </w:tcPr>
          <w:p w14:paraId="00E21A1A" w14:textId="77777777" w:rsidR="007372D2" w:rsidRPr="00EE5DC8" w:rsidRDefault="007372D2" w:rsidP="00A228FB">
            <w:pPr>
              <w:spacing w:after="120"/>
              <w:jc w:val="center"/>
              <w:rPr>
                <w:rStyle w:val="IntenseReference"/>
              </w:rPr>
            </w:pPr>
            <w:r w:rsidRPr="00EE5DC8">
              <w:rPr>
                <w:rStyle w:val="IntenseReference"/>
              </w:rPr>
              <w:t>5m Depth</w:t>
            </w:r>
          </w:p>
        </w:tc>
        <w:tc>
          <w:tcPr>
            <w:tcW w:w="284" w:type="dxa"/>
            <w:tcBorders>
              <w:top w:val="single" w:sz="4" w:space="0" w:color="auto"/>
              <w:left w:val="single" w:sz="4" w:space="0" w:color="auto"/>
              <w:bottom w:val="nil"/>
              <w:right w:val="single" w:sz="4" w:space="0" w:color="auto"/>
            </w:tcBorders>
            <w:noWrap/>
            <w:vAlign w:val="center"/>
          </w:tcPr>
          <w:p w14:paraId="7D100273" w14:textId="77777777" w:rsidR="007372D2" w:rsidRPr="00EE5DC8" w:rsidRDefault="007372D2" w:rsidP="00A228FB">
            <w:pPr>
              <w:spacing w:after="120"/>
              <w:jc w:val="center"/>
              <w:rPr>
                <w:rStyle w:val="IntenseReference"/>
              </w:rPr>
            </w:pPr>
          </w:p>
        </w:tc>
        <w:tc>
          <w:tcPr>
            <w:tcW w:w="1701" w:type="dxa"/>
            <w:vMerge w:val="restart"/>
            <w:tcBorders>
              <w:top w:val="single" w:sz="4" w:space="0" w:color="auto"/>
              <w:left w:val="single" w:sz="4" w:space="0" w:color="auto"/>
              <w:bottom w:val="single" w:sz="4" w:space="0" w:color="auto"/>
              <w:right w:val="single" w:sz="4" w:space="0" w:color="auto"/>
            </w:tcBorders>
            <w:noWrap/>
            <w:vAlign w:val="center"/>
            <w:hideMark/>
          </w:tcPr>
          <w:p w14:paraId="6A3B0005" w14:textId="77777777" w:rsidR="007372D2" w:rsidRPr="00EE5DC8" w:rsidRDefault="007372D2" w:rsidP="00A228FB">
            <w:pPr>
              <w:spacing w:after="120"/>
              <w:jc w:val="center"/>
              <w:rPr>
                <w:rStyle w:val="IntenseReference"/>
              </w:rPr>
            </w:pPr>
            <w:r w:rsidRPr="00EE5DC8">
              <w:rPr>
                <w:rStyle w:val="IntenseReference"/>
              </w:rPr>
              <w:t>Reef</w:t>
            </w:r>
          </w:p>
        </w:tc>
        <w:tc>
          <w:tcPr>
            <w:tcW w:w="1417" w:type="dxa"/>
            <w:gridSpan w:val="2"/>
            <w:tcBorders>
              <w:top w:val="single" w:sz="4" w:space="0" w:color="auto"/>
              <w:left w:val="single" w:sz="4" w:space="0" w:color="auto"/>
              <w:bottom w:val="single" w:sz="4" w:space="0" w:color="auto"/>
              <w:right w:val="single" w:sz="4" w:space="0" w:color="auto"/>
            </w:tcBorders>
            <w:noWrap/>
            <w:vAlign w:val="center"/>
            <w:hideMark/>
          </w:tcPr>
          <w:p w14:paraId="747CAA23" w14:textId="77777777" w:rsidR="007372D2" w:rsidRPr="00EE5DC8" w:rsidRDefault="007372D2" w:rsidP="00A228FB">
            <w:pPr>
              <w:spacing w:after="120"/>
              <w:jc w:val="center"/>
              <w:rPr>
                <w:rStyle w:val="IntenseReference"/>
              </w:rPr>
            </w:pPr>
            <w:r w:rsidRPr="00EE5DC8">
              <w:rPr>
                <w:rStyle w:val="IntenseReference"/>
              </w:rPr>
              <w:t>2m Depth</w:t>
            </w:r>
          </w:p>
        </w:tc>
        <w:tc>
          <w:tcPr>
            <w:tcW w:w="1418" w:type="dxa"/>
            <w:gridSpan w:val="2"/>
            <w:tcBorders>
              <w:top w:val="single" w:sz="4" w:space="0" w:color="auto"/>
              <w:left w:val="single" w:sz="4" w:space="0" w:color="auto"/>
              <w:bottom w:val="single" w:sz="4" w:space="0" w:color="auto"/>
              <w:right w:val="single" w:sz="4" w:space="0" w:color="auto"/>
            </w:tcBorders>
            <w:noWrap/>
            <w:vAlign w:val="center"/>
            <w:hideMark/>
          </w:tcPr>
          <w:p w14:paraId="6D97F740" w14:textId="77777777" w:rsidR="007372D2" w:rsidRPr="00EE5DC8" w:rsidRDefault="007372D2" w:rsidP="00A228FB">
            <w:pPr>
              <w:spacing w:after="120"/>
              <w:jc w:val="center"/>
              <w:rPr>
                <w:rStyle w:val="IntenseReference"/>
              </w:rPr>
            </w:pPr>
            <w:r w:rsidRPr="00EE5DC8">
              <w:rPr>
                <w:rStyle w:val="IntenseReference"/>
              </w:rPr>
              <w:t>5m Depth</w:t>
            </w:r>
          </w:p>
        </w:tc>
      </w:tr>
      <w:tr w:rsidR="007372D2" w14:paraId="23BC7492" w14:textId="77777777" w:rsidTr="00C32638">
        <w:trPr>
          <w:cantSplit/>
          <w:trHeight w:hRule="exact" w:val="851"/>
          <w:tblHeader/>
        </w:trPr>
        <w:tc>
          <w:tcPr>
            <w:tcW w:w="1701" w:type="dxa"/>
            <w:vMerge/>
            <w:tcBorders>
              <w:top w:val="single" w:sz="4" w:space="0" w:color="auto"/>
              <w:left w:val="single" w:sz="4" w:space="0" w:color="auto"/>
              <w:bottom w:val="single" w:sz="4" w:space="0" w:color="auto"/>
              <w:right w:val="single" w:sz="4" w:space="0" w:color="auto"/>
            </w:tcBorders>
            <w:vAlign w:val="center"/>
            <w:hideMark/>
          </w:tcPr>
          <w:p w14:paraId="4FBA284E" w14:textId="77777777" w:rsidR="007372D2" w:rsidRPr="00EE5DC8" w:rsidRDefault="007372D2" w:rsidP="00A228FB">
            <w:pPr>
              <w:spacing w:after="120"/>
              <w:rPr>
                <w:rStyle w:val="IntenseReference"/>
                <w:rFonts w:eastAsia="SimSun"/>
              </w:rPr>
            </w:pP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33A921C3" w14:textId="77777777" w:rsidR="007372D2" w:rsidRPr="00EE5DC8" w:rsidRDefault="007372D2" w:rsidP="00A228FB">
            <w:pPr>
              <w:spacing w:after="120"/>
              <w:ind w:left="113" w:right="113"/>
              <w:rPr>
                <w:rStyle w:val="IntenseReference"/>
              </w:rPr>
            </w:pPr>
            <w:r w:rsidRPr="00EE5DC8">
              <w:rPr>
                <w:rStyle w:val="IntenseReference"/>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7A80FF1E" w14:textId="77777777" w:rsidR="007372D2" w:rsidRPr="00EE5DC8" w:rsidRDefault="007372D2" w:rsidP="00A228FB">
            <w:pPr>
              <w:spacing w:after="120"/>
              <w:ind w:left="113" w:right="113"/>
              <w:rPr>
                <w:rStyle w:val="IntenseReference"/>
              </w:rPr>
            </w:pPr>
            <w:r w:rsidRPr="00EE5DC8">
              <w:rPr>
                <w:rStyle w:val="IntenseReference"/>
              </w:rPr>
              <w:t>Lower</w:t>
            </w:r>
          </w:p>
        </w:tc>
        <w:tc>
          <w:tcPr>
            <w:tcW w:w="708" w:type="dxa"/>
            <w:tcBorders>
              <w:top w:val="single" w:sz="4" w:space="0" w:color="auto"/>
              <w:left w:val="single" w:sz="4" w:space="0" w:color="auto"/>
              <w:bottom w:val="single" w:sz="4" w:space="0" w:color="auto"/>
              <w:right w:val="single" w:sz="4" w:space="0" w:color="auto"/>
            </w:tcBorders>
            <w:noWrap/>
            <w:textDirection w:val="btLr"/>
            <w:hideMark/>
          </w:tcPr>
          <w:p w14:paraId="41C81477" w14:textId="77777777" w:rsidR="007372D2" w:rsidRPr="00EE5DC8" w:rsidRDefault="007372D2" w:rsidP="00A228FB">
            <w:pPr>
              <w:spacing w:after="120"/>
              <w:ind w:left="113" w:right="113"/>
              <w:rPr>
                <w:rStyle w:val="IntenseReference"/>
              </w:rPr>
            </w:pPr>
            <w:r w:rsidRPr="00EE5DC8">
              <w:rPr>
                <w:rStyle w:val="IntenseReference"/>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33C5E8BB" w14:textId="77777777" w:rsidR="007372D2" w:rsidRPr="00EE5DC8" w:rsidRDefault="007372D2" w:rsidP="00A228FB">
            <w:pPr>
              <w:spacing w:after="120"/>
              <w:ind w:left="113" w:right="113"/>
              <w:rPr>
                <w:rStyle w:val="IntenseReference"/>
              </w:rPr>
            </w:pPr>
            <w:r w:rsidRPr="00EE5DC8">
              <w:rPr>
                <w:rStyle w:val="IntenseReference"/>
              </w:rPr>
              <w:t>Lower</w:t>
            </w:r>
          </w:p>
        </w:tc>
        <w:tc>
          <w:tcPr>
            <w:tcW w:w="284" w:type="dxa"/>
            <w:tcBorders>
              <w:top w:val="nil"/>
              <w:left w:val="single" w:sz="4" w:space="0" w:color="auto"/>
              <w:bottom w:val="nil"/>
              <w:right w:val="single" w:sz="4" w:space="0" w:color="auto"/>
            </w:tcBorders>
            <w:noWrap/>
            <w:hideMark/>
          </w:tcPr>
          <w:p w14:paraId="4A7E1D0F" w14:textId="77777777" w:rsidR="007372D2" w:rsidRPr="00EE5DC8" w:rsidRDefault="007372D2" w:rsidP="00A228FB">
            <w:pPr>
              <w:spacing w:after="120"/>
              <w:rPr>
                <w:rStyle w:val="IntenseReference"/>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32D9B18" w14:textId="77777777" w:rsidR="007372D2" w:rsidRPr="00EE5DC8" w:rsidRDefault="007372D2" w:rsidP="00A228FB">
            <w:pPr>
              <w:spacing w:after="120"/>
              <w:rPr>
                <w:rStyle w:val="IntenseReference"/>
                <w:rFonts w:eastAsia="SimSun"/>
              </w:rPr>
            </w:pPr>
          </w:p>
        </w:tc>
        <w:tc>
          <w:tcPr>
            <w:tcW w:w="708" w:type="dxa"/>
            <w:tcBorders>
              <w:top w:val="single" w:sz="4" w:space="0" w:color="auto"/>
              <w:left w:val="single" w:sz="4" w:space="0" w:color="auto"/>
              <w:bottom w:val="single" w:sz="4" w:space="0" w:color="auto"/>
              <w:right w:val="single" w:sz="4" w:space="0" w:color="auto"/>
            </w:tcBorders>
            <w:noWrap/>
            <w:textDirection w:val="btLr"/>
            <w:hideMark/>
          </w:tcPr>
          <w:p w14:paraId="67A3CEF8" w14:textId="77777777" w:rsidR="007372D2" w:rsidRPr="00EE5DC8" w:rsidRDefault="007372D2" w:rsidP="00A228FB">
            <w:pPr>
              <w:spacing w:after="120"/>
              <w:ind w:left="113" w:right="113"/>
              <w:rPr>
                <w:rStyle w:val="IntenseReference"/>
              </w:rPr>
            </w:pPr>
            <w:r w:rsidRPr="00EE5DC8">
              <w:rPr>
                <w:rStyle w:val="IntenseReference"/>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1247E57A" w14:textId="77777777" w:rsidR="007372D2" w:rsidRPr="00EE5DC8" w:rsidRDefault="007372D2" w:rsidP="00A228FB">
            <w:pPr>
              <w:spacing w:after="120"/>
              <w:ind w:left="113" w:right="113"/>
              <w:rPr>
                <w:rStyle w:val="IntenseReference"/>
              </w:rPr>
            </w:pPr>
            <w:r w:rsidRPr="00EE5DC8">
              <w:rPr>
                <w:rStyle w:val="IntenseReference"/>
              </w:rPr>
              <w:t>Lower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6B3B2394" w14:textId="77777777" w:rsidR="007372D2" w:rsidRPr="00EE5DC8" w:rsidRDefault="007372D2" w:rsidP="00A228FB">
            <w:pPr>
              <w:spacing w:after="120"/>
              <w:ind w:left="113" w:right="113"/>
              <w:rPr>
                <w:rStyle w:val="IntenseReference"/>
              </w:rPr>
            </w:pPr>
            <w:r w:rsidRPr="00EE5DC8">
              <w:rPr>
                <w:rStyle w:val="IntenseReference"/>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56D0CFB0" w14:textId="77777777" w:rsidR="007372D2" w:rsidRPr="00EE5DC8" w:rsidRDefault="007372D2" w:rsidP="00A228FB">
            <w:pPr>
              <w:spacing w:after="120"/>
              <w:ind w:left="113" w:right="113"/>
              <w:rPr>
                <w:rStyle w:val="IntenseReference"/>
              </w:rPr>
            </w:pPr>
            <w:r w:rsidRPr="00EE5DC8">
              <w:rPr>
                <w:rStyle w:val="IntenseReference"/>
              </w:rPr>
              <w:t>Lower</w:t>
            </w:r>
          </w:p>
        </w:tc>
      </w:tr>
      <w:tr w:rsidR="007372D2" w14:paraId="751483D4"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0FD0D285" w14:textId="77777777" w:rsidR="007372D2" w:rsidRPr="00EE5DC8" w:rsidRDefault="007372D2" w:rsidP="00A228FB">
            <w:pPr>
              <w:spacing w:after="120"/>
              <w:rPr>
                <w:rStyle w:val="IntenseReference"/>
              </w:rPr>
            </w:pPr>
            <w:r w:rsidRPr="00EE5DC8">
              <w:rPr>
                <w:rStyle w:val="IntenseReference"/>
              </w:rPr>
              <w:t>Barnards</w:t>
            </w:r>
          </w:p>
        </w:tc>
        <w:tc>
          <w:tcPr>
            <w:tcW w:w="709" w:type="dxa"/>
            <w:tcBorders>
              <w:top w:val="single" w:sz="4" w:space="0" w:color="auto"/>
              <w:left w:val="single" w:sz="4" w:space="0" w:color="auto"/>
              <w:bottom w:val="single" w:sz="4" w:space="0" w:color="auto"/>
              <w:right w:val="single" w:sz="4" w:space="0" w:color="auto"/>
            </w:tcBorders>
            <w:noWrap/>
            <w:hideMark/>
          </w:tcPr>
          <w:p w14:paraId="5928E4BF"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10DC6894" w14:textId="77777777" w:rsidR="007372D2" w:rsidRPr="00EE5DC8" w:rsidRDefault="007372D2" w:rsidP="00A228FB">
            <w:pPr>
              <w:spacing w:after="120"/>
              <w:rPr>
                <w:rStyle w:val="IntenseReference"/>
              </w:rPr>
            </w:pPr>
            <w:r w:rsidRPr="00EE5DC8">
              <w:rPr>
                <w:rStyle w:val="IntenseReference"/>
              </w:rPr>
              <w:t>4.8</w:t>
            </w:r>
          </w:p>
        </w:tc>
        <w:tc>
          <w:tcPr>
            <w:tcW w:w="708" w:type="dxa"/>
            <w:tcBorders>
              <w:top w:val="single" w:sz="4" w:space="0" w:color="auto"/>
              <w:left w:val="single" w:sz="4" w:space="0" w:color="auto"/>
              <w:bottom w:val="single" w:sz="4" w:space="0" w:color="auto"/>
              <w:right w:val="single" w:sz="4" w:space="0" w:color="auto"/>
            </w:tcBorders>
            <w:noWrap/>
            <w:hideMark/>
          </w:tcPr>
          <w:p w14:paraId="72A4AC89" w14:textId="77777777" w:rsidR="007372D2" w:rsidRPr="00EE5DC8" w:rsidRDefault="007372D2" w:rsidP="00A228FB">
            <w:pPr>
              <w:spacing w:after="120"/>
              <w:rPr>
                <w:rStyle w:val="IntenseReference"/>
              </w:rPr>
            </w:pPr>
            <w:r w:rsidRPr="00EE5DC8">
              <w:rPr>
                <w:rStyle w:val="IntenseReference"/>
              </w:rPr>
              <w:t>20.8</w:t>
            </w:r>
          </w:p>
        </w:tc>
        <w:tc>
          <w:tcPr>
            <w:tcW w:w="709" w:type="dxa"/>
            <w:tcBorders>
              <w:top w:val="single" w:sz="4" w:space="0" w:color="auto"/>
              <w:left w:val="single" w:sz="4" w:space="0" w:color="auto"/>
              <w:bottom w:val="single" w:sz="4" w:space="0" w:color="auto"/>
              <w:right w:val="single" w:sz="4" w:space="0" w:color="auto"/>
            </w:tcBorders>
            <w:noWrap/>
            <w:hideMark/>
          </w:tcPr>
          <w:p w14:paraId="327BFB82" w14:textId="77777777" w:rsidR="007372D2" w:rsidRPr="00EE5DC8" w:rsidRDefault="007372D2" w:rsidP="00A228FB">
            <w:pPr>
              <w:spacing w:after="120"/>
              <w:rPr>
                <w:rStyle w:val="IntenseReference"/>
              </w:rPr>
            </w:pPr>
            <w:r w:rsidRPr="00EE5DC8">
              <w:rPr>
                <w:rStyle w:val="IntenseReference"/>
              </w:rPr>
              <w:t>1.7</w:t>
            </w:r>
          </w:p>
        </w:tc>
        <w:tc>
          <w:tcPr>
            <w:tcW w:w="284" w:type="dxa"/>
            <w:tcBorders>
              <w:top w:val="nil"/>
              <w:left w:val="single" w:sz="4" w:space="0" w:color="auto"/>
              <w:bottom w:val="nil"/>
              <w:right w:val="single" w:sz="4" w:space="0" w:color="auto"/>
            </w:tcBorders>
            <w:noWrap/>
            <w:hideMark/>
          </w:tcPr>
          <w:p w14:paraId="596C67E4"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2EDA827A" w14:textId="77777777" w:rsidR="007372D2" w:rsidRPr="00EE5DC8" w:rsidRDefault="007372D2" w:rsidP="00A228FB">
            <w:pPr>
              <w:spacing w:after="120"/>
              <w:rPr>
                <w:rStyle w:val="IntenseReference"/>
              </w:rPr>
            </w:pPr>
            <w:r w:rsidRPr="00EE5DC8">
              <w:rPr>
                <w:rStyle w:val="IntenseReference"/>
              </w:rPr>
              <w:t>Keppels South</w:t>
            </w:r>
          </w:p>
        </w:tc>
        <w:tc>
          <w:tcPr>
            <w:tcW w:w="708" w:type="dxa"/>
            <w:tcBorders>
              <w:top w:val="single" w:sz="4" w:space="0" w:color="auto"/>
              <w:left w:val="single" w:sz="4" w:space="0" w:color="auto"/>
              <w:bottom w:val="single" w:sz="4" w:space="0" w:color="auto"/>
              <w:right w:val="single" w:sz="4" w:space="0" w:color="auto"/>
            </w:tcBorders>
            <w:noWrap/>
            <w:hideMark/>
          </w:tcPr>
          <w:p w14:paraId="0FCC4456"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2A664BB2" w14:textId="77777777" w:rsidR="007372D2" w:rsidRPr="00EE5DC8" w:rsidRDefault="007372D2" w:rsidP="00A228FB">
            <w:pPr>
              <w:spacing w:after="120"/>
              <w:rPr>
                <w:rStyle w:val="IntenseReference"/>
              </w:rPr>
            </w:pPr>
            <w:r w:rsidRPr="00EE5DC8">
              <w:rPr>
                <w:rStyle w:val="IntenseReference"/>
              </w:rPr>
              <w:t>3.9</w:t>
            </w:r>
          </w:p>
        </w:tc>
        <w:tc>
          <w:tcPr>
            <w:tcW w:w="709" w:type="dxa"/>
            <w:tcBorders>
              <w:top w:val="single" w:sz="4" w:space="0" w:color="auto"/>
              <w:left w:val="single" w:sz="4" w:space="0" w:color="auto"/>
              <w:bottom w:val="single" w:sz="4" w:space="0" w:color="auto"/>
              <w:right w:val="single" w:sz="4" w:space="0" w:color="auto"/>
            </w:tcBorders>
            <w:noWrap/>
            <w:hideMark/>
          </w:tcPr>
          <w:p w14:paraId="3172A4D6" w14:textId="77777777" w:rsidR="007372D2" w:rsidRPr="00EE5DC8" w:rsidRDefault="007372D2" w:rsidP="00A228FB">
            <w:pPr>
              <w:spacing w:after="120"/>
              <w:rPr>
                <w:rStyle w:val="IntenseReference"/>
              </w:rPr>
            </w:pPr>
            <w:r w:rsidRPr="00EE5DC8">
              <w:rPr>
                <w:rStyle w:val="IntenseReference"/>
              </w:rPr>
              <w:t>24</w:t>
            </w:r>
          </w:p>
        </w:tc>
        <w:tc>
          <w:tcPr>
            <w:tcW w:w="709" w:type="dxa"/>
            <w:tcBorders>
              <w:top w:val="single" w:sz="4" w:space="0" w:color="auto"/>
              <w:left w:val="single" w:sz="4" w:space="0" w:color="auto"/>
              <w:bottom w:val="single" w:sz="4" w:space="0" w:color="auto"/>
              <w:right w:val="single" w:sz="4" w:space="0" w:color="auto"/>
            </w:tcBorders>
            <w:noWrap/>
            <w:hideMark/>
          </w:tcPr>
          <w:p w14:paraId="162A6FED" w14:textId="77777777" w:rsidR="007372D2" w:rsidRPr="00EE5DC8" w:rsidRDefault="007372D2" w:rsidP="00A228FB">
            <w:pPr>
              <w:spacing w:after="120"/>
              <w:rPr>
                <w:rStyle w:val="IntenseReference"/>
              </w:rPr>
            </w:pPr>
            <w:r w:rsidRPr="00EE5DC8">
              <w:rPr>
                <w:rStyle w:val="IntenseReference"/>
              </w:rPr>
              <w:t>1.7</w:t>
            </w:r>
          </w:p>
        </w:tc>
      </w:tr>
      <w:tr w:rsidR="007372D2" w14:paraId="077AB0FD"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2F1246B7" w14:textId="77777777" w:rsidR="007372D2" w:rsidRPr="00EE5DC8" w:rsidRDefault="007372D2" w:rsidP="00A228FB">
            <w:pPr>
              <w:spacing w:after="120"/>
              <w:rPr>
                <w:rStyle w:val="IntenseReference"/>
              </w:rPr>
            </w:pPr>
            <w:r w:rsidRPr="00EE5DC8">
              <w:rPr>
                <w:rStyle w:val="IntenseReference"/>
              </w:rPr>
              <w:t>Barren</w:t>
            </w:r>
          </w:p>
        </w:tc>
        <w:tc>
          <w:tcPr>
            <w:tcW w:w="709" w:type="dxa"/>
            <w:tcBorders>
              <w:top w:val="single" w:sz="4" w:space="0" w:color="auto"/>
              <w:left w:val="single" w:sz="4" w:space="0" w:color="auto"/>
              <w:bottom w:val="single" w:sz="4" w:space="0" w:color="auto"/>
              <w:right w:val="single" w:sz="4" w:space="0" w:color="auto"/>
            </w:tcBorders>
            <w:noWrap/>
            <w:hideMark/>
          </w:tcPr>
          <w:p w14:paraId="6B2FA721" w14:textId="77777777" w:rsidR="007372D2" w:rsidRPr="00EE5DC8" w:rsidRDefault="007372D2" w:rsidP="00A228FB">
            <w:pPr>
              <w:spacing w:after="120"/>
              <w:rPr>
                <w:rStyle w:val="IntenseReference"/>
              </w:rPr>
            </w:pPr>
            <w:r w:rsidRPr="00EE5DC8">
              <w:rPr>
                <w:rStyle w:val="IntenseReference"/>
              </w:rPr>
              <w:t>13</w:t>
            </w:r>
          </w:p>
        </w:tc>
        <w:tc>
          <w:tcPr>
            <w:tcW w:w="709" w:type="dxa"/>
            <w:tcBorders>
              <w:top w:val="single" w:sz="4" w:space="0" w:color="auto"/>
              <w:left w:val="single" w:sz="4" w:space="0" w:color="auto"/>
              <w:bottom w:val="single" w:sz="4" w:space="0" w:color="auto"/>
              <w:right w:val="single" w:sz="4" w:space="0" w:color="auto"/>
            </w:tcBorders>
            <w:noWrap/>
            <w:hideMark/>
          </w:tcPr>
          <w:p w14:paraId="1E2B963A" w14:textId="77777777" w:rsidR="007372D2" w:rsidRPr="00EE5DC8" w:rsidRDefault="007372D2" w:rsidP="00A228FB">
            <w:pPr>
              <w:spacing w:after="120"/>
              <w:rPr>
                <w:rStyle w:val="IntenseReference"/>
              </w:rPr>
            </w:pPr>
            <w:r w:rsidRPr="00EE5DC8">
              <w:rPr>
                <w:rStyle w:val="IntenseReference"/>
              </w:rPr>
              <w:t>3.7</w:t>
            </w:r>
          </w:p>
        </w:tc>
        <w:tc>
          <w:tcPr>
            <w:tcW w:w="708" w:type="dxa"/>
            <w:tcBorders>
              <w:top w:val="single" w:sz="4" w:space="0" w:color="auto"/>
              <w:left w:val="single" w:sz="4" w:space="0" w:color="auto"/>
              <w:bottom w:val="single" w:sz="4" w:space="0" w:color="auto"/>
              <w:right w:val="single" w:sz="4" w:space="0" w:color="auto"/>
            </w:tcBorders>
            <w:noWrap/>
            <w:hideMark/>
          </w:tcPr>
          <w:p w14:paraId="092EDEA7" w14:textId="77777777" w:rsidR="007372D2" w:rsidRPr="00EE5DC8" w:rsidRDefault="007372D2" w:rsidP="00A228FB">
            <w:pPr>
              <w:spacing w:after="120"/>
              <w:rPr>
                <w:rStyle w:val="IntenseReference"/>
              </w:rPr>
            </w:pPr>
            <w:r w:rsidRPr="00EE5DC8">
              <w:rPr>
                <w:rStyle w:val="IntenseReference"/>
              </w:rPr>
              <w:t>12.6</w:t>
            </w:r>
          </w:p>
        </w:tc>
        <w:tc>
          <w:tcPr>
            <w:tcW w:w="709" w:type="dxa"/>
            <w:tcBorders>
              <w:top w:val="single" w:sz="4" w:space="0" w:color="auto"/>
              <w:left w:val="single" w:sz="4" w:space="0" w:color="auto"/>
              <w:bottom w:val="single" w:sz="4" w:space="0" w:color="auto"/>
              <w:right w:val="single" w:sz="4" w:space="0" w:color="auto"/>
            </w:tcBorders>
            <w:noWrap/>
            <w:hideMark/>
          </w:tcPr>
          <w:p w14:paraId="66206D41" w14:textId="77777777" w:rsidR="007372D2" w:rsidRPr="00EE5DC8" w:rsidRDefault="007372D2" w:rsidP="00A228FB">
            <w:pPr>
              <w:spacing w:after="120"/>
              <w:rPr>
                <w:rStyle w:val="IntenseReference"/>
              </w:rPr>
            </w:pPr>
            <w:r w:rsidRPr="00EE5DC8">
              <w:rPr>
                <w:rStyle w:val="IntenseReference"/>
              </w:rPr>
              <w:t>1.6</w:t>
            </w:r>
          </w:p>
        </w:tc>
        <w:tc>
          <w:tcPr>
            <w:tcW w:w="284" w:type="dxa"/>
            <w:tcBorders>
              <w:top w:val="nil"/>
              <w:left w:val="single" w:sz="4" w:space="0" w:color="auto"/>
              <w:bottom w:val="nil"/>
              <w:right w:val="single" w:sz="4" w:space="0" w:color="auto"/>
            </w:tcBorders>
            <w:noWrap/>
            <w:hideMark/>
          </w:tcPr>
          <w:p w14:paraId="050C467C"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42F8BDCA" w14:textId="77777777" w:rsidR="007372D2" w:rsidRPr="00EE5DC8" w:rsidRDefault="007372D2" w:rsidP="00A228FB">
            <w:pPr>
              <w:spacing w:after="120"/>
              <w:rPr>
                <w:rStyle w:val="IntenseReference"/>
              </w:rPr>
            </w:pPr>
            <w:r w:rsidRPr="00EE5DC8">
              <w:rPr>
                <w:rStyle w:val="IntenseReference"/>
              </w:rPr>
              <w:t>King</w:t>
            </w:r>
          </w:p>
        </w:tc>
        <w:tc>
          <w:tcPr>
            <w:tcW w:w="708" w:type="dxa"/>
            <w:tcBorders>
              <w:top w:val="single" w:sz="4" w:space="0" w:color="auto"/>
              <w:left w:val="single" w:sz="4" w:space="0" w:color="auto"/>
              <w:bottom w:val="single" w:sz="4" w:space="0" w:color="auto"/>
              <w:right w:val="single" w:sz="4" w:space="0" w:color="auto"/>
            </w:tcBorders>
            <w:noWrap/>
            <w:hideMark/>
          </w:tcPr>
          <w:p w14:paraId="5B95D7CE"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1E84E97B" w14:textId="77777777" w:rsidR="007372D2" w:rsidRPr="00EE5DC8" w:rsidRDefault="007372D2" w:rsidP="00A228FB">
            <w:pPr>
              <w:spacing w:after="120"/>
              <w:rPr>
                <w:rStyle w:val="IntenseReference"/>
              </w:rPr>
            </w:pPr>
            <w:r w:rsidRPr="00EE5DC8">
              <w:rPr>
                <w:rStyle w:val="IntenseReference"/>
              </w:rPr>
              <w:t>6.2</w:t>
            </w:r>
          </w:p>
        </w:tc>
        <w:tc>
          <w:tcPr>
            <w:tcW w:w="709" w:type="dxa"/>
            <w:tcBorders>
              <w:top w:val="single" w:sz="4" w:space="0" w:color="auto"/>
              <w:left w:val="single" w:sz="4" w:space="0" w:color="auto"/>
              <w:bottom w:val="single" w:sz="4" w:space="0" w:color="auto"/>
              <w:right w:val="single" w:sz="4" w:space="0" w:color="auto"/>
            </w:tcBorders>
            <w:noWrap/>
            <w:hideMark/>
          </w:tcPr>
          <w:p w14:paraId="6BFDDFE2" w14:textId="77777777" w:rsidR="007372D2" w:rsidRPr="00EE5DC8" w:rsidRDefault="007372D2" w:rsidP="00A228FB">
            <w:pPr>
              <w:spacing w:after="120"/>
              <w:rPr>
                <w:rStyle w:val="IntenseReference"/>
              </w:rPr>
            </w:pPr>
            <w:r w:rsidRPr="00EE5DC8">
              <w:rPr>
                <w:rStyle w:val="IntenseReference"/>
              </w:rPr>
              <w:t>24.8</w:t>
            </w:r>
          </w:p>
        </w:tc>
        <w:tc>
          <w:tcPr>
            <w:tcW w:w="709" w:type="dxa"/>
            <w:tcBorders>
              <w:top w:val="single" w:sz="4" w:space="0" w:color="auto"/>
              <w:left w:val="single" w:sz="4" w:space="0" w:color="auto"/>
              <w:bottom w:val="single" w:sz="4" w:space="0" w:color="auto"/>
              <w:right w:val="single" w:sz="4" w:space="0" w:color="auto"/>
            </w:tcBorders>
            <w:noWrap/>
            <w:hideMark/>
          </w:tcPr>
          <w:p w14:paraId="0582D6E5" w14:textId="77777777" w:rsidR="007372D2" w:rsidRPr="00EE5DC8" w:rsidRDefault="007372D2" w:rsidP="00A228FB">
            <w:pPr>
              <w:spacing w:after="120"/>
              <w:rPr>
                <w:rStyle w:val="IntenseReference"/>
              </w:rPr>
            </w:pPr>
            <w:r w:rsidRPr="00EE5DC8">
              <w:rPr>
                <w:rStyle w:val="IntenseReference"/>
              </w:rPr>
              <w:t>1.8</w:t>
            </w:r>
          </w:p>
        </w:tc>
      </w:tr>
      <w:tr w:rsidR="007372D2" w14:paraId="1FEB688F"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08E48A51" w14:textId="77777777" w:rsidR="007372D2" w:rsidRPr="00EE5DC8" w:rsidRDefault="007372D2" w:rsidP="00A228FB">
            <w:pPr>
              <w:spacing w:after="120"/>
              <w:rPr>
                <w:rStyle w:val="IntenseReference"/>
              </w:rPr>
            </w:pPr>
            <w:r w:rsidRPr="00EE5DC8">
              <w:rPr>
                <w:rStyle w:val="IntenseReference"/>
              </w:rPr>
              <w:t>Border</w:t>
            </w:r>
          </w:p>
        </w:tc>
        <w:tc>
          <w:tcPr>
            <w:tcW w:w="709" w:type="dxa"/>
            <w:tcBorders>
              <w:top w:val="single" w:sz="4" w:space="0" w:color="auto"/>
              <w:left w:val="single" w:sz="4" w:space="0" w:color="auto"/>
              <w:bottom w:val="single" w:sz="4" w:space="0" w:color="auto"/>
              <w:right w:val="single" w:sz="4" w:space="0" w:color="auto"/>
            </w:tcBorders>
            <w:noWrap/>
            <w:hideMark/>
          </w:tcPr>
          <w:p w14:paraId="429B05F0"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503FB116" w14:textId="77777777" w:rsidR="007372D2" w:rsidRPr="00EE5DC8" w:rsidRDefault="007372D2" w:rsidP="00A228FB">
            <w:pPr>
              <w:spacing w:after="120"/>
              <w:rPr>
                <w:rStyle w:val="IntenseReference"/>
              </w:rPr>
            </w:pPr>
          </w:p>
        </w:tc>
        <w:tc>
          <w:tcPr>
            <w:tcW w:w="708" w:type="dxa"/>
            <w:tcBorders>
              <w:top w:val="single" w:sz="4" w:space="0" w:color="auto"/>
              <w:left w:val="single" w:sz="4" w:space="0" w:color="auto"/>
              <w:bottom w:val="single" w:sz="4" w:space="0" w:color="auto"/>
              <w:right w:val="single" w:sz="4" w:space="0" w:color="auto"/>
            </w:tcBorders>
            <w:noWrap/>
            <w:hideMark/>
          </w:tcPr>
          <w:p w14:paraId="36797E39" w14:textId="77777777" w:rsidR="007372D2" w:rsidRPr="00EE5DC8" w:rsidRDefault="007372D2" w:rsidP="00A228FB">
            <w:pPr>
              <w:spacing w:after="120"/>
              <w:rPr>
                <w:rStyle w:val="IntenseReference"/>
              </w:rPr>
            </w:pPr>
            <w:r w:rsidRPr="00EE5DC8">
              <w:rPr>
                <w:rStyle w:val="IntenseReference"/>
              </w:rPr>
              <w:t>8.2</w:t>
            </w:r>
          </w:p>
        </w:tc>
        <w:tc>
          <w:tcPr>
            <w:tcW w:w="709" w:type="dxa"/>
            <w:tcBorders>
              <w:top w:val="single" w:sz="4" w:space="0" w:color="auto"/>
              <w:left w:val="single" w:sz="4" w:space="0" w:color="auto"/>
              <w:bottom w:val="single" w:sz="4" w:space="0" w:color="auto"/>
              <w:right w:val="single" w:sz="4" w:space="0" w:color="auto"/>
            </w:tcBorders>
            <w:noWrap/>
            <w:hideMark/>
          </w:tcPr>
          <w:p w14:paraId="6DEC1364" w14:textId="77777777" w:rsidR="007372D2" w:rsidRPr="00EE5DC8" w:rsidRDefault="007372D2" w:rsidP="00A228FB">
            <w:pPr>
              <w:spacing w:after="120"/>
              <w:rPr>
                <w:rStyle w:val="IntenseReference"/>
              </w:rPr>
            </w:pPr>
            <w:r w:rsidRPr="00EE5DC8">
              <w:rPr>
                <w:rStyle w:val="IntenseReference"/>
              </w:rPr>
              <w:t>1.4</w:t>
            </w:r>
          </w:p>
        </w:tc>
        <w:tc>
          <w:tcPr>
            <w:tcW w:w="284" w:type="dxa"/>
            <w:tcBorders>
              <w:top w:val="nil"/>
              <w:left w:val="single" w:sz="4" w:space="0" w:color="auto"/>
              <w:bottom w:val="nil"/>
              <w:right w:val="single" w:sz="4" w:space="0" w:color="auto"/>
            </w:tcBorders>
            <w:noWrap/>
            <w:hideMark/>
          </w:tcPr>
          <w:p w14:paraId="14B0D67F"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5F2180A7" w14:textId="77777777" w:rsidR="007372D2" w:rsidRPr="00EE5DC8" w:rsidRDefault="007372D2" w:rsidP="00A228FB">
            <w:pPr>
              <w:spacing w:after="120"/>
              <w:rPr>
                <w:rStyle w:val="IntenseReference"/>
              </w:rPr>
            </w:pPr>
            <w:r w:rsidRPr="00EE5DC8">
              <w:rPr>
                <w:rStyle w:val="IntenseReference"/>
              </w:rPr>
              <w:t>Lady Elliot</w:t>
            </w:r>
          </w:p>
        </w:tc>
        <w:tc>
          <w:tcPr>
            <w:tcW w:w="708" w:type="dxa"/>
            <w:tcBorders>
              <w:top w:val="single" w:sz="4" w:space="0" w:color="auto"/>
              <w:left w:val="single" w:sz="4" w:space="0" w:color="auto"/>
              <w:bottom w:val="single" w:sz="4" w:space="0" w:color="auto"/>
              <w:right w:val="single" w:sz="4" w:space="0" w:color="auto"/>
            </w:tcBorders>
            <w:noWrap/>
            <w:hideMark/>
          </w:tcPr>
          <w:p w14:paraId="2351818D"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08E3D3DF" w14:textId="77777777" w:rsidR="007372D2" w:rsidRPr="00EE5DC8" w:rsidRDefault="007372D2" w:rsidP="00A228FB">
            <w:pPr>
              <w:spacing w:after="120"/>
              <w:rPr>
                <w:rStyle w:val="IntenseReference"/>
              </w:rPr>
            </w:pPr>
            <w:r w:rsidRPr="00EE5DC8">
              <w:rPr>
                <w:rStyle w:val="IntenseReference"/>
              </w:rPr>
              <w:t>6.1</w:t>
            </w:r>
          </w:p>
        </w:tc>
        <w:tc>
          <w:tcPr>
            <w:tcW w:w="709" w:type="dxa"/>
            <w:tcBorders>
              <w:top w:val="single" w:sz="4" w:space="0" w:color="auto"/>
              <w:left w:val="single" w:sz="4" w:space="0" w:color="auto"/>
              <w:bottom w:val="single" w:sz="4" w:space="0" w:color="auto"/>
              <w:right w:val="single" w:sz="4" w:space="0" w:color="auto"/>
            </w:tcBorders>
            <w:noWrap/>
            <w:hideMark/>
          </w:tcPr>
          <w:p w14:paraId="2743B6BA" w14:textId="77777777" w:rsidR="007372D2" w:rsidRPr="00EE5DC8" w:rsidRDefault="007372D2" w:rsidP="00A228FB">
            <w:pPr>
              <w:spacing w:after="120"/>
              <w:rPr>
                <w:rStyle w:val="IntenseReference"/>
              </w:rPr>
            </w:pPr>
            <w:r w:rsidRPr="00EE5DC8">
              <w:rPr>
                <w:rStyle w:val="IntenseReference"/>
              </w:rPr>
              <w:t>15.3</w:t>
            </w:r>
          </w:p>
        </w:tc>
        <w:tc>
          <w:tcPr>
            <w:tcW w:w="709" w:type="dxa"/>
            <w:tcBorders>
              <w:top w:val="single" w:sz="4" w:space="0" w:color="auto"/>
              <w:left w:val="single" w:sz="4" w:space="0" w:color="auto"/>
              <w:bottom w:val="single" w:sz="4" w:space="0" w:color="auto"/>
              <w:right w:val="single" w:sz="4" w:space="0" w:color="auto"/>
            </w:tcBorders>
            <w:noWrap/>
            <w:hideMark/>
          </w:tcPr>
          <w:p w14:paraId="6BC5D78F" w14:textId="77777777" w:rsidR="007372D2" w:rsidRPr="00EE5DC8" w:rsidRDefault="007372D2" w:rsidP="00A228FB">
            <w:pPr>
              <w:spacing w:after="120"/>
              <w:rPr>
                <w:rStyle w:val="IntenseReference"/>
              </w:rPr>
            </w:pPr>
            <w:r w:rsidRPr="00EE5DC8">
              <w:rPr>
                <w:rStyle w:val="IntenseReference"/>
              </w:rPr>
              <w:t>1.9</w:t>
            </w:r>
          </w:p>
        </w:tc>
      </w:tr>
      <w:tr w:rsidR="007372D2" w14:paraId="6A6969DA"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25170719" w14:textId="77777777" w:rsidR="007372D2" w:rsidRPr="00EE5DC8" w:rsidRDefault="007372D2" w:rsidP="00A228FB">
            <w:pPr>
              <w:spacing w:after="120"/>
              <w:rPr>
                <w:rStyle w:val="IntenseReference"/>
              </w:rPr>
            </w:pPr>
            <w:r w:rsidRPr="00EE5DC8">
              <w:rPr>
                <w:rStyle w:val="IntenseReference"/>
              </w:rPr>
              <w:t>Daydream</w:t>
            </w:r>
          </w:p>
        </w:tc>
        <w:tc>
          <w:tcPr>
            <w:tcW w:w="709" w:type="dxa"/>
            <w:tcBorders>
              <w:top w:val="single" w:sz="4" w:space="0" w:color="auto"/>
              <w:left w:val="single" w:sz="4" w:space="0" w:color="auto"/>
              <w:bottom w:val="single" w:sz="4" w:space="0" w:color="auto"/>
              <w:right w:val="single" w:sz="4" w:space="0" w:color="auto"/>
            </w:tcBorders>
            <w:noWrap/>
            <w:hideMark/>
          </w:tcPr>
          <w:p w14:paraId="7F78190E" w14:textId="77777777" w:rsidR="007372D2" w:rsidRPr="00EE5DC8" w:rsidRDefault="007372D2" w:rsidP="00A228FB">
            <w:pPr>
              <w:spacing w:after="120"/>
              <w:rPr>
                <w:rStyle w:val="IntenseReference"/>
              </w:rPr>
            </w:pPr>
            <w:r w:rsidRPr="00EE5DC8">
              <w:rPr>
                <w:rStyle w:val="IntenseReference"/>
              </w:rPr>
              <w:t>13.5</w:t>
            </w:r>
          </w:p>
        </w:tc>
        <w:tc>
          <w:tcPr>
            <w:tcW w:w="709" w:type="dxa"/>
            <w:tcBorders>
              <w:top w:val="single" w:sz="4" w:space="0" w:color="auto"/>
              <w:left w:val="single" w:sz="4" w:space="0" w:color="auto"/>
              <w:bottom w:val="single" w:sz="4" w:space="0" w:color="auto"/>
              <w:right w:val="single" w:sz="4" w:space="0" w:color="auto"/>
            </w:tcBorders>
            <w:noWrap/>
            <w:hideMark/>
          </w:tcPr>
          <w:p w14:paraId="3D661929" w14:textId="77777777" w:rsidR="007372D2" w:rsidRPr="00EE5DC8" w:rsidRDefault="007372D2" w:rsidP="00A228FB">
            <w:pPr>
              <w:spacing w:after="120"/>
              <w:rPr>
                <w:rStyle w:val="IntenseReference"/>
              </w:rPr>
            </w:pPr>
            <w:r w:rsidRPr="00EE5DC8">
              <w:rPr>
                <w:rStyle w:val="IntenseReference"/>
              </w:rPr>
              <w:t>3.5</w:t>
            </w:r>
          </w:p>
        </w:tc>
        <w:tc>
          <w:tcPr>
            <w:tcW w:w="708" w:type="dxa"/>
            <w:tcBorders>
              <w:top w:val="single" w:sz="4" w:space="0" w:color="auto"/>
              <w:left w:val="single" w:sz="4" w:space="0" w:color="auto"/>
              <w:bottom w:val="single" w:sz="4" w:space="0" w:color="auto"/>
              <w:right w:val="single" w:sz="4" w:space="0" w:color="auto"/>
            </w:tcBorders>
            <w:noWrap/>
            <w:hideMark/>
          </w:tcPr>
          <w:p w14:paraId="10E0031A" w14:textId="77777777" w:rsidR="007372D2" w:rsidRPr="00EE5DC8" w:rsidRDefault="007372D2" w:rsidP="00A228FB">
            <w:pPr>
              <w:spacing w:after="120"/>
              <w:rPr>
                <w:rStyle w:val="IntenseReference"/>
              </w:rPr>
            </w:pPr>
            <w:r w:rsidRPr="00EE5DC8">
              <w:rPr>
                <w:rStyle w:val="IntenseReference"/>
              </w:rPr>
              <w:t>10.4</w:t>
            </w:r>
          </w:p>
        </w:tc>
        <w:tc>
          <w:tcPr>
            <w:tcW w:w="709" w:type="dxa"/>
            <w:tcBorders>
              <w:top w:val="single" w:sz="4" w:space="0" w:color="auto"/>
              <w:left w:val="single" w:sz="4" w:space="0" w:color="auto"/>
              <w:bottom w:val="single" w:sz="4" w:space="0" w:color="auto"/>
              <w:right w:val="single" w:sz="4" w:space="0" w:color="auto"/>
            </w:tcBorders>
            <w:noWrap/>
            <w:hideMark/>
          </w:tcPr>
          <w:p w14:paraId="7CE3C1AD" w14:textId="77777777" w:rsidR="007372D2" w:rsidRPr="00EE5DC8" w:rsidRDefault="007372D2" w:rsidP="00A228FB">
            <w:pPr>
              <w:spacing w:after="120"/>
              <w:rPr>
                <w:rStyle w:val="IntenseReference"/>
              </w:rPr>
            </w:pPr>
            <w:r w:rsidRPr="00EE5DC8">
              <w:rPr>
                <w:rStyle w:val="IntenseReference"/>
              </w:rPr>
              <w:t>1.5</w:t>
            </w:r>
          </w:p>
        </w:tc>
        <w:tc>
          <w:tcPr>
            <w:tcW w:w="284" w:type="dxa"/>
            <w:tcBorders>
              <w:top w:val="nil"/>
              <w:left w:val="single" w:sz="4" w:space="0" w:color="auto"/>
              <w:bottom w:val="nil"/>
              <w:right w:val="single" w:sz="4" w:space="0" w:color="auto"/>
            </w:tcBorders>
            <w:noWrap/>
            <w:hideMark/>
          </w:tcPr>
          <w:p w14:paraId="488A03C1"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71BEF155" w14:textId="77777777" w:rsidR="007372D2" w:rsidRPr="00EE5DC8" w:rsidRDefault="007372D2" w:rsidP="00A228FB">
            <w:pPr>
              <w:spacing w:after="120"/>
              <w:rPr>
                <w:rStyle w:val="IntenseReference"/>
              </w:rPr>
            </w:pPr>
            <w:r w:rsidRPr="00EE5DC8">
              <w:rPr>
                <w:rStyle w:val="IntenseReference"/>
              </w:rPr>
              <w:t>Langford</w:t>
            </w:r>
          </w:p>
        </w:tc>
        <w:tc>
          <w:tcPr>
            <w:tcW w:w="708" w:type="dxa"/>
            <w:tcBorders>
              <w:top w:val="single" w:sz="4" w:space="0" w:color="auto"/>
              <w:left w:val="single" w:sz="4" w:space="0" w:color="auto"/>
              <w:bottom w:val="single" w:sz="4" w:space="0" w:color="auto"/>
              <w:right w:val="single" w:sz="4" w:space="0" w:color="auto"/>
            </w:tcBorders>
            <w:noWrap/>
            <w:hideMark/>
          </w:tcPr>
          <w:p w14:paraId="453D2B23"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56ACAEDC"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39BD2343" w14:textId="77777777" w:rsidR="007372D2" w:rsidRPr="00EE5DC8" w:rsidRDefault="007372D2" w:rsidP="00A228FB">
            <w:pPr>
              <w:spacing w:after="120"/>
              <w:rPr>
                <w:rStyle w:val="IntenseReference"/>
              </w:rPr>
            </w:pPr>
            <w:r w:rsidRPr="00EE5DC8">
              <w:rPr>
                <w:rStyle w:val="IntenseReference"/>
              </w:rPr>
              <w:t>7.9</w:t>
            </w:r>
          </w:p>
        </w:tc>
        <w:tc>
          <w:tcPr>
            <w:tcW w:w="709" w:type="dxa"/>
            <w:tcBorders>
              <w:top w:val="single" w:sz="4" w:space="0" w:color="auto"/>
              <w:left w:val="single" w:sz="4" w:space="0" w:color="auto"/>
              <w:bottom w:val="single" w:sz="4" w:space="0" w:color="auto"/>
              <w:right w:val="single" w:sz="4" w:space="0" w:color="auto"/>
            </w:tcBorders>
            <w:noWrap/>
            <w:hideMark/>
          </w:tcPr>
          <w:p w14:paraId="27FE860D" w14:textId="77777777" w:rsidR="007372D2" w:rsidRPr="00EE5DC8" w:rsidRDefault="007372D2" w:rsidP="00A228FB">
            <w:pPr>
              <w:spacing w:after="120"/>
              <w:rPr>
                <w:rStyle w:val="IntenseReference"/>
              </w:rPr>
            </w:pPr>
            <w:r w:rsidRPr="00EE5DC8">
              <w:rPr>
                <w:rStyle w:val="IntenseReference"/>
              </w:rPr>
              <w:t>1.4</w:t>
            </w:r>
          </w:p>
        </w:tc>
      </w:tr>
      <w:tr w:rsidR="007372D2" w14:paraId="7FD82522"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690EB4D2" w14:textId="77777777" w:rsidR="007372D2" w:rsidRPr="00EE5DC8" w:rsidRDefault="007372D2" w:rsidP="00A228FB">
            <w:pPr>
              <w:spacing w:after="120"/>
              <w:rPr>
                <w:rStyle w:val="IntenseReference"/>
              </w:rPr>
            </w:pPr>
            <w:r w:rsidRPr="00EE5DC8">
              <w:rPr>
                <w:rStyle w:val="IntenseReference"/>
              </w:rPr>
              <w:t>Dent</w:t>
            </w:r>
          </w:p>
        </w:tc>
        <w:tc>
          <w:tcPr>
            <w:tcW w:w="709" w:type="dxa"/>
            <w:tcBorders>
              <w:top w:val="single" w:sz="4" w:space="0" w:color="auto"/>
              <w:left w:val="single" w:sz="4" w:space="0" w:color="auto"/>
              <w:bottom w:val="single" w:sz="4" w:space="0" w:color="auto"/>
              <w:right w:val="single" w:sz="4" w:space="0" w:color="auto"/>
            </w:tcBorders>
            <w:noWrap/>
            <w:hideMark/>
          </w:tcPr>
          <w:p w14:paraId="743BDA51" w14:textId="77777777" w:rsidR="007372D2" w:rsidRPr="00EE5DC8" w:rsidRDefault="007372D2" w:rsidP="00A228FB">
            <w:pPr>
              <w:spacing w:after="120"/>
              <w:rPr>
                <w:rStyle w:val="IntenseReference"/>
              </w:rPr>
            </w:pPr>
            <w:r w:rsidRPr="00EE5DC8">
              <w:rPr>
                <w:rStyle w:val="IntenseReference"/>
              </w:rPr>
              <w:t>11.6</w:t>
            </w:r>
          </w:p>
        </w:tc>
        <w:tc>
          <w:tcPr>
            <w:tcW w:w="709" w:type="dxa"/>
            <w:tcBorders>
              <w:top w:val="single" w:sz="4" w:space="0" w:color="auto"/>
              <w:left w:val="single" w:sz="4" w:space="0" w:color="auto"/>
              <w:bottom w:val="single" w:sz="4" w:space="0" w:color="auto"/>
              <w:right w:val="single" w:sz="4" w:space="0" w:color="auto"/>
            </w:tcBorders>
            <w:noWrap/>
            <w:hideMark/>
          </w:tcPr>
          <w:p w14:paraId="37334332" w14:textId="77777777" w:rsidR="007372D2" w:rsidRPr="00EE5DC8" w:rsidRDefault="007372D2" w:rsidP="00A228FB">
            <w:pPr>
              <w:spacing w:after="120"/>
              <w:rPr>
                <w:rStyle w:val="IntenseReference"/>
              </w:rPr>
            </w:pPr>
            <w:r w:rsidRPr="00EE5DC8">
              <w:rPr>
                <w:rStyle w:val="IntenseReference"/>
              </w:rPr>
              <w:t>3.5</w:t>
            </w:r>
          </w:p>
        </w:tc>
        <w:tc>
          <w:tcPr>
            <w:tcW w:w="708" w:type="dxa"/>
            <w:tcBorders>
              <w:top w:val="single" w:sz="4" w:space="0" w:color="auto"/>
              <w:left w:val="single" w:sz="4" w:space="0" w:color="auto"/>
              <w:bottom w:val="single" w:sz="4" w:space="0" w:color="auto"/>
              <w:right w:val="single" w:sz="4" w:space="0" w:color="auto"/>
            </w:tcBorders>
            <w:noWrap/>
            <w:hideMark/>
          </w:tcPr>
          <w:p w14:paraId="44A5B30D" w14:textId="77777777" w:rsidR="007372D2" w:rsidRPr="00EE5DC8" w:rsidRDefault="007372D2" w:rsidP="00A228FB">
            <w:pPr>
              <w:spacing w:after="120"/>
              <w:rPr>
                <w:rStyle w:val="IntenseReference"/>
              </w:rPr>
            </w:pPr>
            <w:r w:rsidRPr="00EE5DC8">
              <w:rPr>
                <w:rStyle w:val="IntenseReference"/>
              </w:rPr>
              <w:t>10.2</w:t>
            </w:r>
          </w:p>
        </w:tc>
        <w:tc>
          <w:tcPr>
            <w:tcW w:w="709" w:type="dxa"/>
            <w:tcBorders>
              <w:top w:val="single" w:sz="4" w:space="0" w:color="auto"/>
              <w:left w:val="single" w:sz="4" w:space="0" w:color="auto"/>
              <w:bottom w:val="single" w:sz="4" w:space="0" w:color="auto"/>
              <w:right w:val="single" w:sz="4" w:space="0" w:color="auto"/>
            </w:tcBorders>
            <w:noWrap/>
            <w:hideMark/>
          </w:tcPr>
          <w:p w14:paraId="23D2C40E" w14:textId="77777777" w:rsidR="007372D2" w:rsidRPr="00EE5DC8" w:rsidRDefault="007372D2" w:rsidP="00A228FB">
            <w:pPr>
              <w:spacing w:after="120"/>
              <w:rPr>
                <w:rStyle w:val="IntenseReference"/>
              </w:rPr>
            </w:pPr>
            <w:r w:rsidRPr="00EE5DC8">
              <w:rPr>
                <w:rStyle w:val="IntenseReference"/>
              </w:rPr>
              <w:t>1.5</w:t>
            </w:r>
          </w:p>
        </w:tc>
        <w:tc>
          <w:tcPr>
            <w:tcW w:w="284" w:type="dxa"/>
            <w:tcBorders>
              <w:top w:val="nil"/>
              <w:left w:val="single" w:sz="4" w:space="0" w:color="auto"/>
              <w:bottom w:val="nil"/>
              <w:right w:val="single" w:sz="4" w:space="0" w:color="auto"/>
            </w:tcBorders>
            <w:noWrap/>
            <w:hideMark/>
          </w:tcPr>
          <w:p w14:paraId="67B807C1"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1A0E5992" w14:textId="77777777" w:rsidR="007372D2" w:rsidRPr="00EE5DC8" w:rsidRDefault="007372D2" w:rsidP="00A228FB">
            <w:pPr>
              <w:spacing w:after="120"/>
              <w:rPr>
                <w:rStyle w:val="IntenseReference"/>
              </w:rPr>
            </w:pPr>
            <w:r w:rsidRPr="00EE5DC8">
              <w:rPr>
                <w:rStyle w:val="IntenseReference"/>
              </w:rPr>
              <w:t>Low Isles</w:t>
            </w:r>
          </w:p>
        </w:tc>
        <w:tc>
          <w:tcPr>
            <w:tcW w:w="708" w:type="dxa"/>
            <w:tcBorders>
              <w:top w:val="single" w:sz="4" w:space="0" w:color="auto"/>
              <w:left w:val="single" w:sz="4" w:space="0" w:color="auto"/>
              <w:bottom w:val="single" w:sz="4" w:space="0" w:color="auto"/>
              <w:right w:val="single" w:sz="4" w:space="0" w:color="auto"/>
            </w:tcBorders>
            <w:noWrap/>
            <w:hideMark/>
          </w:tcPr>
          <w:p w14:paraId="338F0371"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1083D1E2"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2C1777AF" w14:textId="77777777" w:rsidR="007372D2" w:rsidRPr="00EE5DC8" w:rsidRDefault="007372D2" w:rsidP="00A228FB">
            <w:pPr>
              <w:spacing w:after="120"/>
              <w:rPr>
                <w:rStyle w:val="IntenseReference"/>
              </w:rPr>
            </w:pPr>
            <w:r w:rsidRPr="00EE5DC8">
              <w:rPr>
                <w:rStyle w:val="IntenseReference"/>
              </w:rPr>
              <w:t>8.9</w:t>
            </w:r>
          </w:p>
        </w:tc>
        <w:tc>
          <w:tcPr>
            <w:tcW w:w="709" w:type="dxa"/>
            <w:tcBorders>
              <w:top w:val="single" w:sz="4" w:space="0" w:color="auto"/>
              <w:left w:val="single" w:sz="4" w:space="0" w:color="auto"/>
              <w:bottom w:val="single" w:sz="4" w:space="0" w:color="auto"/>
              <w:right w:val="single" w:sz="4" w:space="0" w:color="auto"/>
            </w:tcBorders>
            <w:noWrap/>
            <w:hideMark/>
          </w:tcPr>
          <w:p w14:paraId="1B575157" w14:textId="77777777" w:rsidR="007372D2" w:rsidRPr="00EE5DC8" w:rsidRDefault="007372D2" w:rsidP="00A228FB">
            <w:pPr>
              <w:spacing w:after="120"/>
              <w:rPr>
                <w:rStyle w:val="IntenseReference"/>
              </w:rPr>
            </w:pPr>
            <w:r w:rsidRPr="00EE5DC8">
              <w:rPr>
                <w:rStyle w:val="IntenseReference"/>
              </w:rPr>
              <w:t>1.4</w:t>
            </w:r>
          </w:p>
        </w:tc>
      </w:tr>
      <w:tr w:rsidR="007372D2" w14:paraId="08CAE733"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221581D7" w14:textId="77777777" w:rsidR="007372D2" w:rsidRPr="00EE5DC8" w:rsidRDefault="007372D2" w:rsidP="00A228FB">
            <w:pPr>
              <w:spacing w:after="120"/>
              <w:rPr>
                <w:rStyle w:val="IntenseReference"/>
              </w:rPr>
            </w:pPr>
            <w:r w:rsidRPr="00EE5DC8">
              <w:rPr>
                <w:rStyle w:val="IntenseReference"/>
              </w:rPr>
              <w:t>Double Cone</w:t>
            </w:r>
          </w:p>
        </w:tc>
        <w:tc>
          <w:tcPr>
            <w:tcW w:w="709" w:type="dxa"/>
            <w:tcBorders>
              <w:top w:val="single" w:sz="4" w:space="0" w:color="auto"/>
              <w:left w:val="single" w:sz="4" w:space="0" w:color="auto"/>
              <w:bottom w:val="single" w:sz="4" w:space="0" w:color="auto"/>
              <w:right w:val="single" w:sz="4" w:space="0" w:color="auto"/>
            </w:tcBorders>
            <w:noWrap/>
            <w:hideMark/>
          </w:tcPr>
          <w:p w14:paraId="2E22CB94" w14:textId="77777777" w:rsidR="007372D2" w:rsidRPr="00EE5DC8" w:rsidRDefault="007372D2" w:rsidP="00A228FB">
            <w:pPr>
              <w:spacing w:after="120"/>
              <w:rPr>
                <w:rStyle w:val="IntenseReference"/>
              </w:rPr>
            </w:pPr>
            <w:r w:rsidRPr="00EE5DC8">
              <w:rPr>
                <w:rStyle w:val="IntenseReference"/>
              </w:rPr>
              <w:t>8.9</w:t>
            </w:r>
          </w:p>
        </w:tc>
        <w:tc>
          <w:tcPr>
            <w:tcW w:w="709" w:type="dxa"/>
            <w:tcBorders>
              <w:top w:val="single" w:sz="4" w:space="0" w:color="auto"/>
              <w:left w:val="single" w:sz="4" w:space="0" w:color="auto"/>
              <w:bottom w:val="single" w:sz="4" w:space="0" w:color="auto"/>
              <w:right w:val="single" w:sz="4" w:space="0" w:color="auto"/>
            </w:tcBorders>
            <w:noWrap/>
            <w:hideMark/>
          </w:tcPr>
          <w:p w14:paraId="07E8C8A2" w14:textId="77777777" w:rsidR="007372D2" w:rsidRPr="00EE5DC8" w:rsidRDefault="007372D2" w:rsidP="00A228FB">
            <w:pPr>
              <w:spacing w:after="120"/>
              <w:rPr>
                <w:rStyle w:val="IntenseReference"/>
              </w:rPr>
            </w:pPr>
            <w:r w:rsidRPr="00EE5DC8">
              <w:rPr>
                <w:rStyle w:val="IntenseReference"/>
              </w:rPr>
              <w:t>3.4</w:t>
            </w:r>
          </w:p>
        </w:tc>
        <w:tc>
          <w:tcPr>
            <w:tcW w:w="708" w:type="dxa"/>
            <w:tcBorders>
              <w:top w:val="single" w:sz="4" w:space="0" w:color="auto"/>
              <w:left w:val="single" w:sz="4" w:space="0" w:color="auto"/>
              <w:bottom w:val="single" w:sz="4" w:space="0" w:color="auto"/>
              <w:right w:val="single" w:sz="4" w:space="0" w:color="auto"/>
            </w:tcBorders>
            <w:noWrap/>
            <w:hideMark/>
          </w:tcPr>
          <w:p w14:paraId="0865967E" w14:textId="77777777" w:rsidR="007372D2" w:rsidRPr="00EE5DC8" w:rsidRDefault="007372D2" w:rsidP="00A228FB">
            <w:pPr>
              <w:spacing w:after="120"/>
              <w:rPr>
                <w:rStyle w:val="IntenseReference"/>
              </w:rPr>
            </w:pPr>
            <w:r w:rsidRPr="00EE5DC8">
              <w:rPr>
                <w:rStyle w:val="IntenseReference"/>
              </w:rPr>
              <w:t>7.6</w:t>
            </w:r>
          </w:p>
        </w:tc>
        <w:tc>
          <w:tcPr>
            <w:tcW w:w="709" w:type="dxa"/>
            <w:tcBorders>
              <w:top w:val="single" w:sz="4" w:space="0" w:color="auto"/>
              <w:left w:val="single" w:sz="4" w:space="0" w:color="auto"/>
              <w:bottom w:val="single" w:sz="4" w:space="0" w:color="auto"/>
              <w:right w:val="single" w:sz="4" w:space="0" w:color="auto"/>
            </w:tcBorders>
            <w:noWrap/>
            <w:hideMark/>
          </w:tcPr>
          <w:p w14:paraId="3C4B169F" w14:textId="77777777" w:rsidR="007372D2" w:rsidRPr="00EE5DC8" w:rsidRDefault="007372D2" w:rsidP="00A228FB">
            <w:pPr>
              <w:spacing w:after="120"/>
              <w:rPr>
                <w:rStyle w:val="IntenseReference"/>
              </w:rPr>
            </w:pPr>
            <w:r w:rsidRPr="00EE5DC8">
              <w:rPr>
                <w:rStyle w:val="IntenseReference"/>
              </w:rPr>
              <w:t>1.4</w:t>
            </w:r>
          </w:p>
        </w:tc>
        <w:tc>
          <w:tcPr>
            <w:tcW w:w="284" w:type="dxa"/>
            <w:tcBorders>
              <w:top w:val="nil"/>
              <w:left w:val="single" w:sz="4" w:space="0" w:color="auto"/>
              <w:bottom w:val="nil"/>
              <w:right w:val="single" w:sz="4" w:space="0" w:color="auto"/>
            </w:tcBorders>
            <w:noWrap/>
            <w:hideMark/>
          </w:tcPr>
          <w:p w14:paraId="27AFAA1B"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191D8735" w14:textId="77777777" w:rsidR="007372D2" w:rsidRPr="00EE5DC8" w:rsidRDefault="007372D2" w:rsidP="00A228FB">
            <w:pPr>
              <w:spacing w:after="120"/>
              <w:rPr>
                <w:rStyle w:val="IntenseReference"/>
              </w:rPr>
            </w:pPr>
            <w:r w:rsidRPr="00EE5DC8">
              <w:rPr>
                <w:rStyle w:val="IntenseReference"/>
              </w:rPr>
              <w:t>Magnetic</w:t>
            </w:r>
          </w:p>
        </w:tc>
        <w:tc>
          <w:tcPr>
            <w:tcW w:w="708" w:type="dxa"/>
            <w:tcBorders>
              <w:top w:val="single" w:sz="4" w:space="0" w:color="auto"/>
              <w:left w:val="single" w:sz="4" w:space="0" w:color="auto"/>
              <w:bottom w:val="single" w:sz="4" w:space="0" w:color="auto"/>
              <w:right w:val="single" w:sz="4" w:space="0" w:color="auto"/>
            </w:tcBorders>
            <w:noWrap/>
            <w:hideMark/>
          </w:tcPr>
          <w:p w14:paraId="1CD8B4FA"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40A3A18E" w14:textId="77777777" w:rsidR="007372D2" w:rsidRPr="00EE5DC8" w:rsidRDefault="007372D2" w:rsidP="00A228FB">
            <w:pPr>
              <w:spacing w:after="120"/>
              <w:rPr>
                <w:rStyle w:val="IntenseReference"/>
              </w:rPr>
            </w:pPr>
            <w:r w:rsidRPr="00EE5DC8">
              <w:rPr>
                <w:rStyle w:val="IntenseReference"/>
              </w:rPr>
              <w:t>6.4</w:t>
            </w:r>
          </w:p>
        </w:tc>
        <w:tc>
          <w:tcPr>
            <w:tcW w:w="709" w:type="dxa"/>
            <w:tcBorders>
              <w:top w:val="single" w:sz="4" w:space="0" w:color="auto"/>
              <w:left w:val="single" w:sz="4" w:space="0" w:color="auto"/>
              <w:bottom w:val="single" w:sz="4" w:space="0" w:color="auto"/>
              <w:right w:val="single" w:sz="4" w:space="0" w:color="auto"/>
            </w:tcBorders>
            <w:noWrap/>
            <w:hideMark/>
          </w:tcPr>
          <w:p w14:paraId="60798A0B" w14:textId="77777777" w:rsidR="007372D2" w:rsidRPr="00EE5DC8" w:rsidRDefault="007372D2" w:rsidP="00A228FB">
            <w:pPr>
              <w:spacing w:after="120"/>
              <w:rPr>
                <w:rStyle w:val="IntenseReference"/>
              </w:rPr>
            </w:pPr>
            <w:r w:rsidRPr="00EE5DC8">
              <w:rPr>
                <w:rStyle w:val="IntenseReference"/>
              </w:rPr>
              <w:t>19</w:t>
            </w:r>
          </w:p>
        </w:tc>
        <w:tc>
          <w:tcPr>
            <w:tcW w:w="709" w:type="dxa"/>
            <w:tcBorders>
              <w:top w:val="single" w:sz="4" w:space="0" w:color="auto"/>
              <w:left w:val="single" w:sz="4" w:space="0" w:color="auto"/>
              <w:bottom w:val="single" w:sz="4" w:space="0" w:color="auto"/>
              <w:right w:val="single" w:sz="4" w:space="0" w:color="auto"/>
            </w:tcBorders>
            <w:noWrap/>
            <w:hideMark/>
          </w:tcPr>
          <w:p w14:paraId="31B1B073" w14:textId="77777777" w:rsidR="007372D2" w:rsidRPr="00EE5DC8" w:rsidRDefault="007372D2" w:rsidP="00A228FB">
            <w:pPr>
              <w:spacing w:after="120"/>
              <w:rPr>
                <w:rStyle w:val="IntenseReference"/>
              </w:rPr>
            </w:pPr>
            <w:r w:rsidRPr="00EE5DC8">
              <w:rPr>
                <w:rStyle w:val="IntenseReference"/>
              </w:rPr>
              <w:t>2</w:t>
            </w:r>
          </w:p>
        </w:tc>
      </w:tr>
      <w:tr w:rsidR="007372D2" w14:paraId="0B0B977C"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6B144493" w14:textId="77777777" w:rsidR="007372D2" w:rsidRPr="00EE5DC8" w:rsidRDefault="007372D2" w:rsidP="00A228FB">
            <w:pPr>
              <w:spacing w:after="120"/>
              <w:rPr>
                <w:rStyle w:val="IntenseReference"/>
              </w:rPr>
            </w:pPr>
            <w:r w:rsidRPr="00EE5DC8">
              <w:rPr>
                <w:rStyle w:val="IntenseReference"/>
              </w:rPr>
              <w:t>Dunk North</w:t>
            </w:r>
          </w:p>
        </w:tc>
        <w:tc>
          <w:tcPr>
            <w:tcW w:w="709" w:type="dxa"/>
            <w:tcBorders>
              <w:top w:val="single" w:sz="4" w:space="0" w:color="auto"/>
              <w:left w:val="single" w:sz="4" w:space="0" w:color="auto"/>
              <w:bottom w:val="single" w:sz="4" w:space="0" w:color="auto"/>
              <w:right w:val="single" w:sz="4" w:space="0" w:color="auto"/>
            </w:tcBorders>
            <w:noWrap/>
            <w:hideMark/>
          </w:tcPr>
          <w:p w14:paraId="0397AC53"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6CBA956F" w14:textId="77777777" w:rsidR="007372D2" w:rsidRPr="00EE5DC8" w:rsidRDefault="007372D2" w:rsidP="00A228FB">
            <w:pPr>
              <w:spacing w:after="120"/>
              <w:rPr>
                <w:rStyle w:val="IntenseReference"/>
              </w:rPr>
            </w:pPr>
            <w:r w:rsidRPr="00EE5DC8">
              <w:rPr>
                <w:rStyle w:val="IntenseReference"/>
              </w:rPr>
              <w:t>4.6</w:t>
            </w:r>
          </w:p>
        </w:tc>
        <w:tc>
          <w:tcPr>
            <w:tcW w:w="708" w:type="dxa"/>
            <w:tcBorders>
              <w:top w:val="single" w:sz="4" w:space="0" w:color="auto"/>
              <w:left w:val="single" w:sz="4" w:space="0" w:color="auto"/>
              <w:bottom w:val="single" w:sz="4" w:space="0" w:color="auto"/>
              <w:right w:val="single" w:sz="4" w:space="0" w:color="auto"/>
            </w:tcBorders>
            <w:noWrap/>
            <w:hideMark/>
          </w:tcPr>
          <w:p w14:paraId="4D03C6BF" w14:textId="77777777" w:rsidR="007372D2" w:rsidRPr="00EE5DC8" w:rsidRDefault="007372D2" w:rsidP="00A228FB">
            <w:pPr>
              <w:spacing w:after="120"/>
              <w:rPr>
                <w:rStyle w:val="IntenseReference"/>
              </w:rPr>
            </w:pPr>
            <w:r w:rsidRPr="00EE5DC8">
              <w:rPr>
                <w:rStyle w:val="IntenseReference"/>
              </w:rPr>
              <w:t>13.5</w:t>
            </w:r>
          </w:p>
        </w:tc>
        <w:tc>
          <w:tcPr>
            <w:tcW w:w="709" w:type="dxa"/>
            <w:tcBorders>
              <w:top w:val="single" w:sz="4" w:space="0" w:color="auto"/>
              <w:left w:val="single" w:sz="4" w:space="0" w:color="auto"/>
              <w:bottom w:val="single" w:sz="4" w:space="0" w:color="auto"/>
              <w:right w:val="single" w:sz="4" w:space="0" w:color="auto"/>
            </w:tcBorders>
            <w:noWrap/>
            <w:hideMark/>
          </w:tcPr>
          <w:p w14:paraId="24EC7E4E" w14:textId="77777777" w:rsidR="007372D2" w:rsidRPr="00EE5DC8" w:rsidRDefault="007372D2" w:rsidP="00A228FB">
            <w:pPr>
              <w:spacing w:after="120"/>
              <w:rPr>
                <w:rStyle w:val="IntenseReference"/>
              </w:rPr>
            </w:pPr>
            <w:r w:rsidRPr="00EE5DC8">
              <w:rPr>
                <w:rStyle w:val="IntenseReference"/>
              </w:rPr>
              <w:t>1.7</w:t>
            </w:r>
          </w:p>
        </w:tc>
        <w:tc>
          <w:tcPr>
            <w:tcW w:w="284" w:type="dxa"/>
            <w:tcBorders>
              <w:top w:val="nil"/>
              <w:left w:val="single" w:sz="4" w:space="0" w:color="auto"/>
              <w:bottom w:val="nil"/>
              <w:right w:val="single" w:sz="4" w:space="0" w:color="auto"/>
            </w:tcBorders>
            <w:noWrap/>
            <w:hideMark/>
          </w:tcPr>
          <w:p w14:paraId="1FB645E9"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2EA4D1BD" w14:textId="77777777" w:rsidR="007372D2" w:rsidRPr="00EE5DC8" w:rsidRDefault="007372D2" w:rsidP="00A228FB">
            <w:pPr>
              <w:spacing w:after="120"/>
              <w:rPr>
                <w:rStyle w:val="IntenseReference"/>
              </w:rPr>
            </w:pPr>
            <w:r w:rsidRPr="00EE5DC8">
              <w:rPr>
                <w:rStyle w:val="IntenseReference"/>
              </w:rPr>
              <w:t>Middle Rf</w:t>
            </w:r>
          </w:p>
        </w:tc>
        <w:tc>
          <w:tcPr>
            <w:tcW w:w="708" w:type="dxa"/>
            <w:tcBorders>
              <w:top w:val="single" w:sz="4" w:space="0" w:color="auto"/>
              <w:left w:val="single" w:sz="4" w:space="0" w:color="auto"/>
              <w:bottom w:val="single" w:sz="4" w:space="0" w:color="auto"/>
              <w:right w:val="single" w:sz="4" w:space="0" w:color="auto"/>
            </w:tcBorders>
            <w:noWrap/>
            <w:hideMark/>
          </w:tcPr>
          <w:p w14:paraId="040F0E30" w14:textId="77777777" w:rsidR="007372D2" w:rsidRPr="00EE5DC8" w:rsidRDefault="007372D2" w:rsidP="00A228FB">
            <w:pPr>
              <w:spacing w:after="120"/>
              <w:rPr>
                <w:rStyle w:val="IntenseReference"/>
              </w:rPr>
            </w:pPr>
            <w:r w:rsidRPr="00EE5DC8">
              <w:rPr>
                <w:rStyle w:val="IntenseReference"/>
              </w:rPr>
              <w:t>21.9</w:t>
            </w:r>
          </w:p>
        </w:tc>
        <w:tc>
          <w:tcPr>
            <w:tcW w:w="709" w:type="dxa"/>
            <w:tcBorders>
              <w:top w:val="single" w:sz="4" w:space="0" w:color="auto"/>
              <w:left w:val="single" w:sz="4" w:space="0" w:color="auto"/>
              <w:bottom w:val="single" w:sz="4" w:space="0" w:color="auto"/>
              <w:right w:val="single" w:sz="4" w:space="0" w:color="auto"/>
            </w:tcBorders>
            <w:noWrap/>
            <w:hideMark/>
          </w:tcPr>
          <w:p w14:paraId="50A008B3" w14:textId="77777777" w:rsidR="007372D2" w:rsidRPr="00EE5DC8" w:rsidRDefault="007372D2" w:rsidP="00A228FB">
            <w:pPr>
              <w:spacing w:after="120"/>
              <w:rPr>
                <w:rStyle w:val="IntenseReference"/>
              </w:rPr>
            </w:pPr>
            <w:r w:rsidRPr="00EE5DC8">
              <w:rPr>
                <w:rStyle w:val="IntenseReference"/>
              </w:rPr>
              <w:t>5.5</w:t>
            </w:r>
          </w:p>
        </w:tc>
        <w:tc>
          <w:tcPr>
            <w:tcW w:w="709" w:type="dxa"/>
            <w:tcBorders>
              <w:top w:val="single" w:sz="4" w:space="0" w:color="auto"/>
              <w:left w:val="single" w:sz="4" w:space="0" w:color="auto"/>
              <w:bottom w:val="single" w:sz="4" w:space="0" w:color="auto"/>
              <w:right w:val="single" w:sz="4" w:space="0" w:color="auto"/>
            </w:tcBorders>
            <w:noWrap/>
            <w:hideMark/>
          </w:tcPr>
          <w:p w14:paraId="267A9CE3"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48E16C7B" w14:textId="77777777" w:rsidR="007372D2" w:rsidRPr="00EE5DC8" w:rsidRDefault="007372D2" w:rsidP="00A228FB">
            <w:pPr>
              <w:spacing w:after="120"/>
              <w:rPr>
                <w:rStyle w:val="IntenseReference"/>
              </w:rPr>
            </w:pPr>
          </w:p>
        </w:tc>
      </w:tr>
      <w:tr w:rsidR="007372D2" w14:paraId="13CF7FA4"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56BF19A2" w14:textId="77777777" w:rsidR="007372D2" w:rsidRPr="00EE5DC8" w:rsidRDefault="007372D2" w:rsidP="00A228FB">
            <w:pPr>
              <w:spacing w:after="120"/>
              <w:rPr>
                <w:rStyle w:val="IntenseReference"/>
              </w:rPr>
            </w:pPr>
            <w:r w:rsidRPr="00EE5DC8">
              <w:rPr>
                <w:rStyle w:val="IntenseReference"/>
              </w:rPr>
              <w:t>Dunk South</w:t>
            </w:r>
          </w:p>
        </w:tc>
        <w:tc>
          <w:tcPr>
            <w:tcW w:w="709" w:type="dxa"/>
            <w:tcBorders>
              <w:top w:val="single" w:sz="4" w:space="0" w:color="auto"/>
              <w:left w:val="single" w:sz="4" w:space="0" w:color="auto"/>
              <w:bottom w:val="single" w:sz="4" w:space="0" w:color="auto"/>
              <w:right w:val="single" w:sz="4" w:space="0" w:color="auto"/>
            </w:tcBorders>
            <w:noWrap/>
            <w:hideMark/>
          </w:tcPr>
          <w:p w14:paraId="7C472E6B"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51CCC584" w14:textId="77777777" w:rsidR="007372D2" w:rsidRPr="00EE5DC8" w:rsidRDefault="007372D2" w:rsidP="00A228FB">
            <w:pPr>
              <w:spacing w:after="120"/>
              <w:rPr>
                <w:rStyle w:val="IntenseReference"/>
              </w:rPr>
            </w:pPr>
            <w:r w:rsidRPr="00EE5DC8">
              <w:rPr>
                <w:rStyle w:val="IntenseReference"/>
              </w:rPr>
              <w:t>5.3</w:t>
            </w:r>
          </w:p>
        </w:tc>
        <w:tc>
          <w:tcPr>
            <w:tcW w:w="708" w:type="dxa"/>
            <w:tcBorders>
              <w:top w:val="single" w:sz="4" w:space="0" w:color="auto"/>
              <w:left w:val="single" w:sz="4" w:space="0" w:color="auto"/>
              <w:bottom w:val="single" w:sz="4" w:space="0" w:color="auto"/>
              <w:right w:val="single" w:sz="4" w:space="0" w:color="auto"/>
            </w:tcBorders>
            <w:noWrap/>
            <w:hideMark/>
          </w:tcPr>
          <w:p w14:paraId="37C24287" w14:textId="77777777" w:rsidR="007372D2" w:rsidRPr="00EE5DC8" w:rsidRDefault="007372D2" w:rsidP="00A228FB">
            <w:pPr>
              <w:spacing w:after="120"/>
              <w:rPr>
                <w:rStyle w:val="IntenseReference"/>
              </w:rPr>
            </w:pPr>
            <w:r w:rsidRPr="00EE5DC8">
              <w:rPr>
                <w:rStyle w:val="IntenseReference"/>
              </w:rPr>
              <w:t>15.6</w:t>
            </w:r>
          </w:p>
        </w:tc>
        <w:tc>
          <w:tcPr>
            <w:tcW w:w="709" w:type="dxa"/>
            <w:tcBorders>
              <w:top w:val="single" w:sz="4" w:space="0" w:color="auto"/>
              <w:left w:val="single" w:sz="4" w:space="0" w:color="auto"/>
              <w:bottom w:val="single" w:sz="4" w:space="0" w:color="auto"/>
              <w:right w:val="single" w:sz="4" w:space="0" w:color="auto"/>
            </w:tcBorders>
            <w:noWrap/>
            <w:hideMark/>
          </w:tcPr>
          <w:p w14:paraId="327F0C43" w14:textId="77777777" w:rsidR="007372D2" w:rsidRPr="00EE5DC8" w:rsidRDefault="007372D2" w:rsidP="00A228FB">
            <w:pPr>
              <w:spacing w:after="120"/>
              <w:rPr>
                <w:rStyle w:val="IntenseReference"/>
              </w:rPr>
            </w:pPr>
            <w:r w:rsidRPr="00EE5DC8">
              <w:rPr>
                <w:rStyle w:val="IntenseReference"/>
              </w:rPr>
              <w:t>1.9</w:t>
            </w:r>
          </w:p>
        </w:tc>
        <w:tc>
          <w:tcPr>
            <w:tcW w:w="284" w:type="dxa"/>
            <w:tcBorders>
              <w:top w:val="nil"/>
              <w:left w:val="single" w:sz="4" w:space="0" w:color="auto"/>
              <w:bottom w:val="nil"/>
              <w:right w:val="single" w:sz="4" w:space="0" w:color="auto"/>
            </w:tcBorders>
            <w:noWrap/>
            <w:hideMark/>
          </w:tcPr>
          <w:p w14:paraId="4F062A4D"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3A919C26" w14:textId="77777777" w:rsidR="007372D2" w:rsidRPr="00EE5DC8" w:rsidRDefault="007372D2" w:rsidP="00A228FB">
            <w:pPr>
              <w:spacing w:after="120"/>
              <w:rPr>
                <w:rStyle w:val="IntenseReference"/>
              </w:rPr>
            </w:pPr>
            <w:r w:rsidRPr="00EE5DC8">
              <w:rPr>
                <w:rStyle w:val="IntenseReference"/>
              </w:rPr>
              <w:t>Middle</w:t>
            </w:r>
          </w:p>
        </w:tc>
        <w:tc>
          <w:tcPr>
            <w:tcW w:w="708" w:type="dxa"/>
            <w:tcBorders>
              <w:top w:val="single" w:sz="4" w:space="0" w:color="auto"/>
              <w:left w:val="single" w:sz="4" w:space="0" w:color="auto"/>
              <w:bottom w:val="single" w:sz="4" w:space="0" w:color="auto"/>
              <w:right w:val="single" w:sz="4" w:space="0" w:color="auto"/>
            </w:tcBorders>
            <w:noWrap/>
            <w:hideMark/>
          </w:tcPr>
          <w:p w14:paraId="7F201EEA"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0E4EF14B" w14:textId="77777777" w:rsidR="007372D2" w:rsidRPr="00EE5DC8" w:rsidRDefault="007372D2" w:rsidP="00A228FB">
            <w:pPr>
              <w:spacing w:after="120"/>
              <w:rPr>
                <w:rStyle w:val="IntenseReference"/>
              </w:rPr>
            </w:pPr>
            <w:r w:rsidRPr="00EE5DC8">
              <w:rPr>
                <w:rStyle w:val="IntenseReference"/>
              </w:rPr>
              <w:t>5.2</w:t>
            </w:r>
          </w:p>
        </w:tc>
        <w:tc>
          <w:tcPr>
            <w:tcW w:w="709" w:type="dxa"/>
            <w:tcBorders>
              <w:top w:val="single" w:sz="4" w:space="0" w:color="auto"/>
              <w:left w:val="single" w:sz="4" w:space="0" w:color="auto"/>
              <w:bottom w:val="single" w:sz="4" w:space="0" w:color="auto"/>
              <w:right w:val="single" w:sz="4" w:space="0" w:color="auto"/>
            </w:tcBorders>
            <w:noWrap/>
            <w:hideMark/>
          </w:tcPr>
          <w:p w14:paraId="058B8E82"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55E6D6E9" w14:textId="77777777" w:rsidR="007372D2" w:rsidRPr="00EE5DC8" w:rsidRDefault="007372D2" w:rsidP="00A228FB">
            <w:pPr>
              <w:spacing w:after="120"/>
              <w:rPr>
                <w:rStyle w:val="IntenseReference"/>
              </w:rPr>
            </w:pPr>
            <w:r w:rsidRPr="00EE5DC8">
              <w:rPr>
                <w:rStyle w:val="IntenseReference"/>
              </w:rPr>
              <w:t>1.8</w:t>
            </w:r>
          </w:p>
        </w:tc>
      </w:tr>
      <w:tr w:rsidR="007372D2" w14:paraId="05836FC4"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1A6065A3" w14:textId="77777777" w:rsidR="007372D2" w:rsidRPr="00EE5DC8" w:rsidRDefault="007372D2" w:rsidP="00A228FB">
            <w:pPr>
              <w:spacing w:after="120"/>
              <w:rPr>
                <w:rStyle w:val="IntenseReference"/>
              </w:rPr>
            </w:pPr>
            <w:r w:rsidRPr="00EE5DC8">
              <w:rPr>
                <w:rStyle w:val="IntenseReference"/>
              </w:rPr>
              <w:t>Fitzroy East</w:t>
            </w:r>
          </w:p>
        </w:tc>
        <w:tc>
          <w:tcPr>
            <w:tcW w:w="709" w:type="dxa"/>
            <w:tcBorders>
              <w:top w:val="single" w:sz="4" w:space="0" w:color="auto"/>
              <w:left w:val="single" w:sz="4" w:space="0" w:color="auto"/>
              <w:bottom w:val="single" w:sz="4" w:space="0" w:color="auto"/>
              <w:right w:val="single" w:sz="4" w:space="0" w:color="auto"/>
            </w:tcBorders>
            <w:noWrap/>
            <w:hideMark/>
          </w:tcPr>
          <w:p w14:paraId="7F27D462" w14:textId="77777777" w:rsidR="007372D2" w:rsidRPr="00EE5DC8" w:rsidRDefault="007372D2" w:rsidP="00A228FB">
            <w:pPr>
              <w:spacing w:after="120"/>
              <w:rPr>
                <w:rStyle w:val="IntenseReference"/>
              </w:rPr>
            </w:pPr>
            <w:r w:rsidRPr="00EE5DC8">
              <w:rPr>
                <w:rStyle w:val="IntenseReference"/>
              </w:rPr>
              <w:t>11.7</w:t>
            </w:r>
          </w:p>
        </w:tc>
        <w:tc>
          <w:tcPr>
            <w:tcW w:w="709" w:type="dxa"/>
            <w:tcBorders>
              <w:top w:val="single" w:sz="4" w:space="0" w:color="auto"/>
              <w:left w:val="single" w:sz="4" w:space="0" w:color="auto"/>
              <w:bottom w:val="single" w:sz="4" w:space="0" w:color="auto"/>
              <w:right w:val="single" w:sz="4" w:space="0" w:color="auto"/>
            </w:tcBorders>
            <w:noWrap/>
            <w:hideMark/>
          </w:tcPr>
          <w:p w14:paraId="360BC051" w14:textId="77777777" w:rsidR="007372D2" w:rsidRPr="00EE5DC8" w:rsidRDefault="007372D2" w:rsidP="00A228FB">
            <w:pPr>
              <w:spacing w:after="120"/>
              <w:rPr>
                <w:rStyle w:val="IntenseReference"/>
              </w:rPr>
            </w:pPr>
            <w:r w:rsidRPr="00EE5DC8">
              <w:rPr>
                <w:rStyle w:val="IntenseReference"/>
              </w:rPr>
              <w:t>3.5</w:t>
            </w:r>
          </w:p>
        </w:tc>
        <w:tc>
          <w:tcPr>
            <w:tcW w:w="708" w:type="dxa"/>
            <w:tcBorders>
              <w:top w:val="single" w:sz="4" w:space="0" w:color="auto"/>
              <w:left w:val="single" w:sz="4" w:space="0" w:color="auto"/>
              <w:bottom w:val="single" w:sz="4" w:space="0" w:color="auto"/>
              <w:right w:val="single" w:sz="4" w:space="0" w:color="auto"/>
            </w:tcBorders>
            <w:noWrap/>
            <w:hideMark/>
          </w:tcPr>
          <w:p w14:paraId="7BDDC20F" w14:textId="77777777" w:rsidR="007372D2" w:rsidRPr="00EE5DC8" w:rsidRDefault="007372D2" w:rsidP="00A228FB">
            <w:pPr>
              <w:spacing w:after="120"/>
              <w:rPr>
                <w:rStyle w:val="IntenseReference"/>
              </w:rPr>
            </w:pPr>
            <w:r w:rsidRPr="00EE5DC8">
              <w:rPr>
                <w:rStyle w:val="IntenseReference"/>
              </w:rPr>
              <w:t>10</w:t>
            </w:r>
          </w:p>
        </w:tc>
        <w:tc>
          <w:tcPr>
            <w:tcW w:w="709" w:type="dxa"/>
            <w:tcBorders>
              <w:top w:val="single" w:sz="4" w:space="0" w:color="auto"/>
              <w:left w:val="single" w:sz="4" w:space="0" w:color="auto"/>
              <w:bottom w:val="single" w:sz="4" w:space="0" w:color="auto"/>
              <w:right w:val="single" w:sz="4" w:space="0" w:color="auto"/>
            </w:tcBorders>
            <w:noWrap/>
            <w:hideMark/>
          </w:tcPr>
          <w:p w14:paraId="056AA31A" w14:textId="77777777" w:rsidR="007372D2" w:rsidRPr="00EE5DC8" w:rsidRDefault="007372D2" w:rsidP="00A228FB">
            <w:pPr>
              <w:spacing w:after="120"/>
              <w:rPr>
                <w:rStyle w:val="IntenseReference"/>
              </w:rPr>
            </w:pPr>
            <w:r w:rsidRPr="00EE5DC8">
              <w:rPr>
                <w:rStyle w:val="IntenseReference"/>
              </w:rPr>
              <w:t>1.5</w:t>
            </w:r>
          </w:p>
        </w:tc>
        <w:tc>
          <w:tcPr>
            <w:tcW w:w="284" w:type="dxa"/>
            <w:tcBorders>
              <w:top w:val="nil"/>
              <w:left w:val="single" w:sz="4" w:space="0" w:color="auto"/>
              <w:bottom w:val="nil"/>
              <w:right w:val="single" w:sz="4" w:space="0" w:color="auto"/>
            </w:tcBorders>
            <w:noWrap/>
            <w:hideMark/>
          </w:tcPr>
          <w:p w14:paraId="66FFD46A"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7F84DAA5" w14:textId="77777777" w:rsidR="007372D2" w:rsidRPr="00EE5DC8" w:rsidRDefault="007372D2" w:rsidP="00A228FB">
            <w:pPr>
              <w:spacing w:after="120"/>
              <w:rPr>
                <w:rStyle w:val="IntenseReference"/>
              </w:rPr>
            </w:pPr>
            <w:r w:rsidRPr="00EE5DC8">
              <w:rPr>
                <w:rStyle w:val="IntenseReference"/>
              </w:rPr>
              <w:t>North Keppel</w:t>
            </w:r>
          </w:p>
        </w:tc>
        <w:tc>
          <w:tcPr>
            <w:tcW w:w="708" w:type="dxa"/>
            <w:tcBorders>
              <w:top w:val="single" w:sz="4" w:space="0" w:color="auto"/>
              <w:left w:val="single" w:sz="4" w:space="0" w:color="auto"/>
              <w:bottom w:val="single" w:sz="4" w:space="0" w:color="auto"/>
              <w:right w:val="single" w:sz="4" w:space="0" w:color="auto"/>
            </w:tcBorders>
            <w:noWrap/>
            <w:hideMark/>
          </w:tcPr>
          <w:p w14:paraId="26C4DA9D"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69037773" w14:textId="77777777" w:rsidR="007372D2" w:rsidRPr="00EE5DC8" w:rsidRDefault="007372D2" w:rsidP="00A228FB">
            <w:pPr>
              <w:spacing w:after="120"/>
              <w:rPr>
                <w:rStyle w:val="IntenseReference"/>
              </w:rPr>
            </w:pPr>
            <w:r w:rsidRPr="00EE5DC8">
              <w:rPr>
                <w:rStyle w:val="IntenseReference"/>
              </w:rPr>
              <w:t>5.1</w:t>
            </w:r>
          </w:p>
        </w:tc>
        <w:tc>
          <w:tcPr>
            <w:tcW w:w="709" w:type="dxa"/>
            <w:tcBorders>
              <w:top w:val="single" w:sz="4" w:space="0" w:color="auto"/>
              <w:left w:val="single" w:sz="4" w:space="0" w:color="auto"/>
              <w:bottom w:val="single" w:sz="4" w:space="0" w:color="auto"/>
              <w:right w:val="single" w:sz="4" w:space="0" w:color="auto"/>
            </w:tcBorders>
            <w:noWrap/>
            <w:hideMark/>
          </w:tcPr>
          <w:p w14:paraId="450A5C61" w14:textId="77777777" w:rsidR="007372D2" w:rsidRPr="00EE5DC8" w:rsidRDefault="007372D2" w:rsidP="00A228FB">
            <w:pPr>
              <w:spacing w:after="120"/>
              <w:rPr>
                <w:rStyle w:val="IntenseReference"/>
              </w:rPr>
            </w:pPr>
            <w:r w:rsidRPr="00EE5DC8">
              <w:rPr>
                <w:rStyle w:val="IntenseReference"/>
              </w:rPr>
              <w:t>22.6</w:t>
            </w:r>
          </w:p>
        </w:tc>
        <w:tc>
          <w:tcPr>
            <w:tcW w:w="709" w:type="dxa"/>
            <w:tcBorders>
              <w:top w:val="single" w:sz="4" w:space="0" w:color="auto"/>
              <w:left w:val="single" w:sz="4" w:space="0" w:color="auto"/>
              <w:bottom w:val="single" w:sz="4" w:space="0" w:color="auto"/>
              <w:right w:val="single" w:sz="4" w:space="0" w:color="auto"/>
            </w:tcBorders>
            <w:noWrap/>
            <w:hideMark/>
          </w:tcPr>
          <w:p w14:paraId="3986DAC4" w14:textId="77777777" w:rsidR="007372D2" w:rsidRPr="00EE5DC8" w:rsidRDefault="007372D2" w:rsidP="00A228FB">
            <w:pPr>
              <w:spacing w:after="120"/>
              <w:rPr>
                <w:rStyle w:val="IntenseReference"/>
              </w:rPr>
            </w:pPr>
            <w:r w:rsidRPr="00EE5DC8">
              <w:rPr>
                <w:rStyle w:val="IntenseReference"/>
              </w:rPr>
              <w:t>1.8</w:t>
            </w:r>
          </w:p>
        </w:tc>
      </w:tr>
      <w:tr w:rsidR="007372D2" w14:paraId="63268B03"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1E636E86" w14:textId="77777777" w:rsidR="007372D2" w:rsidRPr="00EE5DC8" w:rsidRDefault="007372D2" w:rsidP="00A228FB">
            <w:pPr>
              <w:spacing w:after="120"/>
              <w:rPr>
                <w:rStyle w:val="IntenseReference"/>
              </w:rPr>
            </w:pPr>
            <w:r w:rsidRPr="00EE5DC8">
              <w:rPr>
                <w:rStyle w:val="IntenseReference"/>
              </w:rPr>
              <w:t>Fitzroy West</w:t>
            </w:r>
          </w:p>
        </w:tc>
        <w:tc>
          <w:tcPr>
            <w:tcW w:w="709" w:type="dxa"/>
            <w:tcBorders>
              <w:top w:val="single" w:sz="4" w:space="0" w:color="auto"/>
              <w:left w:val="single" w:sz="4" w:space="0" w:color="auto"/>
              <w:bottom w:val="single" w:sz="4" w:space="0" w:color="auto"/>
              <w:right w:val="single" w:sz="4" w:space="0" w:color="auto"/>
            </w:tcBorders>
            <w:noWrap/>
            <w:hideMark/>
          </w:tcPr>
          <w:p w14:paraId="6793C69F" w14:textId="77777777" w:rsidR="007372D2" w:rsidRPr="00EE5DC8" w:rsidRDefault="007372D2" w:rsidP="00A228FB">
            <w:pPr>
              <w:spacing w:after="120"/>
              <w:rPr>
                <w:rStyle w:val="IntenseReference"/>
              </w:rPr>
            </w:pPr>
            <w:r w:rsidRPr="00EE5DC8">
              <w:rPr>
                <w:rStyle w:val="IntenseReference"/>
              </w:rPr>
              <w:t>12.5</w:t>
            </w:r>
          </w:p>
        </w:tc>
        <w:tc>
          <w:tcPr>
            <w:tcW w:w="709" w:type="dxa"/>
            <w:tcBorders>
              <w:top w:val="single" w:sz="4" w:space="0" w:color="auto"/>
              <w:left w:val="single" w:sz="4" w:space="0" w:color="auto"/>
              <w:bottom w:val="single" w:sz="4" w:space="0" w:color="auto"/>
              <w:right w:val="single" w:sz="4" w:space="0" w:color="auto"/>
            </w:tcBorders>
            <w:noWrap/>
            <w:hideMark/>
          </w:tcPr>
          <w:p w14:paraId="2B37A797" w14:textId="77777777" w:rsidR="007372D2" w:rsidRPr="00EE5DC8" w:rsidRDefault="007372D2" w:rsidP="00A228FB">
            <w:pPr>
              <w:spacing w:after="120"/>
              <w:rPr>
                <w:rStyle w:val="IntenseReference"/>
              </w:rPr>
            </w:pPr>
            <w:r w:rsidRPr="00EE5DC8">
              <w:rPr>
                <w:rStyle w:val="IntenseReference"/>
              </w:rPr>
              <w:t>3.3</w:t>
            </w:r>
          </w:p>
        </w:tc>
        <w:tc>
          <w:tcPr>
            <w:tcW w:w="708" w:type="dxa"/>
            <w:tcBorders>
              <w:top w:val="single" w:sz="4" w:space="0" w:color="auto"/>
              <w:left w:val="single" w:sz="4" w:space="0" w:color="auto"/>
              <w:bottom w:val="single" w:sz="4" w:space="0" w:color="auto"/>
              <w:right w:val="single" w:sz="4" w:space="0" w:color="auto"/>
            </w:tcBorders>
            <w:noWrap/>
            <w:hideMark/>
          </w:tcPr>
          <w:p w14:paraId="11251FEE" w14:textId="77777777" w:rsidR="007372D2" w:rsidRPr="00EE5DC8" w:rsidRDefault="007372D2" w:rsidP="00A228FB">
            <w:pPr>
              <w:spacing w:after="120"/>
              <w:rPr>
                <w:rStyle w:val="IntenseReference"/>
              </w:rPr>
            </w:pPr>
            <w:r w:rsidRPr="00EE5DC8">
              <w:rPr>
                <w:rStyle w:val="IntenseReference"/>
              </w:rPr>
              <w:t>13.3</w:t>
            </w:r>
          </w:p>
        </w:tc>
        <w:tc>
          <w:tcPr>
            <w:tcW w:w="709" w:type="dxa"/>
            <w:tcBorders>
              <w:top w:val="single" w:sz="4" w:space="0" w:color="auto"/>
              <w:left w:val="single" w:sz="4" w:space="0" w:color="auto"/>
              <w:bottom w:val="single" w:sz="4" w:space="0" w:color="auto"/>
              <w:right w:val="single" w:sz="4" w:space="0" w:color="auto"/>
            </w:tcBorders>
            <w:noWrap/>
            <w:hideMark/>
          </w:tcPr>
          <w:p w14:paraId="5846994B" w14:textId="77777777" w:rsidR="007372D2" w:rsidRPr="00EE5DC8" w:rsidRDefault="007372D2" w:rsidP="00A228FB">
            <w:pPr>
              <w:spacing w:after="120"/>
              <w:rPr>
                <w:rStyle w:val="IntenseReference"/>
              </w:rPr>
            </w:pPr>
            <w:r w:rsidRPr="00EE5DC8">
              <w:rPr>
                <w:rStyle w:val="IntenseReference"/>
              </w:rPr>
              <w:t>1.5</w:t>
            </w:r>
          </w:p>
        </w:tc>
        <w:tc>
          <w:tcPr>
            <w:tcW w:w="284" w:type="dxa"/>
            <w:tcBorders>
              <w:top w:val="nil"/>
              <w:left w:val="single" w:sz="4" w:space="0" w:color="auto"/>
              <w:bottom w:val="nil"/>
              <w:right w:val="single" w:sz="4" w:space="0" w:color="auto"/>
            </w:tcBorders>
            <w:noWrap/>
            <w:hideMark/>
          </w:tcPr>
          <w:p w14:paraId="2773B60D"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1D1BE877" w14:textId="77777777" w:rsidR="007372D2" w:rsidRPr="00EE5DC8" w:rsidRDefault="007372D2" w:rsidP="00A228FB">
            <w:pPr>
              <w:spacing w:after="120"/>
              <w:rPr>
                <w:rStyle w:val="IntenseReference"/>
              </w:rPr>
            </w:pPr>
            <w:r w:rsidRPr="00EE5DC8">
              <w:rPr>
                <w:rStyle w:val="IntenseReference"/>
              </w:rPr>
              <w:t>Palms East</w:t>
            </w:r>
          </w:p>
        </w:tc>
        <w:tc>
          <w:tcPr>
            <w:tcW w:w="708" w:type="dxa"/>
            <w:tcBorders>
              <w:top w:val="single" w:sz="4" w:space="0" w:color="auto"/>
              <w:left w:val="single" w:sz="4" w:space="0" w:color="auto"/>
              <w:bottom w:val="single" w:sz="4" w:space="0" w:color="auto"/>
              <w:right w:val="single" w:sz="4" w:space="0" w:color="auto"/>
            </w:tcBorders>
            <w:noWrap/>
            <w:hideMark/>
          </w:tcPr>
          <w:p w14:paraId="52B1EB9B" w14:textId="77777777" w:rsidR="007372D2" w:rsidRPr="00EE5DC8" w:rsidRDefault="007372D2" w:rsidP="00A228FB">
            <w:pPr>
              <w:spacing w:after="120"/>
              <w:rPr>
                <w:rStyle w:val="IntenseReference"/>
              </w:rPr>
            </w:pPr>
            <w:r w:rsidRPr="00EE5DC8">
              <w:rPr>
                <w:rStyle w:val="IntenseReference"/>
              </w:rPr>
              <w:t>12.2</w:t>
            </w:r>
          </w:p>
        </w:tc>
        <w:tc>
          <w:tcPr>
            <w:tcW w:w="709" w:type="dxa"/>
            <w:tcBorders>
              <w:top w:val="single" w:sz="4" w:space="0" w:color="auto"/>
              <w:left w:val="single" w:sz="4" w:space="0" w:color="auto"/>
              <w:bottom w:val="single" w:sz="4" w:space="0" w:color="auto"/>
              <w:right w:val="single" w:sz="4" w:space="0" w:color="auto"/>
            </w:tcBorders>
            <w:noWrap/>
            <w:hideMark/>
          </w:tcPr>
          <w:p w14:paraId="0EA87300" w14:textId="77777777" w:rsidR="007372D2" w:rsidRPr="00EE5DC8" w:rsidRDefault="007372D2" w:rsidP="00A228FB">
            <w:pPr>
              <w:spacing w:after="120"/>
              <w:rPr>
                <w:rStyle w:val="IntenseReference"/>
              </w:rPr>
            </w:pPr>
            <w:r w:rsidRPr="00EE5DC8">
              <w:rPr>
                <w:rStyle w:val="IntenseReference"/>
              </w:rPr>
              <w:t>3.6</w:t>
            </w:r>
          </w:p>
        </w:tc>
        <w:tc>
          <w:tcPr>
            <w:tcW w:w="709" w:type="dxa"/>
            <w:tcBorders>
              <w:top w:val="single" w:sz="4" w:space="0" w:color="auto"/>
              <w:left w:val="single" w:sz="4" w:space="0" w:color="auto"/>
              <w:bottom w:val="single" w:sz="4" w:space="0" w:color="auto"/>
              <w:right w:val="single" w:sz="4" w:space="0" w:color="auto"/>
            </w:tcBorders>
            <w:noWrap/>
            <w:hideMark/>
          </w:tcPr>
          <w:p w14:paraId="6F508ABC" w14:textId="77777777" w:rsidR="007372D2" w:rsidRPr="00EE5DC8" w:rsidRDefault="007372D2" w:rsidP="00A228FB">
            <w:pPr>
              <w:spacing w:after="120"/>
              <w:rPr>
                <w:rStyle w:val="IntenseReference"/>
              </w:rPr>
            </w:pPr>
            <w:r w:rsidRPr="00EE5DC8">
              <w:rPr>
                <w:rStyle w:val="IntenseReference"/>
              </w:rPr>
              <w:t>10.5</w:t>
            </w:r>
          </w:p>
        </w:tc>
        <w:tc>
          <w:tcPr>
            <w:tcW w:w="709" w:type="dxa"/>
            <w:tcBorders>
              <w:top w:val="single" w:sz="4" w:space="0" w:color="auto"/>
              <w:left w:val="single" w:sz="4" w:space="0" w:color="auto"/>
              <w:bottom w:val="single" w:sz="4" w:space="0" w:color="auto"/>
              <w:right w:val="single" w:sz="4" w:space="0" w:color="auto"/>
            </w:tcBorders>
            <w:noWrap/>
            <w:hideMark/>
          </w:tcPr>
          <w:p w14:paraId="7FE72FED" w14:textId="77777777" w:rsidR="007372D2" w:rsidRPr="00EE5DC8" w:rsidRDefault="007372D2" w:rsidP="00A228FB">
            <w:pPr>
              <w:spacing w:after="120"/>
              <w:rPr>
                <w:rStyle w:val="IntenseReference"/>
              </w:rPr>
            </w:pPr>
            <w:r w:rsidRPr="00EE5DC8">
              <w:rPr>
                <w:rStyle w:val="IntenseReference"/>
              </w:rPr>
              <w:t>1.5</w:t>
            </w:r>
          </w:p>
        </w:tc>
      </w:tr>
      <w:tr w:rsidR="007372D2" w14:paraId="181FFC8D"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58AFCBED" w14:textId="77777777" w:rsidR="007372D2" w:rsidRPr="00EE5DC8" w:rsidRDefault="007372D2" w:rsidP="00A228FB">
            <w:pPr>
              <w:spacing w:after="120"/>
              <w:rPr>
                <w:rStyle w:val="IntenseReference"/>
              </w:rPr>
            </w:pPr>
            <w:r w:rsidRPr="00EE5DC8">
              <w:rPr>
                <w:rStyle w:val="IntenseReference"/>
              </w:rPr>
              <w:t>Franklands East</w:t>
            </w:r>
          </w:p>
        </w:tc>
        <w:tc>
          <w:tcPr>
            <w:tcW w:w="709" w:type="dxa"/>
            <w:tcBorders>
              <w:top w:val="single" w:sz="4" w:space="0" w:color="auto"/>
              <w:left w:val="single" w:sz="4" w:space="0" w:color="auto"/>
              <w:bottom w:val="single" w:sz="4" w:space="0" w:color="auto"/>
              <w:right w:val="single" w:sz="4" w:space="0" w:color="auto"/>
            </w:tcBorders>
            <w:noWrap/>
            <w:hideMark/>
          </w:tcPr>
          <w:p w14:paraId="6B2F3B21" w14:textId="77777777" w:rsidR="007372D2" w:rsidRPr="00EE5DC8" w:rsidRDefault="007372D2" w:rsidP="00A228FB">
            <w:pPr>
              <w:spacing w:after="120"/>
              <w:rPr>
                <w:rStyle w:val="IntenseReference"/>
              </w:rPr>
            </w:pPr>
            <w:r w:rsidRPr="00EE5DC8">
              <w:rPr>
                <w:rStyle w:val="IntenseReference"/>
              </w:rPr>
              <w:t>12.2</w:t>
            </w:r>
          </w:p>
        </w:tc>
        <w:tc>
          <w:tcPr>
            <w:tcW w:w="709" w:type="dxa"/>
            <w:tcBorders>
              <w:top w:val="single" w:sz="4" w:space="0" w:color="auto"/>
              <w:left w:val="single" w:sz="4" w:space="0" w:color="auto"/>
              <w:bottom w:val="single" w:sz="4" w:space="0" w:color="auto"/>
              <w:right w:val="single" w:sz="4" w:space="0" w:color="auto"/>
            </w:tcBorders>
            <w:noWrap/>
            <w:hideMark/>
          </w:tcPr>
          <w:p w14:paraId="0DFC60BF" w14:textId="77777777" w:rsidR="007372D2" w:rsidRPr="00EE5DC8" w:rsidRDefault="007372D2" w:rsidP="00A228FB">
            <w:pPr>
              <w:spacing w:after="120"/>
              <w:rPr>
                <w:rStyle w:val="IntenseReference"/>
              </w:rPr>
            </w:pPr>
            <w:r w:rsidRPr="00EE5DC8">
              <w:rPr>
                <w:rStyle w:val="IntenseReference"/>
              </w:rPr>
              <w:t>3.4</w:t>
            </w:r>
          </w:p>
        </w:tc>
        <w:tc>
          <w:tcPr>
            <w:tcW w:w="708" w:type="dxa"/>
            <w:tcBorders>
              <w:top w:val="single" w:sz="4" w:space="0" w:color="auto"/>
              <w:left w:val="single" w:sz="4" w:space="0" w:color="auto"/>
              <w:bottom w:val="single" w:sz="4" w:space="0" w:color="auto"/>
              <w:right w:val="single" w:sz="4" w:space="0" w:color="auto"/>
            </w:tcBorders>
            <w:noWrap/>
            <w:hideMark/>
          </w:tcPr>
          <w:p w14:paraId="26182753" w14:textId="77777777" w:rsidR="007372D2" w:rsidRPr="00EE5DC8" w:rsidRDefault="007372D2" w:rsidP="00A228FB">
            <w:pPr>
              <w:spacing w:after="120"/>
              <w:rPr>
                <w:rStyle w:val="IntenseReference"/>
              </w:rPr>
            </w:pPr>
            <w:r w:rsidRPr="00EE5DC8">
              <w:rPr>
                <w:rStyle w:val="IntenseReference"/>
              </w:rPr>
              <w:t>10.5</w:t>
            </w:r>
          </w:p>
        </w:tc>
        <w:tc>
          <w:tcPr>
            <w:tcW w:w="709" w:type="dxa"/>
            <w:tcBorders>
              <w:top w:val="single" w:sz="4" w:space="0" w:color="auto"/>
              <w:left w:val="single" w:sz="4" w:space="0" w:color="auto"/>
              <w:bottom w:val="single" w:sz="4" w:space="0" w:color="auto"/>
              <w:right w:val="single" w:sz="4" w:space="0" w:color="auto"/>
            </w:tcBorders>
            <w:noWrap/>
            <w:hideMark/>
          </w:tcPr>
          <w:p w14:paraId="07A96DE0" w14:textId="77777777" w:rsidR="007372D2" w:rsidRPr="00EE5DC8" w:rsidRDefault="007372D2" w:rsidP="00A228FB">
            <w:pPr>
              <w:spacing w:after="120"/>
              <w:rPr>
                <w:rStyle w:val="IntenseReference"/>
              </w:rPr>
            </w:pPr>
            <w:r w:rsidRPr="00EE5DC8">
              <w:rPr>
                <w:rStyle w:val="IntenseReference"/>
              </w:rPr>
              <w:t>1.5</w:t>
            </w:r>
          </w:p>
        </w:tc>
        <w:tc>
          <w:tcPr>
            <w:tcW w:w="284" w:type="dxa"/>
            <w:tcBorders>
              <w:top w:val="nil"/>
              <w:left w:val="single" w:sz="4" w:space="0" w:color="auto"/>
              <w:bottom w:val="nil"/>
              <w:right w:val="single" w:sz="4" w:space="0" w:color="auto"/>
            </w:tcBorders>
            <w:noWrap/>
            <w:hideMark/>
          </w:tcPr>
          <w:p w14:paraId="09E8F23C"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48A1A2B1" w14:textId="77777777" w:rsidR="007372D2" w:rsidRPr="00EE5DC8" w:rsidRDefault="007372D2" w:rsidP="00A228FB">
            <w:pPr>
              <w:spacing w:after="120"/>
              <w:rPr>
                <w:rStyle w:val="IntenseReference"/>
              </w:rPr>
            </w:pPr>
            <w:r w:rsidRPr="00EE5DC8">
              <w:rPr>
                <w:rStyle w:val="IntenseReference"/>
              </w:rPr>
              <w:t>Palms West</w:t>
            </w:r>
          </w:p>
        </w:tc>
        <w:tc>
          <w:tcPr>
            <w:tcW w:w="708" w:type="dxa"/>
            <w:tcBorders>
              <w:top w:val="single" w:sz="4" w:space="0" w:color="auto"/>
              <w:left w:val="single" w:sz="4" w:space="0" w:color="auto"/>
              <w:bottom w:val="single" w:sz="4" w:space="0" w:color="auto"/>
              <w:right w:val="single" w:sz="4" w:space="0" w:color="auto"/>
            </w:tcBorders>
            <w:noWrap/>
            <w:hideMark/>
          </w:tcPr>
          <w:p w14:paraId="7BEB314C" w14:textId="77777777" w:rsidR="007372D2" w:rsidRPr="00EE5DC8" w:rsidRDefault="007372D2" w:rsidP="00A228FB">
            <w:pPr>
              <w:spacing w:after="120"/>
              <w:rPr>
                <w:rStyle w:val="IntenseReference"/>
              </w:rPr>
            </w:pPr>
            <w:r w:rsidRPr="00EE5DC8">
              <w:rPr>
                <w:rStyle w:val="IntenseReference"/>
              </w:rPr>
              <w:t>12.8</w:t>
            </w:r>
          </w:p>
        </w:tc>
        <w:tc>
          <w:tcPr>
            <w:tcW w:w="709" w:type="dxa"/>
            <w:tcBorders>
              <w:top w:val="single" w:sz="4" w:space="0" w:color="auto"/>
              <w:left w:val="single" w:sz="4" w:space="0" w:color="auto"/>
              <w:bottom w:val="single" w:sz="4" w:space="0" w:color="auto"/>
              <w:right w:val="single" w:sz="4" w:space="0" w:color="auto"/>
            </w:tcBorders>
            <w:noWrap/>
            <w:hideMark/>
          </w:tcPr>
          <w:p w14:paraId="08CF1804" w14:textId="77777777" w:rsidR="007372D2" w:rsidRPr="00EE5DC8" w:rsidRDefault="007372D2" w:rsidP="00A228FB">
            <w:pPr>
              <w:spacing w:after="120"/>
              <w:rPr>
                <w:rStyle w:val="IntenseReference"/>
              </w:rPr>
            </w:pPr>
            <w:r w:rsidRPr="00EE5DC8">
              <w:rPr>
                <w:rStyle w:val="IntenseReference"/>
              </w:rPr>
              <w:t>3.4</w:t>
            </w:r>
          </w:p>
        </w:tc>
        <w:tc>
          <w:tcPr>
            <w:tcW w:w="709" w:type="dxa"/>
            <w:tcBorders>
              <w:top w:val="single" w:sz="4" w:space="0" w:color="auto"/>
              <w:left w:val="single" w:sz="4" w:space="0" w:color="auto"/>
              <w:bottom w:val="single" w:sz="4" w:space="0" w:color="auto"/>
              <w:right w:val="single" w:sz="4" w:space="0" w:color="auto"/>
            </w:tcBorders>
            <w:noWrap/>
            <w:hideMark/>
          </w:tcPr>
          <w:p w14:paraId="0BD8F80B" w14:textId="77777777" w:rsidR="007372D2" w:rsidRPr="00EE5DC8" w:rsidRDefault="007372D2" w:rsidP="00A228FB">
            <w:pPr>
              <w:spacing w:after="120"/>
              <w:rPr>
                <w:rStyle w:val="IntenseReference"/>
              </w:rPr>
            </w:pPr>
            <w:r w:rsidRPr="00EE5DC8">
              <w:rPr>
                <w:rStyle w:val="IntenseReference"/>
              </w:rPr>
              <w:t>17.5</w:t>
            </w:r>
          </w:p>
        </w:tc>
        <w:tc>
          <w:tcPr>
            <w:tcW w:w="709" w:type="dxa"/>
            <w:tcBorders>
              <w:top w:val="single" w:sz="4" w:space="0" w:color="auto"/>
              <w:left w:val="single" w:sz="4" w:space="0" w:color="auto"/>
              <w:bottom w:val="single" w:sz="4" w:space="0" w:color="auto"/>
              <w:right w:val="single" w:sz="4" w:space="0" w:color="auto"/>
            </w:tcBorders>
            <w:noWrap/>
            <w:hideMark/>
          </w:tcPr>
          <w:p w14:paraId="1DB08661" w14:textId="77777777" w:rsidR="007372D2" w:rsidRPr="00EE5DC8" w:rsidRDefault="007372D2" w:rsidP="00A228FB">
            <w:pPr>
              <w:spacing w:after="120"/>
              <w:rPr>
                <w:rStyle w:val="IntenseReference"/>
              </w:rPr>
            </w:pPr>
            <w:r w:rsidRPr="00EE5DC8">
              <w:rPr>
                <w:rStyle w:val="IntenseReference"/>
              </w:rPr>
              <w:t>1.5</w:t>
            </w:r>
          </w:p>
        </w:tc>
      </w:tr>
      <w:tr w:rsidR="007372D2" w14:paraId="5D5FAEDF"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1E286160" w14:textId="77777777" w:rsidR="007372D2" w:rsidRPr="00EE5DC8" w:rsidRDefault="007372D2" w:rsidP="00A228FB">
            <w:pPr>
              <w:spacing w:after="120"/>
              <w:rPr>
                <w:rStyle w:val="IntenseReference"/>
              </w:rPr>
            </w:pPr>
            <w:r w:rsidRPr="00EE5DC8">
              <w:rPr>
                <w:rStyle w:val="IntenseReference"/>
              </w:rPr>
              <w:t>Franklands West</w:t>
            </w:r>
          </w:p>
        </w:tc>
        <w:tc>
          <w:tcPr>
            <w:tcW w:w="709" w:type="dxa"/>
            <w:tcBorders>
              <w:top w:val="single" w:sz="4" w:space="0" w:color="auto"/>
              <w:left w:val="single" w:sz="4" w:space="0" w:color="auto"/>
              <w:bottom w:val="single" w:sz="4" w:space="0" w:color="auto"/>
              <w:right w:val="single" w:sz="4" w:space="0" w:color="auto"/>
            </w:tcBorders>
            <w:noWrap/>
            <w:hideMark/>
          </w:tcPr>
          <w:p w14:paraId="0E2C638A" w14:textId="77777777" w:rsidR="007372D2" w:rsidRPr="00EE5DC8" w:rsidRDefault="007372D2" w:rsidP="00A228FB">
            <w:pPr>
              <w:spacing w:after="120"/>
              <w:rPr>
                <w:rStyle w:val="IntenseReference"/>
              </w:rPr>
            </w:pPr>
            <w:r w:rsidRPr="00EE5DC8">
              <w:rPr>
                <w:rStyle w:val="IntenseReference"/>
              </w:rPr>
              <w:t>11.4</w:t>
            </w:r>
          </w:p>
        </w:tc>
        <w:tc>
          <w:tcPr>
            <w:tcW w:w="709" w:type="dxa"/>
            <w:tcBorders>
              <w:top w:val="single" w:sz="4" w:space="0" w:color="auto"/>
              <w:left w:val="single" w:sz="4" w:space="0" w:color="auto"/>
              <w:bottom w:val="single" w:sz="4" w:space="0" w:color="auto"/>
              <w:right w:val="single" w:sz="4" w:space="0" w:color="auto"/>
            </w:tcBorders>
            <w:noWrap/>
            <w:hideMark/>
          </w:tcPr>
          <w:p w14:paraId="57F3596E" w14:textId="77777777" w:rsidR="007372D2" w:rsidRPr="00EE5DC8" w:rsidRDefault="007372D2" w:rsidP="00A228FB">
            <w:pPr>
              <w:spacing w:after="120"/>
              <w:rPr>
                <w:rStyle w:val="IntenseReference"/>
              </w:rPr>
            </w:pPr>
            <w:r w:rsidRPr="00EE5DC8">
              <w:rPr>
                <w:rStyle w:val="IntenseReference"/>
              </w:rPr>
              <w:t>3.4</w:t>
            </w:r>
          </w:p>
        </w:tc>
        <w:tc>
          <w:tcPr>
            <w:tcW w:w="708" w:type="dxa"/>
            <w:tcBorders>
              <w:top w:val="single" w:sz="4" w:space="0" w:color="auto"/>
              <w:left w:val="single" w:sz="4" w:space="0" w:color="auto"/>
              <w:bottom w:val="single" w:sz="4" w:space="0" w:color="auto"/>
              <w:right w:val="single" w:sz="4" w:space="0" w:color="auto"/>
            </w:tcBorders>
            <w:noWrap/>
            <w:hideMark/>
          </w:tcPr>
          <w:p w14:paraId="2DBAC8EC" w14:textId="77777777" w:rsidR="007372D2" w:rsidRPr="00EE5DC8" w:rsidRDefault="007372D2" w:rsidP="00A228FB">
            <w:pPr>
              <w:spacing w:after="120"/>
              <w:rPr>
                <w:rStyle w:val="IntenseReference"/>
              </w:rPr>
            </w:pPr>
            <w:r w:rsidRPr="00EE5DC8">
              <w:rPr>
                <w:rStyle w:val="IntenseReference"/>
              </w:rPr>
              <w:t>15.8</w:t>
            </w:r>
          </w:p>
        </w:tc>
        <w:tc>
          <w:tcPr>
            <w:tcW w:w="709" w:type="dxa"/>
            <w:tcBorders>
              <w:top w:val="single" w:sz="4" w:space="0" w:color="auto"/>
              <w:left w:val="single" w:sz="4" w:space="0" w:color="auto"/>
              <w:bottom w:val="single" w:sz="4" w:space="0" w:color="auto"/>
              <w:right w:val="single" w:sz="4" w:space="0" w:color="auto"/>
            </w:tcBorders>
            <w:noWrap/>
            <w:hideMark/>
          </w:tcPr>
          <w:p w14:paraId="71BAD827" w14:textId="77777777" w:rsidR="007372D2" w:rsidRPr="00EE5DC8" w:rsidRDefault="007372D2" w:rsidP="00A228FB">
            <w:pPr>
              <w:spacing w:after="120"/>
              <w:rPr>
                <w:rStyle w:val="IntenseReference"/>
              </w:rPr>
            </w:pPr>
            <w:r w:rsidRPr="00EE5DC8">
              <w:rPr>
                <w:rStyle w:val="IntenseReference"/>
              </w:rPr>
              <w:t>1.5</w:t>
            </w:r>
          </w:p>
        </w:tc>
        <w:tc>
          <w:tcPr>
            <w:tcW w:w="284" w:type="dxa"/>
            <w:tcBorders>
              <w:top w:val="nil"/>
              <w:left w:val="single" w:sz="4" w:space="0" w:color="auto"/>
              <w:bottom w:val="nil"/>
              <w:right w:val="single" w:sz="4" w:space="0" w:color="auto"/>
            </w:tcBorders>
            <w:noWrap/>
            <w:hideMark/>
          </w:tcPr>
          <w:p w14:paraId="280348E1"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210FAB31" w14:textId="77777777" w:rsidR="007372D2" w:rsidRPr="00EE5DC8" w:rsidRDefault="007372D2" w:rsidP="00A228FB">
            <w:pPr>
              <w:spacing w:after="120"/>
              <w:rPr>
                <w:rStyle w:val="IntenseReference"/>
              </w:rPr>
            </w:pPr>
            <w:r w:rsidRPr="00EE5DC8">
              <w:rPr>
                <w:rStyle w:val="IntenseReference"/>
              </w:rPr>
              <w:t>Pandora North</w:t>
            </w:r>
          </w:p>
        </w:tc>
        <w:tc>
          <w:tcPr>
            <w:tcW w:w="708" w:type="dxa"/>
            <w:tcBorders>
              <w:top w:val="single" w:sz="4" w:space="0" w:color="auto"/>
              <w:left w:val="single" w:sz="4" w:space="0" w:color="auto"/>
              <w:bottom w:val="single" w:sz="4" w:space="0" w:color="auto"/>
              <w:right w:val="single" w:sz="4" w:space="0" w:color="auto"/>
            </w:tcBorders>
            <w:noWrap/>
            <w:hideMark/>
          </w:tcPr>
          <w:p w14:paraId="71274D44"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0BCC1B13"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303754A3" w14:textId="77777777" w:rsidR="007372D2" w:rsidRPr="00EE5DC8" w:rsidRDefault="007372D2" w:rsidP="00A228FB">
            <w:pPr>
              <w:spacing w:after="120"/>
              <w:rPr>
                <w:rStyle w:val="IntenseReference"/>
              </w:rPr>
            </w:pPr>
            <w:r w:rsidRPr="00EE5DC8">
              <w:rPr>
                <w:rStyle w:val="IntenseReference"/>
              </w:rPr>
              <w:t>13.1</w:t>
            </w:r>
          </w:p>
        </w:tc>
        <w:tc>
          <w:tcPr>
            <w:tcW w:w="709" w:type="dxa"/>
            <w:tcBorders>
              <w:top w:val="single" w:sz="4" w:space="0" w:color="auto"/>
              <w:left w:val="single" w:sz="4" w:space="0" w:color="auto"/>
              <w:bottom w:val="single" w:sz="4" w:space="0" w:color="auto"/>
              <w:right w:val="single" w:sz="4" w:space="0" w:color="auto"/>
            </w:tcBorders>
            <w:noWrap/>
            <w:hideMark/>
          </w:tcPr>
          <w:p w14:paraId="55B6B58C" w14:textId="77777777" w:rsidR="007372D2" w:rsidRPr="00EE5DC8" w:rsidRDefault="007372D2" w:rsidP="00A228FB">
            <w:pPr>
              <w:spacing w:after="120"/>
              <w:rPr>
                <w:rStyle w:val="IntenseReference"/>
              </w:rPr>
            </w:pPr>
            <w:r w:rsidRPr="00EE5DC8">
              <w:rPr>
                <w:rStyle w:val="IntenseReference"/>
              </w:rPr>
              <w:t>1.6</w:t>
            </w:r>
          </w:p>
        </w:tc>
      </w:tr>
      <w:tr w:rsidR="007372D2" w14:paraId="600C2003"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3AC49A3F" w14:textId="77777777" w:rsidR="007372D2" w:rsidRPr="00EE5DC8" w:rsidRDefault="007372D2" w:rsidP="00A228FB">
            <w:pPr>
              <w:spacing w:after="120"/>
              <w:rPr>
                <w:rStyle w:val="IntenseReference"/>
              </w:rPr>
            </w:pPr>
            <w:r w:rsidRPr="00EE5DC8">
              <w:rPr>
                <w:rStyle w:val="IntenseReference"/>
              </w:rPr>
              <w:t>Green</w:t>
            </w:r>
          </w:p>
        </w:tc>
        <w:tc>
          <w:tcPr>
            <w:tcW w:w="709" w:type="dxa"/>
            <w:tcBorders>
              <w:top w:val="single" w:sz="4" w:space="0" w:color="auto"/>
              <w:left w:val="single" w:sz="4" w:space="0" w:color="auto"/>
              <w:bottom w:val="single" w:sz="4" w:space="0" w:color="auto"/>
              <w:right w:val="single" w:sz="4" w:space="0" w:color="auto"/>
            </w:tcBorders>
            <w:noWrap/>
            <w:hideMark/>
          </w:tcPr>
          <w:p w14:paraId="235E38AF"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70B14439" w14:textId="77777777" w:rsidR="007372D2" w:rsidRPr="00EE5DC8" w:rsidRDefault="007372D2" w:rsidP="00A228FB">
            <w:pPr>
              <w:spacing w:after="120"/>
              <w:rPr>
                <w:rStyle w:val="IntenseReference"/>
              </w:rPr>
            </w:pPr>
          </w:p>
        </w:tc>
        <w:tc>
          <w:tcPr>
            <w:tcW w:w="708" w:type="dxa"/>
            <w:tcBorders>
              <w:top w:val="single" w:sz="4" w:space="0" w:color="auto"/>
              <w:left w:val="single" w:sz="4" w:space="0" w:color="auto"/>
              <w:bottom w:val="single" w:sz="4" w:space="0" w:color="auto"/>
              <w:right w:val="single" w:sz="4" w:space="0" w:color="auto"/>
            </w:tcBorders>
            <w:noWrap/>
            <w:hideMark/>
          </w:tcPr>
          <w:p w14:paraId="5B9336D1" w14:textId="77777777" w:rsidR="007372D2" w:rsidRPr="00EE5DC8" w:rsidRDefault="007372D2" w:rsidP="00A228FB">
            <w:pPr>
              <w:spacing w:after="120"/>
              <w:rPr>
                <w:rStyle w:val="IntenseReference"/>
              </w:rPr>
            </w:pPr>
            <w:r w:rsidRPr="00EE5DC8">
              <w:rPr>
                <w:rStyle w:val="IntenseReference"/>
              </w:rPr>
              <w:t>11.9</w:t>
            </w:r>
          </w:p>
        </w:tc>
        <w:tc>
          <w:tcPr>
            <w:tcW w:w="709" w:type="dxa"/>
            <w:tcBorders>
              <w:top w:val="single" w:sz="4" w:space="0" w:color="auto"/>
              <w:left w:val="single" w:sz="4" w:space="0" w:color="auto"/>
              <w:bottom w:val="single" w:sz="4" w:space="0" w:color="auto"/>
              <w:right w:val="single" w:sz="4" w:space="0" w:color="auto"/>
            </w:tcBorders>
            <w:noWrap/>
            <w:hideMark/>
          </w:tcPr>
          <w:p w14:paraId="39AAD05C" w14:textId="77777777" w:rsidR="007372D2" w:rsidRPr="00EE5DC8" w:rsidRDefault="007372D2" w:rsidP="00A228FB">
            <w:pPr>
              <w:spacing w:after="120"/>
              <w:rPr>
                <w:rStyle w:val="IntenseReference"/>
              </w:rPr>
            </w:pPr>
            <w:r w:rsidRPr="00EE5DC8">
              <w:rPr>
                <w:rStyle w:val="IntenseReference"/>
              </w:rPr>
              <w:t>1.6</w:t>
            </w:r>
          </w:p>
        </w:tc>
        <w:tc>
          <w:tcPr>
            <w:tcW w:w="284" w:type="dxa"/>
            <w:tcBorders>
              <w:top w:val="nil"/>
              <w:left w:val="single" w:sz="4" w:space="0" w:color="auto"/>
              <w:bottom w:val="nil"/>
              <w:right w:val="single" w:sz="4" w:space="0" w:color="auto"/>
            </w:tcBorders>
            <w:noWrap/>
            <w:hideMark/>
          </w:tcPr>
          <w:p w14:paraId="69082A7E"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79531224" w14:textId="77777777" w:rsidR="007372D2" w:rsidRPr="00EE5DC8" w:rsidRDefault="007372D2" w:rsidP="00A228FB">
            <w:pPr>
              <w:spacing w:after="120"/>
              <w:rPr>
                <w:rStyle w:val="IntenseReference"/>
              </w:rPr>
            </w:pPr>
            <w:r w:rsidRPr="00EE5DC8">
              <w:rPr>
                <w:rStyle w:val="IntenseReference"/>
              </w:rPr>
              <w:t>Pandora</w:t>
            </w:r>
          </w:p>
        </w:tc>
        <w:tc>
          <w:tcPr>
            <w:tcW w:w="708" w:type="dxa"/>
            <w:tcBorders>
              <w:top w:val="single" w:sz="4" w:space="0" w:color="auto"/>
              <w:left w:val="single" w:sz="4" w:space="0" w:color="auto"/>
              <w:bottom w:val="single" w:sz="4" w:space="0" w:color="auto"/>
              <w:right w:val="single" w:sz="4" w:space="0" w:color="auto"/>
            </w:tcBorders>
            <w:noWrap/>
            <w:hideMark/>
          </w:tcPr>
          <w:p w14:paraId="02EBDE47"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2DBAEC30" w14:textId="77777777" w:rsidR="007372D2" w:rsidRPr="00EE5DC8" w:rsidRDefault="007372D2" w:rsidP="00A228FB">
            <w:pPr>
              <w:spacing w:after="120"/>
              <w:rPr>
                <w:rStyle w:val="IntenseReference"/>
              </w:rPr>
            </w:pPr>
            <w:r w:rsidRPr="00EE5DC8">
              <w:rPr>
                <w:rStyle w:val="IntenseReference"/>
              </w:rPr>
              <w:t>4.7</w:t>
            </w:r>
          </w:p>
        </w:tc>
        <w:tc>
          <w:tcPr>
            <w:tcW w:w="709" w:type="dxa"/>
            <w:tcBorders>
              <w:top w:val="single" w:sz="4" w:space="0" w:color="auto"/>
              <w:left w:val="single" w:sz="4" w:space="0" w:color="auto"/>
              <w:bottom w:val="single" w:sz="4" w:space="0" w:color="auto"/>
              <w:right w:val="single" w:sz="4" w:space="0" w:color="auto"/>
            </w:tcBorders>
            <w:noWrap/>
            <w:hideMark/>
          </w:tcPr>
          <w:p w14:paraId="7703AF39" w14:textId="77777777" w:rsidR="007372D2" w:rsidRPr="00EE5DC8" w:rsidRDefault="007372D2" w:rsidP="00A228FB">
            <w:pPr>
              <w:spacing w:after="120"/>
              <w:rPr>
                <w:rStyle w:val="IntenseReference"/>
              </w:rPr>
            </w:pPr>
            <w:r w:rsidRPr="00EE5DC8">
              <w:rPr>
                <w:rStyle w:val="IntenseReference"/>
              </w:rPr>
              <w:t>16.2</w:t>
            </w:r>
          </w:p>
        </w:tc>
        <w:tc>
          <w:tcPr>
            <w:tcW w:w="709" w:type="dxa"/>
            <w:tcBorders>
              <w:top w:val="single" w:sz="4" w:space="0" w:color="auto"/>
              <w:left w:val="single" w:sz="4" w:space="0" w:color="auto"/>
              <w:bottom w:val="single" w:sz="4" w:space="0" w:color="auto"/>
              <w:right w:val="single" w:sz="4" w:space="0" w:color="auto"/>
            </w:tcBorders>
            <w:noWrap/>
            <w:hideMark/>
          </w:tcPr>
          <w:p w14:paraId="636620FB" w14:textId="77777777" w:rsidR="007372D2" w:rsidRPr="00EE5DC8" w:rsidRDefault="007372D2" w:rsidP="00A228FB">
            <w:pPr>
              <w:spacing w:after="120"/>
              <w:rPr>
                <w:rStyle w:val="IntenseReference"/>
              </w:rPr>
            </w:pPr>
            <w:r w:rsidRPr="00EE5DC8">
              <w:rPr>
                <w:rStyle w:val="IntenseReference"/>
              </w:rPr>
              <w:t>1.6</w:t>
            </w:r>
          </w:p>
        </w:tc>
      </w:tr>
      <w:tr w:rsidR="007372D2" w14:paraId="705102B0"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4C350355" w14:textId="77777777" w:rsidR="007372D2" w:rsidRPr="00EE5DC8" w:rsidRDefault="007372D2" w:rsidP="00A228FB">
            <w:pPr>
              <w:spacing w:after="120"/>
              <w:rPr>
                <w:rStyle w:val="IntenseReference"/>
              </w:rPr>
            </w:pPr>
            <w:r w:rsidRPr="00EE5DC8">
              <w:rPr>
                <w:rStyle w:val="IntenseReference"/>
              </w:rPr>
              <w:t>Havannah North</w:t>
            </w:r>
          </w:p>
        </w:tc>
        <w:tc>
          <w:tcPr>
            <w:tcW w:w="709" w:type="dxa"/>
            <w:tcBorders>
              <w:top w:val="single" w:sz="4" w:space="0" w:color="auto"/>
              <w:left w:val="single" w:sz="4" w:space="0" w:color="auto"/>
              <w:bottom w:val="single" w:sz="4" w:space="0" w:color="auto"/>
              <w:right w:val="single" w:sz="4" w:space="0" w:color="auto"/>
            </w:tcBorders>
            <w:noWrap/>
            <w:hideMark/>
          </w:tcPr>
          <w:p w14:paraId="28CDB177"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761DF70C" w14:textId="77777777" w:rsidR="007372D2" w:rsidRPr="00EE5DC8" w:rsidRDefault="007372D2" w:rsidP="00A228FB">
            <w:pPr>
              <w:spacing w:after="120"/>
              <w:rPr>
                <w:rStyle w:val="IntenseReference"/>
              </w:rPr>
            </w:pPr>
          </w:p>
        </w:tc>
        <w:tc>
          <w:tcPr>
            <w:tcW w:w="708" w:type="dxa"/>
            <w:tcBorders>
              <w:top w:val="single" w:sz="4" w:space="0" w:color="auto"/>
              <w:left w:val="single" w:sz="4" w:space="0" w:color="auto"/>
              <w:bottom w:val="single" w:sz="4" w:space="0" w:color="auto"/>
              <w:right w:val="single" w:sz="4" w:space="0" w:color="auto"/>
            </w:tcBorders>
            <w:noWrap/>
            <w:hideMark/>
          </w:tcPr>
          <w:p w14:paraId="769B78DF" w14:textId="77777777" w:rsidR="007372D2" w:rsidRPr="00EE5DC8" w:rsidRDefault="007372D2" w:rsidP="00A228FB">
            <w:pPr>
              <w:spacing w:after="120"/>
              <w:rPr>
                <w:rStyle w:val="IntenseReference"/>
              </w:rPr>
            </w:pPr>
            <w:r w:rsidRPr="00EE5DC8">
              <w:rPr>
                <w:rStyle w:val="IntenseReference"/>
              </w:rPr>
              <w:t>21.7</w:t>
            </w:r>
          </w:p>
        </w:tc>
        <w:tc>
          <w:tcPr>
            <w:tcW w:w="709" w:type="dxa"/>
            <w:tcBorders>
              <w:top w:val="single" w:sz="4" w:space="0" w:color="auto"/>
              <w:left w:val="single" w:sz="4" w:space="0" w:color="auto"/>
              <w:bottom w:val="single" w:sz="4" w:space="0" w:color="auto"/>
              <w:right w:val="single" w:sz="4" w:space="0" w:color="auto"/>
            </w:tcBorders>
            <w:noWrap/>
            <w:hideMark/>
          </w:tcPr>
          <w:p w14:paraId="45790A68" w14:textId="77777777" w:rsidR="007372D2" w:rsidRPr="00EE5DC8" w:rsidRDefault="007372D2" w:rsidP="00A228FB">
            <w:pPr>
              <w:spacing w:after="120"/>
              <w:rPr>
                <w:rStyle w:val="IntenseReference"/>
              </w:rPr>
            </w:pPr>
            <w:r w:rsidRPr="00EE5DC8">
              <w:rPr>
                <w:rStyle w:val="IntenseReference"/>
              </w:rPr>
              <w:t>1.5</w:t>
            </w:r>
          </w:p>
        </w:tc>
        <w:tc>
          <w:tcPr>
            <w:tcW w:w="284" w:type="dxa"/>
            <w:tcBorders>
              <w:top w:val="nil"/>
              <w:left w:val="single" w:sz="4" w:space="0" w:color="auto"/>
              <w:bottom w:val="single" w:sz="4" w:space="0" w:color="auto"/>
              <w:right w:val="single" w:sz="4" w:space="0" w:color="auto"/>
            </w:tcBorders>
            <w:noWrap/>
            <w:hideMark/>
          </w:tcPr>
          <w:p w14:paraId="4F911A50"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0CAB436F" w14:textId="77777777" w:rsidR="007372D2" w:rsidRPr="00EE5DC8" w:rsidRDefault="007372D2" w:rsidP="00A228FB">
            <w:pPr>
              <w:spacing w:after="120"/>
              <w:rPr>
                <w:rStyle w:val="IntenseReference"/>
              </w:rPr>
            </w:pPr>
            <w:r w:rsidRPr="00EE5DC8">
              <w:rPr>
                <w:rStyle w:val="IntenseReference"/>
              </w:rPr>
              <w:t>Peak</w:t>
            </w:r>
          </w:p>
        </w:tc>
        <w:tc>
          <w:tcPr>
            <w:tcW w:w="708" w:type="dxa"/>
            <w:tcBorders>
              <w:top w:val="single" w:sz="4" w:space="0" w:color="auto"/>
              <w:left w:val="single" w:sz="4" w:space="0" w:color="auto"/>
              <w:bottom w:val="single" w:sz="4" w:space="0" w:color="auto"/>
              <w:right w:val="single" w:sz="4" w:space="0" w:color="auto"/>
            </w:tcBorders>
            <w:noWrap/>
            <w:hideMark/>
          </w:tcPr>
          <w:p w14:paraId="2146C108"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3268233A" w14:textId="77777777" w:rsidR="007372D2" w:rsidRPr="00EE5DC8" w:rsidRDefault="007372D2" w:rsidP="00A228FB">
            <w:pPr>
              <w:spacing w:after="120"/>
              <w:rPr>
                <w:rStyle w:val="IntenseReference"/>
              </w:rPr>
            </w:pPr>
            <w:r w:rsidRPr="00EE5DC8">
              <w:rPr>
                <w:rStyle w:val="IntenseReference"/>
              </w:rPr>
              <w:t>6.3</w:t>
            </w:r>
          </w:p>
        </w:tc>
        <w:tc>
          <w:tcPr>
            <w:tcW w:w="709" w:type="dxa"/>
            <w:tcBorders>
              <w:top w:val="single" w:sz="4" w:space="0" w:color="auto"/>
              <w:left w:val="single" w:sz="4" w:space="0" w:color="auto"/>
              <w:bottom w:val="single" w:sz="4" w:space="0" w:color="auto"/>
              <w:right w:val="single" w:sz="4" w:space="0" w:color="auto"/>
            </w:tcBorders>
            <w:noWrap/>
            <w:hideMark/>
          </w:tcPr>
          <w:p w14:paraId="601C414F" w14:textId="77777777" w:rsidR="007372D2" w:rsidRPr="00EE5DC8" w:rsidRDefault="007372D2" w:rsidP="00A228FB">
            <w:pPr>
              <w:spacing w:after="120"/>
              <w:rPr>
                <w:rStyle w:val="IntenseReference"/>
              </w:rPr>
            </w:pPr>
            <w:r w:rsidRPr="00EE5DC8">
              <w:rPr>
                <w:rStyle w:val="IntenseReference"/>
              </w:rPr>
              <w:t>19.1</w:t>
            </w:r>
          </w:p>
        </w:tc>
        <w:tc>
          <w:tcPr>
            <w:tcW w:w="709" w:type="dxa"/>
            <w:tcBorders>
              <w:top w:val="single" w:sz="4" w:space="0" w:color="auto"/>
              <w:left w:val="single" w:sz="4" w:space="0" w:color="auto"/>
              <w:bottom w:val="single" w:sz="4" w:space="0" w:color="auto"/>
              <w:right w:val="single" w:sz="4" w:space="0" w:color="auto"/>
            </w:tcBorders>
            <w:noWrap/>
            <w:hideMark/>
          </w:tcPr>
          <w:p w14:paraId="37025A5A" w14:textId="77777777" w:rsidR="007372D2" w:rsidRPr="00EE5DC8" w:rsidRDefault="007372D2" w:rsidP="00A228FB">
            <w:pPr>
              <w:spacing w:after="120"/>
              <w:rPr>
                <w:rStyle w:val="IntenseReference"/>
              </w:rPr>
            </w:pPr>
            <w:r w:rsidRPr="00EE5DC8">
              <w:rPr>
                <w:rStyle w:val="IntenseReference"/>
              </w:rPr>
              <w:t>2</w:t>
            </w:r>
          </w:p>
        </w:tc>
      </w:tr>
      <w:tr w:rsidR="007372D2" w14:paraId="1C0E8250"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6EE10B87" w14:textId="77777777" w:rsidR="007372D2" w:rsidRPr="00EE5DC8" w:rsidRDefault="007372D2" w:rsidP="00A228FB">
            <w:pPr>
              <w:spacing w:after="120"/>
              <w:rPr>
                <w:rStyle w:val="IntenseReference"/>
              </w:rPr>
            </w:pPr>
            <w:r w:rsidRPr="00EE5DC8">
              <w:rPr>
                <w:rStyle w:val="IntenseReference"/>
              </w:rPr>
              <w:t>Havannah</w:t>
            </w:r>
          </w:p>
        </w:tc>
        <w:tc>
          <w:tcPr>
            <w:tcW w:w="709" w:type="dxa"/>
            <w:tcBorders>
              <w:top w:val="single" w:sz="4" w:space="0" w:color="auto"/>
              <w:left w:val="single" w:sz="4" w:space="0" w:color="auto"/>
              <w:bottom w:val="single" w:sz="4" w:space="0" w:color="auto"/>
              <w:right w:val="single" w:sz="4" w:space="0" w:color="auto"/>
            </w:tcBorders>
            <w:noWrap/>
            <w:hideMark/>
          </w:tcPr>
          <w:p w14:paraId="4A8421F8" w14:textId="77777777" w:rsidR="007372D2" w:rsidRPr="00EE5DC8" w:rsidRDefault="007372D2" w:rsidP="00A228FB">
            <w:pPr>
              <w:spacing w:after="120"/>
              <w:rPr>
                <w:rStyle w:val="IntenseReference"/>
              </w:rPr>
            </w:pPr>
            <w:r w:rsidRPr="00EE5DC8">
              <w:rPr>
                <w:rStyle w:val="IntenseReference"/>
              </w:rPr>
              <w:t>18.2</w:t>
            </w:r>
          </w:p>
        </w:tc>
        <w:tc>
          <w:tcPr>
            <w:tcW w:w="709" w:type="dxa"/>
            <w:tcBorders>
              <w:top w:val="single" w:sz="4" w:space="0" w:color="auto"/>
              <w:left w:val="single" w:sz="4" w:space="0" w:color="auto"/>
              <w:bottom w:val="single" w:sz="4" w:space="0" w:color="auto"/>
              <w:right w:val="single" w:sz="4" w:space="0" w:color="auto"/>
            </w:tcBorders>
            <w:noWrap/>
            <w:hideMark/>
          </w:tcPr>
          <w:p w14:paraId="4A17FE89" w14:textId="77777777" w:rsidR="007372D2" w:rsidRPr="00EE5DC8" w:rsidRDefault="007372D2" w:rsidP="00A228FB">
            <w:pPr>
              <w:spacing w:after="120"/>
              <w:rPr>
                <w:rStyle w:val="IntenseReference"/>
              </w:rPr>
            </w:pPr>
            <w:r w:rsidRPr="00EE5DC8">
              <w:rPr>
                <w:rStyle w:val="IntenseReference"/>
              </w:rPr>
              <w:t>3.4</w:t>
            </w:r>
          </w:p>
        </w:tc>
        <w:tc>
          <w:tcPr>
            <w:tcW w:w="708" w:type="dxa"/>
            <w:tcBorders>
              <w:top w:val="single" w:sz="4" w:space="0" w:color="auto"/>
              <w:left w:val="single" w:sz="4" w:space="0" w:color="auto"/>
              <w:bottom w:val="single" w:sz="4" w:space="0" w:color="auto"/>
              <w:right w:val="single" w:sz="4" w:space="0" w:color="auto"/>
            </w:tcBorders>
            <w:noWrap/>
            <w:hideMark/>
          </w:tcPr>
          <w:p w14:paraId="158CA6A3" w14:textId="77777777" w:rsidR="007372D2" w:rsidRPr="00EE5DC8" w:rsidRDefault="007372D2" w:rsidP="00A228FB">
            <w:pPr>
              <w:spacing w:after="120"/>
              <w:rPr>
                <w:rStyle w:val="IntenseReference"/>
              </w:rPr>
            </w:pPr>
            <w:r w:rsidRPr="00EE5DC8">
              <w:rPr>
                <w:rStyle w:val="IntenseReference"/>
              </w:rPr>
              <w:t>25</w:t>
            </w:r>
          </w:p>
        </w:tc>
        <w:tc>
          <w:tcPr>
            <w:tcW w:w="709" w:type="dxa"/>
            <w:tcBorders>
              <w:top w:val="single" w:sz="4" w:space="0" w:color="auto"/>
              <w:left w:val="single" w:sz="4" w:space="0" w:color="auto"/>
              <w:bottom w:val="single" w:sz="4" w:space="0" w:color="auto"/>
              <w:right w:val="single" w:sz="4" w:space="0" w:color="auto"/>
            </w:tcBorders>
            <w:noWrap/>
            <w:hideMark/>
          </w:tcPr>
          <w:p w14:paraId="4FE17F06" w14:textId="77777777" w:rsidR="007372D2" w:rsidRPr="00EE5DC8" w:rsidRDefault="007372D2" w:rsidP="00A228FB">
            <w:pPr>
              <w:spacing w:after="120"/>
              <w:rPr>
                <w:rStyle w:val="IntenseReference"/>
              </w:rPr>
            </w:pPr>
            <w:r w:rsidRPr="00EE5DC8">
              <w:rPr>
                <w:rStyle w:val="IntenseReference"/>
              </w:rPr>
              <w:t>1.6</w:t>
            </w:r>
          </w:p>
        </w:tc>
        <w:tc>
          <w:tcPr>
            <w:tcW w:w="284" w:type="dxa"/>
            <w:tcBorders>
              <w:top w:val="single" w:sz="4" w:space="0" w:color="auto"/>
              <w:left w:val="single" w:sz="4" w:space="0" w:color="auto"/>
              <w:bottom w:val="nil"/>
              <w:right w:val="single" w:sz="4" w:space="0" w:color="auto"/>
            </w:tcBorders>
            <w:noWrap/>
            <w:hideMark/>
          </w:tcPr>
          <w:p w14:paraId="18D2F1C8"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6F924F02" w14:textId="77777777" w:rsidR="007372D2" w:rsidRPr="00EE5DC8" w:rsidRDefault="007372D2" w:rsidP="00A228FB">
            <w:pPr>
              <w:spacing w:after="120"/>
              <w:rPr>
                <w:rStyle w:val="IntenseReference"/>
              </w:rPr>
            </w:pPr>
            <w:r w:rsidRPr="00EE5DC8">
              <w:rPr>
                <w:rStyle w:val="IntenseReference"/>
              </w:rPr>
              <w:t>Pelican</w:t>
            </w:r>
          </w:p>
        </w:tc>
        <w:tc>
          <w:tcPr>
            <w:tcW w:w="708" w:type="dxa"/>
            <w:tcBorders>
              <w:top w:val="single" w:sz="4" w:space="0" w:color="auto"/>
              <w:left w:val="single" w:sz="4" w:space="0" w:color="auto"/>
              <w:bottom w:val="single" w:sz="4" w:space="0" w:color="auto"/>
              <w:right w:val="single" w:sz="4" w:space="0" w:color="auto"/>
            </w:tcBorders>
            <w:noWrap/>
            <w:hideMark/>
          </w:tcPr>
          <w:p w14:paraId="5AEDF942"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76804ACA" w14:textId="77777777" w:rsidR="007372D2" w:rsidRPr="00EE5DC8" w:rsidRDefault="007372D2" w:rsidP="00A228FB">
            <w:pPr>
              <w:spacing w:after="120"/>
              <w:rPr>
                <w:rStyle w:val="IntenseReference"/>
              </w:rPr>
            </w:pPr>
            <w:r w:rsidRPr="00EE5DC8">
              <w:rPr>
                <w:rStyle w:val="IntenseReference"/>
              </w:rPr>
              <w:t>6.4</w:t>
            </w:r>
          </w:p>
        </w:tc>
        <w:tc>
          <w:tcPr>
            <w:tcW w:w="709" w:type="dxa"/>
            <w:tcBorders>
              <w:top w:val="single" w:sz="4" w:space="0" w:color="auto"/>
              <w:left w:val="single" w:sz="4" w:space="0" w:color="auto"/>
              <w:bottom w:val="single" w:sz="4" w:space="0" w:color="auto"/>
              <w:right w:val="single" w:sz="4" w:space="0" w:color="auto"/>
            </w:tcBorders>
            <w:noWrap/>
            <w:hideMark/>
          </w:tcPr>
          <w:p w14:paraId="32C22437" w14:textId="77777777" w:rsidR="007372D2" w:rsidRPr="00EE5DC8" w:rsidRDefault="007372D2" w:rsidP="00A228FB">
            <w:pPr>
              <w:spacing w:after="120"/>
              <w:rPr>
                <w:rStyle w:val="IntenseReference"/>
              </w:rPr>
            </w:pPr>
            <w:r w:rsidRPr="00EE5DC8">
              <w:rPr>
                <w:rStyle w:val="IntenseReference"/>
              </w:rPr>
              <w:t>18.8</w:t>
            </w:r>
          </w:p>
        </w:tc>
        <w:tc>
          <w:tcPr>
            <w:tcW w:w="709" w:type="dxa"/>
            <w:tcBorders>
              <w:top w:val="single" w:sz="4" w:space="0" w:color="auto"/>
              <w:left w:val="single" w:sz="4" w:space="0" w:color="auto"/>
              <w:bottom w:val="single" w:sz="4" w:space="0" w:color="auto"/>
              <w:right w:val="single" w:sz="4" w:space="0" w:color="auto"/>
            </w:tcBorders>
            <w:noWrap/>
            <w:hideMark/>
          </w:tcPr>
          <w:p w14:paraId="5CF41D22" w14:textId="77777777" w:rsidR="007372D2" w:rsidRPr="00EE5DC8" w:rsidRDefault="007372D2" w:rsidP="00A228FB">
            <w:pPr>
              <w:spacing w:after="120"/>
              <w:rPr>
                <w:rStyle w:val="IntenseReference"/>
              </w:rPr>
            </w:pPr>
            <w:r w:rsidRPr="00EE5DC8">
              <w:rPr>
                <w:rStyle w:val="IntenseReference"/>
              </w:rPr>
              <w:t>2</w:t>
            </w:r>
          </w:p>
        </w:tc>
      </w:tr>
      <w:tr w:rsidR="007372D2" w14:paraId="466074AE"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73A9EC2F" w14:textId="77777777" w:rsidR="007372D2" w:rsidRPr="00EE5DC8" w:rsidRDefault="007372D2" w:rsidP="00A228FB">
            <w:pPr>
              <w:spacing w:after="120"/>
              <w:rPr>
                <w:rStyle w:val="IntenseReference"/>
              </w:rPr>
            </w:pPr>
            <w:r w:rsidRPr="00EE5DC8">
              <w:rPr>
                <w:rStyle w:val="IntenseReference"/>
              </w:rPr>
              <w:t>Hayman</w:t>
            </w:r>
          </w:p>
        </w:tc>
        <w:tc>
          <w:tcPr>
            <w:tcW w:w="709" w:type="dxa"/>
            <w:tcBorders>
              <w:top w:val="single" w:sz="4" w:space="0" w:color="auto"/>
              <w:left w:val="single" w:sz="4" w:space="0" w:color="auto"/>
              <w:bottom w:val="single" w:sz="4" w:space="0" w:color="auto"/>
              <w:right w:val="single" w:sz="4" w:space="0" w:color="auto"/>
            </w:tcBorders>
            <w:noWrap/>
            <w:hideMark/>
          </w:tcPr>
          <w:p w14:paraId="58D6BEF5" w14:textId="77777777" w:rsidR="007372D2" w:rsidRPr="00EE5DC8" w:rsidRDefault="007372D2" w:rsidP="00A228FB">
            <w:pPr>
              <w:spacing w:after="120"/>
              <w:rPr>
                <w:rStyle w:val="IntenseReference"/>
              </w:rPr>
            </w:pPr>
          </w:p>
        </w:tc>
        <w:tc>
          <w:tcPr>
            <w:tcW w:w="709" w:type="dxa"/>
            <w:tcBorders>
              <w:top w:val="single" w:sz="4" w:space="0" w:color="auto"/>
              <w:left w:val="single" w:sz="4" w:space="0" w:color="auto"/>
              <w:bottom w:val="single" w:sz="4" w:space="0" w:color="auto"/>
              <w:right w:val="single" w:sz="4" w:space="0" w:color="auto"/>
            </w:tcBorders>
            <w:noWrap/>
            <w:hideMark/>
          </w:tcPr>
          <w:p w14:paraId="4168AED2" w14:textId="77777777" w:rsidR="007372D2" w:rsidRPr="00EE5DC8" w:rsidRDefault="007372D2" w:rsidP="00A228FB">
            <w:pPr>
              <w:spacing w:after="120"/>
              <w:rPr>
                <w:rStyle w:val="IntenseReference"/>
              </w:rPr>
            </w:pPr>
          </w:p>
        </w:tc>
        <w:tc>
          <w:tcPr>
            <w:tcW w:w="708" w:type="dxa"/>
            <w:tcBorders>
              <w:top w:val="single" w:sz="4" w:space="0" w:color="auto"/>
              <w:left w:val="single" w:sz="4" w:space="0" w:color="auto"/>
              <w:bottom w:val="single" w:sz="4" w:space="0" w:color="auto"/>
              <w:right w:val="single" w:sz="4" w:space="0" w:color="auto"/>
            </w:tcBorders>
            <w:noWrap/>
            <w:hideMark/>
          </w:tcPr>
          <w:p w14:paraId="680784C1" w14:textId="77777777" w:rsidR="007372D2" w:rsidRPr="00EE5DC8" w:rsidRDefault="007372D2" w:rsidP="00A228FB">
            <w:pPr>
              <w:spacing w:after="120"/>
              <w:rPr>
                <w:rStyle w:val="IntenseReference"/>
              </w:rPr>
            </w:pPr>
            <w:r w:rsidRPr="00EE5DC8">
              <w:rPr>
                <w:rStyle w:val="IntenseReference"/>
              </w:rPr>
              <w:t>9.4</w:t>
            </w:r>
          </w:p>
        </w:tc>
        <w:tc>
          <w:tcPr>
            <w:tcW w:w="709" w:type="dxa"/>
            <w:tcBorders>
              <w:top w:val="single" w:sz="4" w:space="0" w:color="auto"/>
              <w:left w:val="single" w:sz="4" w:space="0" w:color="auto"/>
              <w:bottom w:val="single" w:sz="4" w:space="0" w:color="auto"/>
              <w:right w:val="single" w:sz="4" w:space="0" w:color="auto"/>
            </w:tcBorders>
            <w:noWrap/>
            <w:hideMark/>
          </w:tcPr>
          <w:p w14:paraId="037CD17C" w14:textId="77777777" w:rsidR="007372D2" w:rsidRPr="00EE5DC8" w:rsidRDefault="007372D2" w:rsidP="00A228FB">
            <w:pPr>
              <w:spacing w:after="120"/>
              <w:rPr>
                <w:rStyle w:val="IntenseReference"/>
              </w:rPr>
            </w:pPr>
            <w:r w:rsidRPr="00EE5DC8">
              <w:rPr>
                <w:rStyle w:val="IntenseReference"/>
              </w:rPr>
              <w:t>1.4</w:t>
            </w:r>
          </w:p>
        </w:tc>
        <w:tc>
          <w:tcPr>
            <w:tcW w:w="284" w:type="dxa"/>
            <w:tcBorders>
              <w:top w:val="nil"/>
              <w:left w:val="single" w:sz="4" w:space="0" w:color="auto"/>
              <w:bottom w:val="nil"/>
              <w:right w:val="single" w:sz="4" w:space="0" w:color="auto"/>
            </w:tcBorders>
            <w:noWrap/>
            <w:hideMark/>
          </w:tcPr>
          <w:p w14:paraId="667D2EB4"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6B75931E" w14:textId="77777777" w:rsidR="007372D2" w:rsidRPr="00EE5DC8" w:rsidRDefault="007372D2" w:rsidP="00A228FB">
            <w:pPr>
              <w:spacing w:after="120"/>
              <w:rPr>
                <w:rStyle w:val="IntenseReference"/>
              </w:rPr>
            </w:pPr>
            <w:r w:rsidRPr="00EE5DC8">
              <w:rPr>
                <w:rStyle w:val="IntenseReference"/>
              </w:rPr>
              <w:t>Pine</w:t>
            </w:r>
          </w:p>
        </w:tc>
        <w:tc>
          <w:tcPr>
            <w:tcW w:w="708" w:type="dxa"/>
            <w:tcBorders>
              <w:top w:val="single" w:sz="4" w:space="0" w:color="auto"/>
              <w:left w:val="single" w:sz="4" w:space="0" w:color="auto"/>
              <w:bottom w:val="single" w:sz="4" w:space="0" w:color="auto"/>
              <w:right w:val="single" w:sz="4" w:space="0" w:color="auto"/>
            </w:tcBorders>
            <w:noWrap/>
            <w:hideMark/>
          </w:tcPr>
          <w:p w14:paraId="1899DD0A" w14:textId="77777777" w:rsidR="007372D2" w:rsidRPr="00EE5DC8" w:rsidRDefault="007372D2" w:rsidP="00A228FB">
            <w:pPr>
              <w:spacing w:after="120"/>
              <w:rPr>
                <w:rStyle w:val="IntenseReference"/>
              </w:rPr>
            </w:pPr>
            <w:r w:rsidRPr="00EE5DC8">
              <w:rPr>
                <w:rStyle w:val="IntenseReference"/>
              </w:rPr>
              <w:t>18.3</w:t>
            </w:r>
          </w:p>
        </w:tc>
        <w:tc>
          <w:tcPr>
            <w:tcW w:w="709" w:type="dxa"/>
            <w:tcBorders>
              <w:top w:val="single" w:sz="4" w:space="0" w:color="auto"/>
              <w:left w:val="single" w:sz="4" w:space="0" w:color="auto"/>
              <w:bottom w:val="single" w:sz="4" w:space="0" w:color="auto"/>
              <w:right w:val="single" w:sz="4" w:space="0" w:color="auto"/>
            </w:tcBorders>
            <w:noWrap/>
            <w:hideMark/>
          </w:tcPr>
          <w:p w14:paraId="61C174EA" w14:textId="77777777" w:rsidR="007372D2" w:rsidRPr="00EE5DC8" w:rsidRDefault="007372D2" w:rsidP="00A228FB">
            <w:pPr>
              <w:spacing w:after="120"/>
              <w:rPr>
                <w:rStyle w:val="IntenseReference"/>
              </w:rPr>
            </w:pPr>
            <w:r w:rsidRPr="00EE5DC8">
              <w:rPr>
                <w:rStyle w:val="IntenseReference"/>
              </w:rPr>
              <w:t>4.4</w:t>
            </w:r>
          </w:p>
        </w:tc>
        <w:tc>
          <w:tcPr>
            <w:tcW w:w="709" w:type="dxa"/>
            <w:tcBorders>
              <w:top w:val="single" w:sz="4" w:space="0" w:color="auto"/>
              <w:left w:val="single" w:sz="4" w:space="0" w:color="auto"/>
              <w:bottom w:val="single" w:sz="4" w:space="0" w:color="auto"/>
              <w:right w:val="single" w:sz="4" w:space="0" w:color="auto"/>
            </w:tcBorders>
            <w:noWrap/>
            <w:hideMark/>
          </w:tcPr>
          <w:p w14:paraId="55AF1C42" w14:textId="77777777" w:rsidR="007372D2" w:rsidRPr="00EE5DC8" w:rsidRDefault="007372D2" w:rsidP="00A228FB">
            <w:pPr>
              <w:spacing w:after="120"/>
              <w:rPr>
                <w:rStyle w:val="IntenseReference"/>
              </w:rPr>
            </w:pPr>
            <w:r w:rsidRPr="00EE5DC8">
              <w:rPr>
                <w:rStyle w:val="IntenseReference"/>
              </w:rPr>
              <w:t>11.2</w:t>
            </w:r>
          </w:p>
        </w:tc>
        <w:tc>
          <w:tcPr>
            <w:tcW w:w="709" w:type="dxa"/>
            <w:tcBorders>
              <w:top w:val="single" w:sz="4" w:space="0" w:color="auto"/>
              <w:left w:val="single" w:sz="4" w:space="0" w:color="auto"/>
              <w:bottom w:val="single" w:sz="4" w:space="0" w:color="auto"/>
              <w:right w:val="single" w:sz="4" w:space="0" w:color="auto"/>
            </w:tcBorders>
            <w:noWrap/>
            <w:hideMark/>
          </w:tcPr>
          <w:p w14:paraId="39DBF55B" w14:textId="77777777" w:rsidR="007372D2" w:rsidRPr="00EE5DC8" w:rsidRDefault="007372D2" w:rsidP="00A228FB">
            <w:pPr>
              <w:spacing w:after="120"/>
              <w:rPr>
                <w:rStyle w:val="IntenseReference"/>
              </w:rPr>
            </w:pPr>
            <w:r w:rsidRPr="00EE5DC8">
              <w:rPr>
                <w:rStyle w:val="IntenseReference"/>
              </w:rPr>
              <w:t>1.6</w:t>
            </w:r>
          </w:p>
        </w:tc>
      </w:tr>
      <w:tr w:rsidR="007372D2" w14:paraId="246F7995"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7D692221" w14:textId="77777777" w:rsidR="007372D2" w:rsidRPr="00EE5DC8" w:rsidRDefault="007372D2" w:rsidP="00A228FB">
            <w:pPr>
              <w:spacing w:after="120"/>
              <w:rPr>
                <w:rStyle w:val="IntenseReference"/>
              </w:rPr>
            </w:pPr>
            <w:r w:rsidRPr="00EE5DC8">
              <w:rPr>
                <w:rStyle w:val="IntenseReference"/>
              </w:rPr>
              <w:t>High East</w:t>
            </w:r>
          </w:p>
        </w:tc>
        <w:tc>
          <w:tcPr>
            <w:tcW w:w="709" w:type="dxa"/>
            <w:tcBorders>
              <w:top w:val="single" w:sz="4" w:space="0" w:color="auto"/>
              <w:left w:val="single" w:sz="4" w:space="0" w:color="auto"/>
              <w:bottom w:val="single" w:sz="4" w:space="0" w:color="auto"/>
              <w:right w:val="single" w:sz="4" w:space="0" w:color="auto"/>
            </w:tcBorders>
            <w:noWrap/>
            <w:hideMark/>
          </w:tcPr>
          <w:p w14:paraId="454F53E9" w14:textId="77777777" w:rsidR="007372D2" w:rsidRPr="00EE5DC8" w:rsidRDefault="007372D2" w:rsidP="00A228FB">
            <w:pPr>
              <w:spacing w:after="120"/>
              <w:rPr>
                <w:rStyle w:val="IntenseReference"/>
              </w:rPr>
            </w:pPr>
            <w:r w:rsidRPr="00EE5DC8">
              <w:rPr>
                <w:rStyle w:val="IntenseReference"/>
              </w:rPr>
              <w:t>11.2</w:t>
            </w:r>
          </w:p>
        </w:tc>
        <w:tc>
          <w:tcPr>
            <w:tcW w:w="709" w:type="dxa"/>
            <w:tcBorders>
              <w:top w:val="single" w:sz="4" w:space="0" w:color="auto"/>
              <w:left w:val="single" w:sz="4" w:space="0" w:color="auto"/>
              <w:bottom w:val="single" w:sz="4" w:space="0" w:color="auto"/>
              <w:right w:val="single" w:sz="4" w:space="0" w:color="auto"/>
            </w:tcBorders>
            <w:noWrap/>
            <w:hideMark/>
          </w:tcPr>
          <w:p w14:paraId="0F52D84E" w14:textId="77777777" w:rsidR="007372D2" w:rsidRPr="00EE5DC8" w:rsidRDefault="007372D2" w:rsidP="00A228FB">
            <w:pPr>
              <w:spacing w:after="120"/>
              <w:rPr>
                <w:rStyle w:val="IntenseReference"/>
              </w:rPr>
            </w:pPr>
            <w:r w:rsidRPr="00EE5DC8">
              <w:rPr>
                <w:rStyle w:val="IntenseReference"/>
              </w:rPr>
              <w:t>3.4</w:t>
            </w:r>
          </w:p>
        </w:tc>
        <w:tc>
          <w:tcPr>
            <w:tcW w:w="708" w:type="dxa"/>
            <w:tcBorders>
              <w:top w:val="single" w:sz="4" w:space="0" w:color="auto"/>
              <w:left w:val="single" w:sz="4" w:space="0" w:color="auto"/>
              <w:bottom w:val="single" w:sz="4" w:space="0" w:color="auto"/>
              <w:right w:val="single" w:sz="4" w:space="0" w:color="auto"/>
            </w:tcBorders>
            <w:noWrap/>
            <w:hideMark/>
          </w:tcPr>
          <w:p w14:paraId="7840E6D3" w14:textId="77777777" w:rsidR="007372D2" w:rsidRPr="00EE5DC8" w:rsidRDefault="007372D2" w:rsidP="00A228FB">
            <w:pPr>
              <w:spacing w:after="120"/>
              <w:rPr>
                <w:rStyle w:val="IntenseReference"/>
              </w:rPr>
            </w:pPr>
            <w:r w:rsidRPr="00EE5DC8">
              <w:rPr>
                <w:rStyle w:val="IntenseReference"/>
              </w:rPr>
              <w:t>13</w:t>
            </w:r>
          </w:p>
        </w:tc>
        <w:tc>
          <w:tcPr>
            <w:tcW w:w="709" w:type="dxa"/>
            <w:tcBorders>
              <w:top w:val="single" w:sz="4" w:space="0" w:color="auto"/>
              <w:left w:val="single" w:sz="4" w:space="0" w:color="auto"/>
              <w:bottom w:val="single" w:sz="4" w:space="0" w:color="auto"/>
              <w:right w:val="single" w:sz="4" w:space="0" w:color="auto"/>
            </w:tcBorders>
            <w:noWrap/>
            <w:hideMark/>
          </w:tcPr>
          <w:p w14:paraId="6CE41939" w14:textId="77777777" w:rsidR="007372D2" w:rsidRPr="00EE5DC8" w:rsidRDefault="007372D2" w:rsidP="00A228FB">
            <w:pPr>
              <w:spacing w:after="120"/>
              <w:rPr>
                <w:rStyle w:val="IntenseReference"/>
              </w:rPr>
            </w:pPr>
            <w:r w:rsidRPr="00EE5DC8">
              <w:rPr>
                <w:rStyle w:val="IntenseReference"/>
              </w:rPr>
              <w:t>1.4</w:t>
            </w:r>
          </w:p>
        </w:tc>
        <w:tc>
          <w:tcPr>
            <w:tcW w:w="284" w:type="dxa"/>
            <w:tcBorders>
              <w:top w:val="nil"/>
              <w:left w:val="single" w:sz="4" w:space="0" w:color="auto"/>
              <w:bottom w:val="nil"/>
              <w:right w:val="single" w:sz="4" w:space="0" w:color="auto"/>
            </w:tcBorders>
            <w:noWrap/>
            <w:hideMark/>
          </w:tcPr>
          <w:p w14:paraId="05A88131"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2C70F46B" w14:textId="77777777" w:rsidR="007372D2" w:rsidRPr="00EE5DC8" w:rsidRDefault="007372D2" w:rsidP="00A228FB">
            <w:pPr>
              <w:spacing w:after="120"/>
              <w:rPr>
                <w:rStyle w:val="IntenseReference"/>
              </w:rPr>
            </w:pPr>
            <w:r w:rsidRPr="00EE5DC8">
              <w:rPr>
                <w:rStyle w:val="IntenseReference"/>
              </w:rPr>
              <w:t>Seaforth</w:t>
            </w:r>
          </w:p>
        </w:tc>
        <w:tc>
          <w:tcPr>
            <w:tcW w:w="708" w:type="dxa"/>
            <w:tcBorders>
              <w:top w:val="single" w:sz="4" w:space="0" w:color="auto"/>
              <w:left w:val="single" w:sz="4" w:space="0" w:color="auto"/>
              <w:bottom w:val="single" w:sz="4" w:space="0" w:color="auto"/>
              <w:right w:val="single" w:sz="4" w:space="0" w:color="auto"/>
            </w:tcBorders>
            <w:noWrap/>
            <w:hideMark/>
          </w:tcPr>
          <w:p w14:paraId="045D6885" w14:textId="77777777" w:rsidR="007372D2" w:rsidRPr="00EE5DC8" w:rsidRDefault="007372D2" w:rsidP="00A228FB">
            <w:pPr>
              <w:spacing w:after="120"/>
              <w:rPr>
                <w:rStyle w:val="IntenseReference"/>
              </w:rPr>
            </w:pPr>
            <w:r w:rsidRPr="00EE5DC8">
              <w:rPr>
                <w:rStyle w:val="IntenseReference"/>
              </w:rPr>
              <w:t>11.8</w:t>
            </w:r>
          </w:p>
        </w:tc>
        <w:tc>
          <w:tcPr>
            <w:tcW w:w="709" w:type="dxa"/>
            <w:tcBorders>
              <w:top w:val="single" w:sz="4" w:space="0" w:color="auto"/>
              <w:left w:val="single" w:sz="4" w:space="0" w:color="auto"/>
              <w:bottom w:val="single" w:sz="4" w:space="0" w:color="auto"/>
              <w:right w:val="single" w:sz="4" w:space="0" w:color="auto"/>
            </w:tcBorders>
            <w:noWrap/>
            <w:hideMark/>
          </w:tcPr>
          <w:p w14:paraId="0E7F59E9" w14:textId="77777777" w:rsidR="007372D2" w:rsidRPr="00EE5DC8" w:rsidRDefault="007372D2" w:rsidP="00A228FB">
            <w:pPr>
              <w:spacing w:after="120"/>
              <w:rPr>
                <w:rStyle w:val="IntenseReference"/>
              </w:rPr>
            </w:pPr>
            <w:r w:rsidRPr="00EE5DC8">
              <w:rPr>
                <w:rStyle w:val="IntenseReference"/>
              </w:rPr>
              <w:t>3.4</w:t>
            </w:r>
          </w:p>
        </w:tc>
        <w:tc>
          <w:tcPr>
            <w:tcW w:w="709" w:type="dxa"/>
            <w:tcBorders>
              <w:top w:val="single" w:sz="4" w:space="0" w:color="auto"/>
              <w:left w:val="single" w:sz="4" w:space="0" w:color="auto"/>
              <w:bottom w:val="single" w:sz="4" w:space="0" w:color="auto"/>
              <w:right w:val="single" w:sz="4" w:space="0" w:color="auto"/>
            </w:tcBorders>
            <w:noWrap/>
            <w:hideMark/>
          </w:tcPr>
          <w:p w14:paraId="46A8FDD6" w14:textId="77777777" w:rsidR="007372D2" w:rsidRPr="00EE5DC8" w:rsidRDefault="007372D2" w:rsidP="00A228FB">
            <w:pPr>
              <w:spacing w:after="120"/>
              <w:rPr>
                <w:rStyle w:val="IntenseReference"/>
              </w:rPr>
            </w:pPr>
            <w:r w:rsidRPr="00EE5DC8">
              <w:rPr>
                <w:rStyle w:val="IntenseReference"/>
              </w:rPr>
              <w:t>10.2</w:t>
            </w:r>
          </w:p>
        </w:tc>
        <w:tc>
          <w:tcPr>
            <w:tcW w:w="709" w:type="dxa"/>
            <w:tcBorders>
              <w:top w:val="single" w:sz="4" w:space="0" w:color="auto"/>
              <w:left w:val="single" w:sz="4" w:space="0" w:color="auto"/>
              <w:bottom w:val="single" w:sz="4" w:space="0" w:color="auto"/>
              <w:right w:val="single" w:sz="4" w:space="0" w:color="auto"/>
            </w:tcBorders>
            <w:noWrap/>
            <w:hideMark/>
          </w:tcPr>
          <w:p w14:paraId="5C1ECB70" w14:textId="77777777" w:rsidR="007372D2" w:rsidRPr="00EE5DC8" w:rsidRDefault="007372D2" w:rsidP="00A228FB">
            <w:pPr>
              <w:spacing w:after="120"/>
              <w:rPr>
                <w:rStyle w:val="IntenseReference"/>
              </w:rPr>
            </w:pPr>
            <w:r w:rsidRPr="00EE5DC8">
              <w:rPr>
                <w:rStyle w:val="IntenseReference"/>
              </w:rPr>
              <w:t>1.4</w:t>
            </w:r>
          </w:p>
        </w:tc>
      </w:tr>
      <w:tr w:rsidR="007372D2" w14:paraId="7BBF25B8"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63980033" w14:textId="77777777" w:rsidR="007372D2" w:rsidRPr="00EE5DC8" w:rsidRDefault="007372D2" w:rsidP="00A228FB">
            <w:pPr>
              <w:spacing w:after="120"/>
              <w:rPr>
                <w:rStyle w:val="IntenseReference"/>
              </w:rPr>
            </w:pPr>
            <w:r w:rsidRPr="00EE5DC8">
              <w:rPr>
                <w:rStyle w:val="IntenseReference"/>
              </w:rPr>
              <w:t>High West</w:t>
            </w:r>
          </w:p>
        </w:tc>
        <w:tc>
          <w:tcPr>
            <w:tcW w:w="709" w:type="dxa"/>
            <w:tcBorders>
              <w:top w:val="single" w:sz="4" w:space="0" w:color="auto"/>
              <w:left w:val="single" w:sz="4" w:space="0" w:color="auto"/>
              <w:bottom w:val="single" w:sz="4" w:space="0" w:color="auto"/>
              <w:right w:val="single" w:sz="4" w:space="0" w:color="auto"/>
            </w:tcBorders>
            <w:noWrap/>
            <w:hideMark/>
          </w:tcPr>
          <w:p w14:paraId="594C91C6" w14:textId="77777777" w:rsidR="007372D2" w:rsidRPr="00EE5DC8" w:rsidRDefault="007372D2" w:rsidP="00A228FB">
            <w:pPr>
              <w:spacing w:after="120"/>
              <w:rPr>
                <w:rStyle w:val="IntenseReference"/>
              </w:rPr>
            </w:pPr>
            <w:r w:rsidRPr="00EE5DC8">
              <w:rPr>
                <w:rStyle w:val="IntenseReference"/>
              </w:rPr>
              <w:t>22.4</w:t>
            </w:r>
          </w:p>
        </w:tc>
        <w:tc>
          <w:tcPr>
            <w:tcW w:w="709" w:type="dxa"/>
            <w:tcBorders>
              <w:top w:val="single" w:sz="4" w:space="0" w:color="auto"/>
              <w:left w:val="single" w:sz="4" w:space="0" w:color="auto"/>
              <w:bottom w:val="single" w:sz="4" w:space="0" w:color="auto"/>
              <w:right w:val="single" w:sz="4" w:space="0" w:color="auto"/>
            </w:tcBorders>
            <w:noWrap/>
            <w:hideMark/>
          </w:tcPr>
          <w:p w14:paraId="69812C53" w14:textId="77777777" w:rsidR="007372D2" w:rsidRPr="00EE5DC8" w:rsidRDefault="007372D2" w:rsidP="00A228FB">
            <w:pPr>
              <w:spacing w:after="120"/>
              <w:rPr>
                <w:rStyle w:val="IntenseReference"/>
              </w:rPr>
            </w:pPr>
            <w:r w:rsidRPr="00EE5DC8">
              <w:rPr>
                <w:rStyle w:val="IntenseReference"/>
              </w:rPr>
              <w:t>4.4</w:t>
            </w:r>
          </w:p>
        </w:tc>
        <w:tc>
          <w:tcPr>
            <w:tcW w:w="708" w:type="dxa"/>
            <w:tcBorders>
              <w:top w:val="single" w:sz="4" w:space="0" w:color="auto"/>
              <w:left w:val="single" w:sz="4" w:space="0" w:color="auto"/>
              <w:bottom w:val="single" w:sz="4" w:space="0" w:color="auto"/>
              <w:right w:val="single" w:sz="4" w:space="0" w:color="auto"/>
            </w:tcBorders>
            <w:noWrap/>
            <w:hideMark/>
          </w:tcPr>
          <w:p w14:paraId="1B8E4C5D" w14:textId="77777777" w:rsidR="007372D2" w:rsidRPr="00EE5DC8" w:rsidRDefault="007372D2" w:rsidP="00A228FB">
            <w:pPr>
              <w:spacing w:after="120"/>
              <w:rPr>
                <w:rStyle w:val="IntenseReference"/>
              </w:rPr>
            </w:pPr>
            <w:r w:rsidRPr="00EE5DC8">
              <w:rPr>
                <w:rStyle w:val="IntenseReference"/>
              </w:rPr>
              <w:t>12.1</w:t>
            </w:r>
          </w:p>
        </w:tc>
        <w:tc>
          <w:tcPr>
            <w:tcW w:w="709" w:type="dxa"/>
            <w:tcBorders>
              <w:top w:val="single" w:sz="4" w:space="0" w:color="auto"/>
              <w:left w:val="single" w:sz="4" w:space="0" w:color="auto"/>
              <w:bottom w:val="single" w:sz="4" w:space="0" w:color="auto"/>
              <w:right w:val="single" w:sz="4" w:space="0" w:color="auto"/>
            </w:tcBorders>
            <w:noWrap/>
            <w:hideMark/>
          </w:tcPr>
          <w:p w14:paraId="3D1447F4" w14:textId="77777777" w:rsidR="007372D2" w:rsidRPr="00EE5DC8" w:rsidRDefault="007372D2" w:rsidP="00A228FB">
            <w:pPr>
              <w:spacing w:after="120"/>
              <w:rPr>
                <w:rStyle w:val="IntenseReference"/>
              </w:rPr>
            </w:pPr>
            <w:r w:rsidRPr="00EE5DC8">
              <w:rPr>
                <w:rStyle w:val="IntenseReference"/>
              </w:rPr>
              <w:t>1.6</w:t>
            </w:r>
          </w:p>
        </w:tc>
        <w:tc>
          <w:tcPr>
            <w:tcW w:w="284" w:type="dxa"/>
            <w:tcBorders>
              <w:top w:val="nil"/>
              <w:left w:val="single" w:sz="4" w:space="0" w:color="auto"/>
              <w:bottom w:val="nil"/>
              <w:right w:val="single" w:sz="4" w:space="0" w:color="auto"/>
            </w:tcBorders>
            <w:noWrap/>
            <w:hideMark/>
          </w:tcPr>
          <w:p w14:paraId="4E193002"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3753AACC" w14:textId="77777777" w:rsidR="007372D2" w:rsidRPr="00EE5DC8" w:rsidRDefault="007372D2" w:rsidP="00A228FB">
            <w:pPr>
              <w:spacing w:after="120"/>
              <w:rPr>
                <w:rStyle w:val="IntenseReference"/>
              </w:rPr>
            </w:pPr>
            <w:r w:rsidRPr="00EE5DC8">
              <w:rPr>
                <w:rStyle w:val="IntenseReference"/>
              </w:rPr>
              <w:t>Shute Harbour</w:t>
            </w:r>
          </w:p>
        </w:tc>
        <w:tc>
          <w:tcPr>
            <w:tcW w:w="708" w:type="dxa"/>
            <w:tcBorders>
              <w:top w:val="single" w:sz="4" w:space="0" w:color="auto"/>
              <w:left w:val="single" w:sz="4" w:space="0" w:color="auto"/>
              <w:bottom w:val="single" w:sz="4" w:space="0" w:color="auto"/>
              <w:right w:val="single" w:sz="4" w:space="0" w:color="auto"/>
            </w:tcBorders>
            <w:noWrap/>
            <w:hideMark/>
          </w:tcPr>
          <w:p w14:paraId="1FCC276F" w14:textId="77777777" w:rsidR="007372D2" w:rsidRPr="00EE5DC8" w:rsidRDefault="007372D2" w:rsidP="00A228FB">
            <w:pPr>
              <w:spacing w:after="120"/>
              <w:rPr>
                <w:rStyle w:val="IntenseReference"/>
              </w:rPr>
            </w:pPr>
            <w:r w:rsidRPr="00EE5DC8">
              <w:rPr>
                <w:rStyle w:val="IntenseReference"/>
              </w:rPr>
              <w:t>17.6</w:t>
            </w:r>
          </w:p>
        </w:tc>
        <w:tc>
          <w:tcPr>
            <w:tcW w:w="709" w:type="dxa"/>
            <w:tcBorders>
              <w:top w:val="single" w:sz="4" w:space="0" w:color="auto"/>
              <w:left w:val="single" w:sz="4" w:space="0" w:color="auto"/>
              <w:bottom w:val="single" w:sz="4" w:space="0" w:color="auto"/>
              <w:right w:val="single" w:sz="4" w:space="0" w:color="auto"/>
            </w:tcBorders>
            <w:noWrap/>
            <w:hideMark/>
          </w:tcPr>
          <w:p w14:paraId="76118033" w14:textId="77777777" w:rsidR="007372D2" w:rsidRPr="00EE5DC8" w:rsidRDefault="007372D2" w:rsidP="00A228FB">
            <w:pPr>
              <w:spacing w:after="120"/>
              <w:rPr>
                <w:rStyle w:val="IntenseReference"/>
              </w:rPr>
            </w:pPr>
            <w:r w:rsidRPr="00EE5DC8">
              <w:rPr>
                <w:rStyle w:val="IntenseReference"/>
              </w:rPr>
              <w:t>4.2</w:t>
            </w:r>
          </w:p>
        </w:tc>
        <w:tc>
          <w:tcPr>
            <w:tcW w:w="709" w:type="dxa"/>
            <w:tcBorders>
              <w:top w:val="single" w:sz="4" w:space="0" w:color="auto"/>
              <w:left w:val="single" w:sz="4" w:space="0" w:color="auto"/>
              <w:bottom w:val="single" w:sz="4" w:space="0" w:color="auto"/>
              <w:right w:val="single" w:sz="4" w:space="0" w:color="auto"/>
            </w:tcBorders>
            <w:noWrap/>
            <w:hideMark/>
          </w:tcPr>
          <w:p w14:paraId="18700B2F" w14:textId="77777777" w:rsidR="007372D2" w:rsidRPr="00EE5DC8" w:rsidRDefault="007372D2" w:rsidP="00A228FB">
            <w:pPr>
              <w:spacing w:after="120"/>
              <w:rPr>
                <w:rStyle w:val="IntenseReference"/>
              </w:rPr>
            </w:pPr>
            <w:r w:rsidRPr="00EE5DC8">
              <w:rPr>
                <w:rStyle w:val="IntenseReference"/>
              </w:rPr>
              <w:t>11.7</w:t>
            </w:r>
          </w:p>
        </w:tc>
        <w:tc>
          <w:tcPr>
            <w:tcW w:w="709" w:type="dxa"/>
            <w:tcBorders>
              <w:top w:val="single" w:sz="4" w:space="0" w:color="auto"/>
              <w:left w:val="single" w:sz="4" w:space="0" w:color="auto"/>
              <w:bottom w:val="single" w:sz="4" w:space="0" w:color="auto"/>
              <w:right w:val="single" w:sz="4" w:space="0" w:color="auto"/>
            </w:tcBorders>
            <w:noWrap/>
            <w:hideMark/>
          </w:tcPr>
          <w:p w14:paraId="1D69B7DC" w14:textId="77777777" w:rsidR="007372D2" w:rsidRPr="00EE5DC8" w:rsidRDefault="007372D2" w:rsidP="00A228FB">
            <w:pPr>
              <w:spacing w:after="120"/>
              <w:rPr>
                <w:rStyle w:val="IntenseReference"/>
              </w:rPr>
            </w:pPr>
            <w:r w:rsidRPr="00EE5DC8">
              <w:rPr>
                <w:rStyle w:val="IntenseReference"/>
              </w:rPr>
              <w:t>1.6</w:t>
            </w:r>
          </w:p>
        </w:tc>
      </w:tr>
      <w:tr w:rsidR="007372D2" w14:paraId="7648278F"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6F1709E3" w14:textId="77777777" w:rsidR="007372D2" w:rsidRPr="00EE5DC8" w:rsidRDefault="007372D2" w:rsidP="00A228FB">
            <w:pPr>
              <w:spacing w:after="120"/>
              <w:rPr>
                <w:rStyle w:val="IntenseReference"/>
              </w:rPr>
            </w:pPr>
            <w:r w:rsidRPr="00EE5DC8">
              <w:rPr>
                <w:rStyle w:val="IntenseReference"/>
              </w:rPr>
              <w:t>Hook</w:t>
            </w:r>
          </w:p>
        </w:tc>
        <w:tc>
          <w:tcPr>
            <w:tcW w:w="709" w:type="dxa"/>
            <w:tcBorders>
              <w:top w:val="single" w:sz="4" w:space="0" w:color="auto"/>
              <w:left w:val="single" w:sz="4" w:space="0" w:color="auto"/>
              <w:bottom w:val="single" w:sz="4" w:space="0" w:color="auto"/>
              <w:right w:val="single" w:sz="4" w:space="0" w:color="auto"/>
            </w:tcBorders>
            <w:noWrap/>
            <w:hideMark/>
          </w:tcPr>
          <w:p w14:paraId="61E34804" w14:textId="77777777" w:rsidR="007372D2" w:rsidRPr="00EE5DC8" w:rsidRDefault="007372D2" w:rsidP="00A228FB">
            <w:pPr>
              <w:spacing w:after="120"/>
              <w:rPr>
                <w:rStyle w:val="IntenseReference"/>
              </w:rPr>
            </w:pPr>
            <w:r w:rsidRPr="00EE5DC8">
              <w:rPr>
                <w:rStyle w:val="IntenseReference"/>
              </w:rPr>
              <w:t>9.3</w:t>
            </w:r>
          </w:p>
        </w:tc>
        <w:tc>
          <w:tcPr>
            <w:tcW w:w="709" w:type="dxa"/>
            <w:tcBorders>
              <w:top w:val="single" w:sz="4" w:space="0" w:color="auto"/>
              <w:left w:val="single" w:sz="4" w:space="0" w:color="auto"/>
              <w:bottom w:val="single" w:sz="4" w:space="0" w:color="auto"/>
              <w:right w:val="single" w:sz="4" w:space="0" w:color="auto"/>
            </w:tcBorders>
            <w:noWrap/>
            <w:hideMark/>
          </w:tcPr>
          <w:p w14:paraId="674EB9B6" w14:textId="77777777" w:rsidR="007372D2" w:rsidRPr="00EE5DC8" w:rsidRDefault="007372D2" w:rsidP="00A228FB">
            <w:pPr>
              <w:spacing w:after="120"/>
              <w:rPr>
                <w:rStyle w:val="IntenseReference"/>
              </w:rPr>
            </w:pPr>
            <w:r w:rsidRPr="00EE5DC8">
              <w:rPr>
                <w:rStyle w:val="IntenseReference"/>
              </w:rPr>
              <w:t>3.4</w:t>
            </w:r>
          </w:p>
        </w:tc>
        <w:tc>
          <w:tcPr>
            <w:tcW w:w="708" w:type="dxa"/>
            <w:tcBorders>
              <w:top w:val="single" w:sz="4" w:space="0" w:color="auto"/>
              <w:left w:val="single" w:sz="4" w:space="0" w:color="auto"/>
              <w:bottom w:val="single" w:sz="4" w:space="0" w:color="auto"/>
              <w:right w:val="single" w:sz="4" w:space="0" w:color="auto"/>
            </w:tcBorders>
            <w:noWrap/>
            <w:hideMark/>
          </w:tcPr>
          <w:p w14:paraId="52376969" w14:textId="77777777" w:rsidR="007372D2" w:rsidRPr="00EE5DC8" w:rsidRDefault="007372D2" w:rsidP="00A228FB">
            <w:pPr>
              <w:spacing w:after="120"/>
              <w:rPr>
                <w:rStyle w:val="IntenseReference"/>
              </w:rPr>
            </w:pPr>
            <w:r w:rsidRPr="00EE5DC8">
              <w:rPr>
                <w:rStyle w:val="IntenseReference"/>
              </w:rPr>
              <w:t>8.1</w:t>
            </w:r>
          </w:p>
        </w:tc>
        <w:tc>
          <w:tcPr>
            <w:tcW w:w="709" w:type="dxa"/>
            <w:tcBorders>
              <w:top w:val="single" w:sz="4" w:space="0" w:color="auto"/>
              <w:left w:val="single" w:sz="4" w:space="0" w:color="auto"/>
              <w:bottom w:val="single" w:sz="4" w:space="0" w:color="auto"/>
              <w:right w:val="single" w:sz="4" w:space="0" w:color="auto"/>
            </w:tcBorders>
            <w:noWrap/>
            <w:hideMark/>
          </w:tcPr>
          <w:p w14:paraId="32D3C95F" w14:textId="77777777" w:rsidR="007372D2" w:rsidRPr="00EE5DC8" w:rsidRDefault="007372D2" w:rsidP="00A228FB">
            <w:pPr>
              <w:spacing w:after="120"/>
              <w:rPr>
                <w:rStyle w:val="IntenseReference"/>
              </w:rPr>
            </w:pPr>
            <w:r w:rsidRPr="00EE5DC8">
              <w:rPr>
                <w:rStyle w:val="IntenseReference"/>
              </w:rPr>
              <w:t>1.4</w:t>
            </w:r>
          </w:p>
        </w:tc>
        <w:tc>
          <w:tcPr>
            <w:tcW w:w="284" w:type="dxa"/>
            <w:tcBorders>
              <w:top w:val="nil"/>
              <w:left w:val="single" w:sz="4" w:space="0" w:color="auto"/>
              <w:bottom w:val="nil"/>
              <w:right w:val="single" w:sz="4" w:space="0" w:color="auto"/>
            </w:tcBorders>
            <w:noWrap/>
            <w:hideMark/>
          </w:tcPr>
          <w:p w14:paraId="01E10E64"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31F1D3BE" w14:textId="77777777" w:rsidR="007372D2" w:rsidRPr="00EE5DC8" w:rsidRDefault="007372D2" w:rsidP="00A228FB">
            <w:pPr>
              <w:spacing w:after="120"/>
              <w:rPr>
                <w:rStyle w:val="IntenseReference"/>
              </w:rPr>
            </w:pPr>
            <w:r w:rsidRPr="00EE5DC8">
              <w:rPr>
                <w:rStyle w:val="IntenseReference"/>
              </w:rPr>
              <w:t>Snapper North</w:t>
            </w:r>
          </w:p>
        </w:tc>
        <w:tc>
          <w:tcPr>
            <w:tcW w:w="708" w:type="dxa"/>
            <w:tcBorders>
              <w:top w:val="single" w:sz="4" w:space="0" w:color="auto"/>
              <w:left w:val="single" w:sz="4" w:space="0" w:color="auto"/>
              <w:bottom w:val="single" w:sz="4" w:space="0" w:color="auto"/>
              <w:right w:val="single" w:sz="4" w:space="0" w:color="auto"/>
            </w:tcBorders>
            <w:noWrap/>
            <w:hideMark/>
          </w:tcPr>
          <w:p w14:paraId="2554E975" w14:textId="77777777" w:rsidR="007372D2" w:rsidRPr="00EE5DC8" w:rsidRDefault="007372D2" w:rsidP="00A228FB">
            <w:pPr>
              <w:spacing w:after="120"/>
              <w:rPr>
                <w:rStyle w:val="IntenseReference"/>
              </w:rPr>
            </w:pPr>
            <w:r w:rsidRPr="00EE5DC8">
              <w:rPr>
                <w:rStyle w:val="IntenseReference"/>
              </w:rPr>
              <w:t>18.7</w:t>
            </w:r>
          </w:p>
        </w:tc>
        <w:tc>
          <w:tcPr>
            <w:tcW w:w="709" w:type="dxa"/>
            <w:tcBorders>
              <w:top w:val="single" w:sz="4" w:space="0" w:color="auto"/>
              <w:left w:val="single" w:sz="4" w:space="0" w:color="auto"/>
              <w:bottom w:val="single" w:sz="4" w:space="0" w:color="auto"/>
              <w:right w:val="single" w:sz="4" w:space="0" w:color="auto"/>
            </w:tcBorders>
            <w:noWrap/>
            <w:hideMark/>
          </w:tcPr>
          <w:p w14:paraId="458CF848" w14:textId="77777777" w:rsidR="007372D2" w:rsidRPr="00EE5DC8" w:rsidRDefault="007372D2" w:rsidP="00A228FB">
            <w:pPr>
              <w:spacing w:after="120"/>
              <w:rPr>
                <w:rStyle w:val="IntenseReference"/>
              </w:rPr>
            </w:pPr>
            <w:r w:rsidRPr="00EE5DC8">
              <w:rPr>
                <w:rStyle w:val="IntenseReference"/>
              </w:rPr>
              <w:t>4.4</w:t>
            </w:r>
          </w:p>
        </w:tc>
        <w:tc>
          <w:tcPr>
            <w:tcW w:w="709" w:type="dxa"/>
            <w:tcBorders>
              <w:top w:val="single" w:sz="4" w:space="0" w:color="auto"/>
              <w:left w:val="single" w:sz="4" w:space="0" w:color="auto"/>
              <w:bottom w:val="single" w:sz="4" w:space="0" w:color="auto"/>
              <w:right w:val="single" w:sz="4" w:space="0" w:color="auto"/>
            </w:tcBorders>
            <w:noWrap/>
            <w:hideMark/>
          </w:tcPr>
          <w:p w14:paraId="4C1DC6A2" w14:textId="77777777" w:rsidR="007372D2" w:rsidRPr="00EE5DC8" w:rsidRDefault="007372D2" w:rsidP="00A228FB">
            <w:pPr>
              <w:spacing w:after="120"/>
              <w:rPr>
                <w:rStyle w:val="IntenseReference"/>
              </w:rPr>
            </w:pPr>
            <w:r w:rsidRPr="00EE5DC8">
              <w:rPr>
                <w:rStyle w:val="IntenseReference"/>
              </w:rPr>
              <w:t>11.3</w:t>
            </w:r>
          </w:p>
        </w:tc>
        <w:tc>
          <w:tcPr>
            <w:tcW w:w="709" w:type="dxa"/>
            <w:tcBorders>
              <w:top w:val="single" w:sz="4" w:space="0" w:color="auto"/>
              <w:left w:val="single" w:sz="4" w:space="0" w:color="auto"/>
              <w:bottom w:val="single" w:sz="4" w:space="0" w:color="auto"/>
              <w:right w:val="single" w:sz="4" w:space="0" w:color="auto"/>
            </w:tcBorders>
            <w:noWrap/>
            <w:hideMark/>
          </w:tcPr>
          <w:p w14:paraId="2D5A24F2" w14:textId="77777777" w:rsidR="007372D2" w:rsidRPr="00EE5DC8" w:rsidRDefault="007372D2" w:rsidP="00A228FB">
            <w:pPr>
              <w:spacing w:after="120"/>
              <w:rPr>
                <w:rStyle w:val="IntenseReference"/>
              </w:rPr>
            </w:pPr>
            <w:r w:rsidRPr="00EE5DC8">
              <w:rPr>
                <w:rStyle w:val="IntenseReference"/>
              </w:rPr>
              <w:t>1.6</w:t>
            </w:r>
          </w:p>
        </w:tc>
      </w:tr>
      <w:tr w:rsidR="007372D2" w14:paraId="680285A4" w14:textId="77777777" w:rsidTr="00C32638">
        <w:trPr>
          <w:trHeight w:hRule="exact" w:val="255"/>
        </w:trPr>
        <w:tc>
          <w:tcPr>
            <w:tcW w:w="1701" w:type="dxa"/>
            <w:tcBorders>
              <w:top w:val="single" w:sz="4" w:space="0" w:color="auto"/>
              <w:left w:val="single" w:sz="4" w:space="0" w:color="auto"/>
              <w:bottom w:val="single" w:sz="4" w:space="0" w:color="auto"/>
              <w:right w:val="single" w:sz="4" w:space="0" w:color="auto"/>
            </w:tcBorders>
            <w:noWrap/>
            <w:hideMark/>
          </w:tcPr>
          <w:p w14:paraId="49229C60" w14:textId="77777777" w:rsidR="007372D2" w:rsidRPr="00EE5DC8" w:rsidRDefault="007372D2" w:rsidP="00A228FB">
            <w:pPr>
              <w:spacing w:after="120"/>
              <w:rPr>
                <w:rStyle w:val="IntenseReference"/>
              </w:rPr>
            </w:pPr>
            <w:r w:rsidRPr="00EE5DC8">
              <w:rPr>
                <w:rStyle w:val="IntenseReference"/>
              </w:rPr>
              <w:t>Keppels South</w:t>
            </w:r>
          </w:p>
        </w:tc>
        <w:tc>
          <w:tcPr>
            <w:tcW w:w="709" w:type="dxa"/>
            <w:tcBorders>
              <w:top w:val="single" w:sz="4" w:space="0" w:color="auto"/>
              <w:left w:val="single" w:sz="4" w:space="0" w:color="auto"/>
              <w:bottom w:val="single" w:sz="4" w:space="0" w:color="auto"/>
              <w:right w:val="single" w:sz="4" w:space="0" w:color="auto"/>
            </w:tcBorders>
            <w:noWrap/>
            <w:hideMark/>
          </w:tcPr>
          <w:p w14:paraId="4FD5D96E"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5A032089" w14:textId="77777777" w:rsidR="007372D2" w:rsidRPr="00EE5DC8" w:rsidRDefault="007372D2" w:rsidP="00A228FB">
            <w:pPr>
              <w:spacing w:after="120"/>
              <w:rPr>
                <w:rStyle w:val="IntenseReference"/>
              </w:rPr>
            </w:pPr>
            <w:r w:rsidRPr="00EE5DC8">
              <w:rPr>
                <w:rStyle w:val="IntenseReference"/>
              </w:rPr>
              <w:t>3.9</w:t>
            </w:r>
          </w:p>
        </w:tc>
        <w:tc>
          <w:tcPr>
            <w:tcW w:w="708" w:type="dxa"/>
            <w:tcBorders>
              <w:top w:val="single" w:sz="4" w:space="0" w:color="auto"/>
              <w:left w:val="single" w:sz="4" w:space="0" w:color="auto"/>
              <w:bottom w:val="single" w:sz="4" w:space="0" w:color="auto"/>
              <w:right w:val="single" w:sz="4" w:space="0" w:color="auto"/>
            </w:tcBorders>
            <w:noWrap/>
            <w:hideMark/>
          </w:tcPr>
          <w:p w14:paraId="4503FDDD" w14:textId="77777777" w:rsidR="007372D2" w:rsidRPr="00EE5DC8" w:rsidRDefault="007372D2" w:rsidP="00A228FB">
            <w:pPr>
              <w:spacing w:after="120"/>
              <w:rPr>
                <w:rStyle w:val="IntenseReference"/>
              </w:rPr>
            </w:pPr>
            <w:r w:rsidRPr="00EE5DC8">
              <w:rPr>
                <w:rStyle w:val="IntenseReference"/>
              </w:rPr>
              <w:t>24</w:t>
            </w:r>
          </w:p>
        </w:tc>
        <w:tc>
          <w:tcPr>
            <w:tcW w:w="709" w:type="dxa"/>
            <w:tcBorders>
              <w:top w:val="single" w:sz="4" w:space="0" w:color="auto"/>
              <w:left w:val="single" w:sz="4" w:space="0" w:color="auto"/>
              <w:bottom w:val="single" w:sz="4" w:space="0" w:color="auto"/>
              <w:right w:val="single" w:sz="4" w:space="0" w:color="auto"/>
            </w:tcBorders>
            <w:noWrap/>
            <w:hideMark/>
          </w:tcPr>
          <w:p w14:paraId="452ED5CF" w14:textId="77777777" w:rsidR="007372D2" w:rsidRPr="00EE5DC8" w:rsidRDefault="007372D2" w:rsidP="00A228FB">
            <w:pPr>
              <w:spacing w:after="120"/>
              <w:rPr>
                <w:rStyle w:val="IntenseReference"/>
              </w:rPr>
            </w:pPr>
            <w:r w:rsidRPr="00EE5DC8">
              <w:rPr>
                <w:rStyle w:val="IntenseReference"/>
              </w:rPr>
              <w:t>1.7</w:t>
            </w:r>
          </w:p>
        </w:tc>
        <w:tc>
          <w:tcPr>
            <w:tcW w:w="284" w:type="dxa"/>
            <w:tcBorders>
              <w:top w:val="nil"/>
              <w:left w:val="single" w:sz="4" w:space="0" w:color="auto"/>
              <w:bottom w:val="single" w:sz="4" w:space="0" w:color="auto"/>
              <w:right w:val="single" w:sz="4" w:space="0" w:color="auto"/>
            </w:tcBorders>
            <w:noWrap/>
            <w:hideMark/>
          </w:tcPr>
          <w:p w14:paraId="30CD4DD4" w14:textId="77777777" w:rsidR="007372D2" w:rsidRPr="00EE5DC8" w:rsidRDefault="007372D2" w:rsidP="00A228FB">
            <w:pPr>
              <w:spacing w:after="120"/>
              <w:rPr>
                <w:rStyle w:val="IntenseReference"/>
              </w:rPr>
            </w:pPr>
          </w:p>
        </w:tc>
        <w:tc>
          <w:tcPr>
            <w:tcW w:w="1701" w:type="dxa"/>
            <w:tcBorders>
              <w:top w:val="single" w:sz="4" w:space="0" w:color="auto"/>
              <w:left w:val="single" w:sz="4" w:space="0" w:color="auto"/>
              <w:bottom w:val="single" w:sz="4" w:space="0" w:color="auto"/>
              <w:right w:val="single" w:sz="4" w:space="0" w:color="auto"/>
            </w:tcBorders>
            <w:noWrap/>
            <w:hideMark/>
          </w:tcPr>
          <w:p w14:paraId="4F2F7982" w14:textId="77777777" w:rsidR="007372D2" w:rsidRPr="00EE5DC8" w:rsidRDefault="007372D2" w:rsidP="00A228FB">
            <w:pPr>
              <w:spacing w:after="120"/>
              <w:rPr>
                <w:rStyle w:val="IntenseReference"/>
              </w:rPr>
            </w:pPr>
            <w:r w:rsidRPr="00EE5DC8">
              <w:rPr>
                <w:rStyle w:val="IntenseReference"/>
              </w:rPr>
              <w:t>Snapper South</w:t>
            </w:r>
          </w:p>
        </w:tc>
        <w:tc>
          <w:tcPr>
            <w:tcW w:w="708" w:type="dxa"/>
            <w:tcBorders>
              <w:top w:val="single" w:sz="4" w:space="0" w:color="auto"/>
              <w:left w:val="single" w:sz="4" w:space="0" w:color="auto"/>
              <w:bottom w:val="single" w:sz="4" w:space="0" w:color="auto"/>
              <w:right w:val="single" w:sz="4" w:space="0" w:color="auto"/>
            </w:tcBorders>
            <w:noWrap/>
            <w:hideMark/>
          </w:tcPr>
          <w:p w14:paraId="6B55529B" w14:textId="77777777" w:rsidR="007372D2" w:rsidRPr="00EE5DC8" w:rsidRDefault="007372D2" w:rsidP="00A228FB">
            <w:pPr>
              <w:spacing w:after="120"/>
              <w:rPr>
                <w:rStyle w:val="IntenseReference"/>
              </w:rPr>
            </w:pPr>
            <w:r w:rsidRPr="00EE5DC8">
              <w:rPr>
                <w:rStyle w:val="IntenseReference"/>
              </w:rPr>
              <w:t>23</w:t>
            </w:r>
          </w:p>
        </w:tc>
        <w:tc>
          <w:tcPr>
            <w:tcW w:w="709" w:type="dxa"/>
            <w:tcBorders>
              <w:top w:val="single" w:sz="4" w:space="0" w:color="auto"/>
              <w:left w:val="single" w:sz="4" w:space="0" w:color="auto"/>
              <w:bottom w:val="single" w:sz="4" w:space="0" w:color="auto"/>
              <w:right w:val="single" w:sz="4" w:space="0" w:color="auto"/>
            </w:tcBorders>
            <w:noWrap/>
            <w:hideMark/>
          </w:tcPr>
          <w:p w14:paraId="434EF11B" w14:textId="77777777" w:rsidR="007372D2" w:rsidRPr="00EE5DC8" w:rsidRDefault="007372D2" w:rsidP="00A228FB">
            <w:pPr>
              <w:spacing w:after="120"/>
              <w:rPr>
                <w:rStyle w:val="IntenseReference"/>
              </w:rPr>
            </w:pPr>
            <w:r w:rsidRPr="00EE5DC8">
              <w:rPr>
                <w:rStyle w:val="IntenseReference"/>
              </w:rPr>
              <w:t>4.4</w:t>
            </w:r>
          </w:p>
        </w:tc>
        <w:tc>
          <w:tcPr>
            <w:tcW w:w="709" w:type="dxa"/>
            <w:tcBorders>
              <w:top w:val="single" w:sz="4" w:space="0" w:color="auto"/>
              <w:left w:val="single" w:sz="4" w:space="0" w:color="auto"/>
              <w:bottom w:val="single" w:sz="4" w:space="0" w:color="auto"/>
              <w:right w:val="single" w:sz="4" w:space="0" w:color="auto"/>
            </w:tcBorders>
            <w:noWrap/>
            <w:hideMark/>
          </w:tcPr>
          <w:p w14:paraId="468468C2" w14:textId="77777777" w:rsidR="007372D2" w:rsidRPr="00EE5DC8" w:rsidRDefault="007372D2" w:rsidP="00A228FB">
            <w:pPr>
              <w:spacing w:after="120"/>
              <w:rPr>
                <w:rStyle w:val="IntenseReference"/>
              </w:rPr>
            </w:pPr>
            <w:r w:rsidRPr="00EE5DC8">
              <w:rPr>
                <w:rStyle w:val="IntenseReference"/>
              </w:rPr>
              <w:t>13.1</w:t>
            </w:r>
          </w:p>
        </w:tc>
        <w:tc>
          <w:tcPr>
            <w:tcW w:w="709" w:type="dxa"/>
            <w:tcBorders>
              <w:top w:val="single" w:sz="4" w:space="0" w:color="auto"/>
              <w:left w:val="single" w:sz="4" w:space="0" w:color="auto"/>
              <w:bottom w:val="single" w:sz="4" w:space="0" w:color="auto"/>
              <w:right w:val="single" w:sz="4" w:space="0" w:color="auto"/>
            </w:tcBorders>
            <w:noWrap/>
            <w:hideMark/>
          </w:tcPr>
          <w:p w14:paraId="60B3AD0C" w14:textId="77777777" w:rsidR="007372D2" w:rsidRPr="00EE5DC8" w:rsidRDefault="007372D2" w:rsidP="00A228FB">
            <w:pPr>
              <w:spacing w:after="120"/>
              <w:rPr>
                <w:rStyle w:val="IntenseReference"/>
              </w:rPr>
            </w:pPr>
            <w:r w:rsidRPr="00EE5DC8">
              <w:rPr>
                <w:rStyle w:val="IntenseReference"/>
              </w:rPr>
              <w:t>1.6</w:t>
            </w:r>
          </w:p>
        </w:tc>
      </w:tr>
    </w:tbl>
    <w:p w14:paraId="43CDCE14" w14:textId="77777777" w:rsidR="007372D2" w:rsidRDefault="007372D2" w:rsidP="00A228FB">
      <w:pPr>
        <w:rPr>
          <w:rFonts w:asciiTheme="minorHAnsi" w:hAnsiTheme="minorHAnsi" w:cstheme="minorBidi"/>
          <w:color w:val="000000"/>
          <w:szCs w:val="22"/>
        </w:rPr>
      </w:pPr>
    </w:p>
    <w:p w14:paraId="4967A583" w14:textId="77777777" w:rsidR="007372D2" w:rsidRDefault="007372D2" w:rsidP="00A228FB">
      <w:pPr>
        <w:rPr>
          <w:color w:val="000000"/>
        </w:rPr>
      </w:pPr>
    </w:p>
    <w:p w14:paraId="28458109" w14:textId="77777777" w:rsidR="00D61C95" w:rsidRDefault="007372D2" w:rsidP="00D61C95">
      <w:pPr>
        <w:keepNext/>
      </w:pPr>
      <w:r>
        <w:rPr>
          <w:noProof/>
          <w:color w:val="000000"/>
          <w:lang w:val="en-AU" w:eastAsia="en-AU"/>
        </w:rPr>
        <w:lastRenderedPageBreak/>
        <w:drawing>
          <wp:inline distT="0" distB="0" distL="0" distR="0" wp14:anchorId="6710CFCD" wp14:editId="0B00D4FA">
            <wp:extent cx="3600450" cy="2876550"/>
            <wp:effectExtent l="0" t="0" r="0" b="0"/>
            <wp:docPr id="40" name="Picture 40" descr="Figure 17: Scoring diagram for the MAproportion indicator. Upper and lower threshold values are reef and depth specific. Numeric scores and associated condition classifications are presented. Values on the x axis are reef specific and interpolate between lower and upper bounds. " title="Figure 17: Scoring diagram for the MAproportion indic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600450" cy="2876550"/>
                    </a:xfrm>
                    <a:prstGeom prst="rect">
                      <a:avLst/>
                    </a:prstGeom>
                    <a:noFill/>
                    <a:ln>
                      <a:noFill/>
                    </a:ln>
                  </pic:spPr>
                </pic:pic>
              </a:graphicData>
            </a:graphic>
          </wp:inline>
        </w:drawing>
      </w:r>
    </w:p>
    <w:p w14:paraId="0D740612" w14:textId="77777777" w:rsidR="00D61C95" w:rsidRPr="006B3B22" w:rsidRDefault="006B3B22" w:rsidP="00E56CF1">
      <w:pPr>
        <w:pStyle w:val="Caption"/>
        <w:rPr>
          <w:vanish/>
        </w:rPr>
      </w:pPr>
      <w:bookmarkStart w:id="282" w:name="_Ref438122135"/>
      <w:bookmarkStart w:id="283" w:name="_Toc437423862"/>
      <w:bookmarkStart w:id="284" w:name="_Toc437424041"/>
      <w:bookmarkStart w:id="285" w:name="_Toc437424313"/>
      <w:bookmarkStart w:id="286" w:name="_Toc437597649"/>
      <w:bookmarkStart w:id="287" w:name="_Toc460490786"/>
      <w:r>
        <w:t xml:space="preserve">Figure </w:t>
      </w:r>
      <w:r w:rsidR="005D2F9F">
        <w:fldChar w:fldCharType="begin"/>
      </w:r>
      <w:r w:rsidR="005D2F9F">
        <w:instrText xml:space="preserve"> SEQ Figure \* ARABIC </w:instrText>
      </w:r>
      <w:r w:rsidR="005D2F9F">
        <w:fldChar w:fldCharType="separate"/>
      </w:r>
      <w:r w:rsidR="00B61881">
        <w:rPr>
          <w:noProof/>
        </w:rPr>
        <w:t>17</w:t>
      </w:r>
      <w:r w:rsidR="005D2F9F">
        <w:rPr>
          <w:noProof/>
        </w:rPr>
        <w:fldChar w:fldCharType="end"/>
      </w:r>
      <w:bookmarkEnd w:id="282"/>
      <w:r>
        <w:t xml:space="preserve">: </w:t>
      </w:r>
      <w:r w:rsidR="007372D2">
        <w:t xml:space="preserve">Scoring diagram for the </w:t>
      </w:r>
      <w:r w:rsidR="007372D2">
        <w:rPr>
          <w:i/>
        </w:rPr>
        <w:t>MAproportion</w:t>
      </w:r>
      <w:r w:rsidR="007372D2">
        <w:t xml:space="preserve"> indicator.</w:t>
      </w:r>
      <w:bookmarkEnd w:id="283"/>
      <w:bookmarkEnd w:id="284"/>
      <w:bookmarkEnd w:id="285"/>
      <w:bookmarkEnd w:id="286"/>
      <w:bookmarkEnd w:id="287"/>
      <w:r w:rsidR="007372D2">
        <w:t xml:space="preserve"> </w:t>
      </w:r>
    </w:p>
    <w:p w14:paraId="3719A52D" w14:textId="77777777" w:rsidR="007372D2" w:rsidRPr="003045D3" w:rsidRDefault="007372D2" w:rsidP="00E56CF1">
      <w:pPr>
        <w:pStyle w:val="Caption"/>
        <w:rPr>
          <w:rStyle w:val="IntenseReference"/>
          <w:rFonts w:eastAsia="SimSun"/>
        </w:rPr>
      </w:pPr>
      <w:bookmarkStart w:id="288" w:name="_Toc437424314"/>
      <w:bookmarkStart w:id="289" w:name="_Toc437432366"/>
      <w:bookmarkStart w:id="290" w:name="_Toc437597650"/>
      <w:r w:rsidRPr="003045D3">
        <w:rPr>
          <w:rStyle w:val="IntenseReference"/>
          <w:rFonts w:eastAsia="SimSun"/>
        </w:rPr>
        <w:t>Upper and lower threshold values are reef and depth specific. Numeric scores and associated condition classifications are presented.</w:t>
      </w:r>
      <w:bookmarkEnd w:id="288"/>
      <w:bookmarkEnd w:id="289"/>
      <w:bookmarkEnd w:id="290"/>
      <w:r w:rsidR="002E6A21">
        <w:rPr>
          <w:rStyle w:val="IntenseReference"/>
          <w:rFonts w:eastAsia="SimSun"/>
        </w:rPr>
        <w:t xml:space="preserve"> Values on the x axis are reef specific and interpolate between lower and upper bounds.</w:t>
      </w:r>
      <w:r w:rsidRPr="003045D3">
        <w:rPr>
          <w:rStyle w:val="IntenseReference"/>
          <w:rFonts w:eastAsia="SimSun"/>
        </w:rPr>
        <w:t xml:space="preserve"> </w:t>
      </w:r>
    </w:p>
    <w:p w14:paraId="6DE27182" w14:textId="77777777" w:rsidR="007372D2" w:rsidRPr="00FF1C00" w:rsidRDefault="00F352CD" w:rsidP="009139A2">
      <w:pPr>
        <w:pStyle w:val="Heading2"/>
        <w:spacing w:before="240"/>
      </w:pPr>
      <w:bookmarkStart w:id="291" w:name="_Toc460490670"/>
      <w:bookmarkStart w:id="292" w:name="_Toc437424424"/>
      <w:bookmarkStart w:id="293" w:name="_Toc437424548"/>
      <w:bookmarkStart w:id="294" w:name="_Toc437432479"/>
      <w:bookmarkStart w:id="295" w:name="_Toc437432552"/>
      <w:r>
        <w:t>6</w:t>
      </w:r>
      <w:r w:rsidR="00FF1C00" w:rsidRPr="00FF1C00">
        <w:t xml:space="preserve">.3 </w:t>
      </w:r>
      <w:r w:rsidR="004D3625">
        <w:t>M</w:t>
      </w:r>
      <w:r w:rsidR="004D3625" w:rsidRPr="00FF1C00">
        <w:t xml:space="preserve">etric </w:t>
      </w:r>
      <w:r w:rsidR="004D3625">
        <w:t xml:space="preserve">2: </w:t>
      </w:r>
      <w:r w:rsidR="007372D2" w:rsidRPr="00FF1C00">
        <w:t>Coral cover</w:t>
      </w:r>
      <w:bookmarkEnd w:id="291"/>
      <w:r w:rsidR="00FF1C00" w:rsidRPr="00FF1C00">
        <w:t xml:space="preserve"> </w:t>
      </w:r>
      <w:bookmarkEnd w:id="292"/>
      <w:bookmarkEnd w:id="293"/>
      <w:bookmarkEnd w:id="294"/>
      <w:bookmarkEnd w:id="295"/>
    </w:p>
    <w:p w14:paraId="232970FA" w14:textId="77777777" w:rsidR="009139A2" w:rsidRDefault="007372D2" w:rsidP="003045D3">
      <w:pPr>
        <w:spacing w:after="240"/>
      </w:pPr>
      <w:r>
        <w:t>For coral communities, the underlying assumption for long-term resilience is that recruitment and subsequent growth of colonies is sufficient to compensate for losses resulting from the combination of acute disturbances and chro</w:t>
      </w:r>
      <w:r w:rsidR="00FA2F45">
        <w:t xml:space="preserve">nic environmental limitations. </w:t>
      </w:r>
      <w:r>
        <w:t xml:space="preserve">High </w:t>
      </w:r>
      <w:r w:rsidR="00FA2F45">
        <w:t xml:space="preserve">coral </w:t>
      </w:r>
      <w:r>
        <w:t>abundance, expressed as proportional cover of the substratum, can be interpreted as an indication of resilience as the corals are clearly adapted to the ambient environmental conditions. Also, high cover equates to a large broodstock, a necessary link to recruitment and an indication of the potential for recovery of communities. Of all indicators</w:t>
      </w:r>
      <w:r w:rsidR="00FA2F45">
        <w:t>,</w:t>
      </w:r>
      <w:r>
        <w:t xml:space="preserve"> coral cover is the most tangible in terms of people’s perception of the environment and is central to the aesthetic value of a coral reef and as such is an important indicator </w:t>
      </w:r>
      <w:r w:rsidR="00FA2F45">
        <w:t xml:space="preserve">for the outstanding universal </w:t>
      </w:r>
      <w:r>
        <w:t>values</w:t>
      </w:r>
      <w:r w:rsidR="00FA2F45" w:rsidRPr="00FA2F45">
        <w:t xml:space="preserve"> </w:t>
      </w:r>
      <w:r w:rsidR="00FA2F45">
        <w:t>of the GBR World Heritage Area</w:t>
      </w:r>
      <w:r>
        <w:t>.</w:t>
      </w:r>
      <w:r w:rsidR="002E6A21">
        <w:t xml:space="preserve"> This metric is however predominantly an indicator of current state</w:t>
      </w:r>
      <w:r w:rsidR="005405B2">
        <w:t>. L</w:t>
      </w:r>
      <w:r w:rsidR="002E6A21">
        <w:t xml:space="preserve">ow values of the metric </w:t>
      </w:r>
      <w:r w:rsidR="005405B2">
        <w:t xml:space="preserve">cannot necessarily be interpreted as an indication of low resilience as resilient communities may incur substantial reductions in coral cover when exposed to acute disturbances such as tropical cyclones. </w:t>
      </w:r>
      <w:r w:rsidR="002E6A21">
        <w:t xml:space="preserve"> </w:t>
      </w:r>
    </w:p>
    <w:p w14:paraId="07DFFE44" w14:textId="77777777" w:rsidR="007372D2" w:rsidRDefault="00D44891" w:rsidP="009139A2">
      <w:pPr>
        <w:pStyle w:val="Heading3"/>
      </w:pPr>
      <w:bookmarkStart w:id="296" w:name="_Toc437424425"/>
      <w:bookmarkStart w:id="297" w:name="_Toc437424549"/>
      <w:bookmarkStart w:id="298" w:name="_Toc437432480"/>
      <w:bookmarkStart w:id="299" w:name="_Toc437432553"/>
      <w:r>
        <w:t>6</w:t>
      </w:r>
      <w:r w:rsidR="00FF1C00">
        <w:t xml:space="preserve">.3.2 </w:t>
      </w:r>
      <w:r w:rsidR="00BA5AEB">
        <w:t>The</w:t>
      </w:r>
      <w:r w:rsidR="007372D2">
        <w:t xml:space="preserve"> response variable</w:t>
      </w:r>
      <w:bookmarkEnd w:id="296"/>
      <w:bookmarkEnd w:id="297"/>
      <w:bookmarkEnd w:id="298"/>
      <w:bookmarkEnd w:id="299"/>
    </w:p>
    <w:p w14:paraId="372A2935" w14:textId="77777777" w:rsidR="007372D2" w:rsidRDefault="007372D2" w:rsidP="00A228FB">
      <w:r>
        <w:t>For the coral cover indicator the data are derived from the LTMP and MMP point intercept transects. As described above</w:t>
      </w:r>
      <w:r w:rsidR="005405B2">
        <w:t>,</w:t>
      </w:r>
      <w:r>
        <w:t xml:space="preserve"> each benthic category is estimated based on the proportional representation of that benthic category within all points identified al</w:t>
      </w:r>
      <w:r w:rsidR="00FA2F45">
        <w:t xml:space="preserve">ong point intercept transects. </w:t>
      </w:r>
      <w:r>
        <w:t>Although corals are generally reliably identified to the taxonomic resolution of genus</w:t>
      </w:r>
      <w:r w:rsidR="00FA2F45">
        <w:t>,</w:t>
      </w:r>
      <w:r>
        <w:t xml:space="preserve"> for the coral cover indicator estimates of cover for each reef are the combined cover of all hard (order Scleractinia) and soft (subclass Octocorallia) corals. This data is extracted from the AIMS Oracle database table REEFMON_GROUP_SUMMARY_ZEROS where GROUP_CODE is either “HC” or “SC” for hard and soft coral</w:t>
      </w:r>
      <w:r w:rsidR="00FA2F45">
        <w:t>,</w:t>
      </w:r>
      <w:r>
        <w:t xml:space="preserve"> respectively. Explicitly</w:t>
      </w:r>
      <w:r w:rsidR="00EE5DC8">
        <w:t>,</w:t>
      </w:r>
      <w:r>
        <w:t xml:space="preserve"> </w:t>
      </w:r>
      <w:r w:rsidR="00EE5DC8">
        <w:t>where</w:t>
      </w:r>
      <w:r>
        <w:t xml:space="preserve"> </w:t>
      </w:r>
      <m:oMath>
        <m:sSub>
          <m:sSubPr>
            <m:ctrlPr>
              <w:rPr>
                <w:rFonts w:ascii="Cambria Math" w:hAnsi="Cambria Math"/>
                <w:i/>
                <w:szCs w:val="22"/>
              </w:rPr>
            </m:ctrlPr>
          </m:sSubPr>
          <m:e>
            <m:r>
              <w:rPr>
                <w:rFonts w:ascii="Cambria Math" w:hAnsi="Cambria Math"/>
              </w:rPr>
              <m:t>HC</m:t>
            </m:r>
          </m:e>
          <m:sub>
            <m:r>
              <w:rPr>
                <w:rFonts w:ascii="Cambria Math" w:hAnsi="Cambria Math"/>
              </w:rPr>
              <m:t>ij</m:t>
            </m:r>
          </m:sub>
        </m:sSub>
      </m:oMath>
      <w:r>
        <w:t xml:space="preserve"> </w:t>
      </w:r>
      <w:r w:rsidR="00EE5DC8">
        <w:t>is the</w:t>
      </w:r>
      <w:r>
        <w:t xml:space="preserve"> cover of all hard corals at a reef (</w:t>
      </w:r>
      <m:oMath>
        <m:r>
          <w:rPr>
            <w:rFonts w:ascii="Cambria Math" w:hAnsi="Cambria Math"/>
          </w:rPr>
          <m:t>i</m:t>
        </m:r>
      </m:oMath>
      <w:r>
        <w:t>) at time (</w:t>
      </w:r>
      <m:oMath>
        <m:r>
          <w:rPr>
            <w:rFonts w:ascii="Cambria Math" w:hAnsi="Cambria Math"/>
          </w:rPr>
          <m:t>j</m:t>
        </m:r>
      </m:oMath>
      <w:r>
        <w:t xml:space="preserve">) and </w:t>
      </w:r>
      <m:oMath>
        <m:sSub>
          <m:sSubPr>
            <m:ctrlPr>
              <w:rPr>
                <w:rFonts w:ascii="Cambria Math" w:hAnsi="Cambria Math"/>
                <w:i/>
                <w:szCs w:val="22"/>
              </w:rPr>
            </m:ctrlPr>
          </m:sSubPr>
          <m:e>
            <m:r>
              <w:rPr>
                <w:rFonts w:ascii="Cambria Math" w:hAnsi="Cambria Math"/>
              </w:rPr>
              <m:t>SC</m:t>
            </m:r>
          </m:e>
          <m:sub>
            <m:r>
              <w:rPr>
                <w:rFonts w:ascii="Cambria Math" w:hAnsi="Cambria Math"/>
              </w:rPr>
              <m:t>ij</m:t>
            </m:r>
          </m:sub>
        </m:sSub>
      </m:oMath>
      <w:r>
        <w:t xml:space="preserve"> </w:t>
      </w:r>
      <w:r w:rsidR="00EE5DC8">
        <w:t xml:space="preserve">is </w:t>
      </w:r>
      <w:r>
        <w:t>the cover of all soft corals at a reef (</w:t>
      </w:r>
      <m:oMath>
        <m:r>
          <w:rPr>
            <w:rFonts w:ascii="Cambria Math" w:hAnsi="Cambria Math"/>
          </w:rPr>
          <m:t>i</m:t>
        </m:r>
      </m:oMath>
      <w:r>
        <w:t>) at time (</w:t>
      </w:r>
      <m:oMath>
        <m:r>
          <w:rPr>
            <w:rFonts w:ascii="Cambria Math" w:hAnsi="Cambria Math"/>
          </w:rPr>
          <m:t>j</m:t>
        </m:r>
      </m:oMath>
      <w:r>
        <w:t xml:space="preserve">) then coral cover indicator response variable </w:t>
      </w:r>
      <w:r>
        <w:rPr>
          <w:i/>
        </w:rPr>
        <w:t>Coral cover</w:t>
      </w:r>
      <w:r>
        <w:t xml:space="preserve"> is:</w:t>
      </w:r>
    </w:p>
    <w:p w14:paraId="677B9A10" w14:textId="77777777" w:rsidR="005405B2" w:rsidRPr="005405B2" w:rsidRDefault="007372D2" w:rsidP="005405B2">
      <w:pPr>
        <w:ind w:left="1440" w:firstLine="720"/>
      </w:pPr>
      <w:r>
        <w:rPr>
          <w:rFonts w:eastAsiaTheme="minorEastAsia"/>
        </w:rPr>
        <w:t xml:space="preserve"> </w:t>
      </w:r>
      <m:oMath>
        <m:sSub>
          <m:sSubPr>
            <m:ctrlPr>
              <w:rPr>
                <w:rFonts w:ascii="Cambria Math" w:eastAsiaTheme="minorEastAsia" w:hAnsi="Cambria Math"/>
                <w:i/>
                <w:szCs w:val="22"/>
              </w:rPr>
            </m:ctrlPr>
          </m:sSubPr>
          <m:e>
            <m:r>
              <w:rPr>
                <w:rFonts w:ascii="Cambria Math" w:eastAsiaTheme="minorEastAsia" w:hAnsi="Cambria Math"/>
              </w:rPr>
              <m:t>Coral cover</m:t>
            </m:r>
          </m:e>
          <m:sub>
            <m:r>
              <w:rPr>
                <w:rFonts w:ascii="Cambria Math" w:eastAsiaTheme="minorEastAsia" w:hAnsi="Cambria Math"/>
              </w:rPr>
              <m:t>ij</m:t>
            </m:r>
          </m:sub>
        </m:sSub>
      </m:oMath>
      <w:r>
        <w:rPr>
          <w:rFonts w:eastAsiaTheme="minorEastAsia"/>
        </w:rPr>
        <w:t xml:space="preserve"> = </w:t>
      </w:r>
      <m:oMath>
        <m:sSub>
          <m:sSubPr>
            <m:ctrlPr>
              <w:rPr>
                <w:rFonts w:ascii="Cambria Math" w:hAnsi="Cambria Math"/>
                <w:i/>
                <w:szCs w:val="22"/>
              </w:rPr>
            </m:ctrlPr>
          </m:sSubPr>
          <m:e>
            <m:r>
              <w:rPr>
                <w:rFonts w:ascii="Cambria Math" w:hAnsi="Cambria Math"/>
              </w:rPr>
              <m:t>HC</m:t>
            </m:r>
          </m:e>
          <m:sub>
            <m:r>
              <w:rPr>
                <w:rFonts w:ascii="Cambria Math" w:hAnsi="Cambria Math"/>
              </w:rPr>
              <m:t>ij</m:t>
            </m:r>
          </m:sub>
        </m:sSub>
      </m:oMath>
      <w:r>
        <w:rPr>
          <w:rFonts w:eastAsiaTheme="minorEastAsia"/>
        </w:rPr>
        <w:t xml:space="preserve"> + </w:t>
      </w:r>
      <m:oMath>
        <m:sSub>
          <m:sSubPr>
            <m:ctrlPr>
              <w:rPr>
                <w:rFonts w:ascii="Cambria Math" w:hAnsi="Cambria Math"/>
                <w:i/>
                <w:szCs w:val="22"/>
              </w:rPr>
            </m:ctrlPr>
          </m:sSubPr>
          <m:e>
            <m:r>
              <w:rPr>
                <w:rFonts w:ascii="Cambria Math" w:hAnsi="Cambria Math"/>
              </w:rPr>
              <m:t>SC</m:t>
            </m:r>
          </m:e>
          <m:sub>
            <m:r>
              <w:rPr>
                <w:rFonts w:ascii="Cambria Math" w:hAnsi="Cambria Math"/>
              </w:rPr>
              <m:t>ij</m:t>
            </m:r>
          </m:sub>
        </m:sSub>
      </m:oMath>
    </w:p>
    <w:p w14:paraId="0BD2406A" w14:textId="77777777" w:rsidR="007372D2" w:rsidRDefault="007372D2" w:rsidP="00A228FB"/>
    <w:p w14:paraId="1BFDEBDD" w14:textId="77777777" w:rsidR="005405B2" w:rsidRDefault="005405B2" w:rsidP="00A228FB">
      <w:r>
        <w:t>Soft corals are included in this indicator as they represent a substantial component of coral reef biodiversity and there is no reason to expect they are not a natural component of coral communities on nearshore reefs of the GBR.  As direct competitors for space with hard corals their exclusion would</w:t>
      </w:r>
      <w:r w:rsidR="00A8420D">
        <w:t xml:space="preserve"> potentially</w:t>
      </w:r>
      <w:r>
        <w:t xml:space="preserve"> bias the metric for coral cover</w:t>
      </w:r>
      <w:r w:rsidR="00A8420D">
        <w:t xml:space="preserve"> based on hard corals alone</w:t>
      </w:r>
      <w:r>
        <w:t xml:space="preserve">. </w:t>
      </w:r>
    </w:p>
    <w:p w14:paraId="774E5074" w14:textId="77777777" w:rsidR="007372D2" w:rsidRDefault="00D44891" w:rsidP="009139A2">
      <w:pPr>
        <w:pStyle w:val="Heading3"/>
      </w:pPr>
      <w:bookmarkStart w:id="300" w:name="_Toc437424426"/>
      <w:bookmarkStart w:id="301" w:name="_Toc437424550"/>
      <w:bookmarkStart w:id="302" w:name="_Toc437432481"/>
      <w:bookmarkStart w:id="303" w:name="_Toc437432554"/>
      <w:r>
        <w:lastRenderedPageBreak/>
        <w:t>6</w:t>
      </w:r>
      <w:r w:rsidR="00FF1C00">
        <w:t xml:space="preserve">.3.2 </w:t>
      </w:r>
      <w:r w:rsidR="007372D2">
        <w:t>Selection of threshold</w:t>
      </w:r>
      <w:r w:rsidR="00BA5AEB">
        <w:t xml:space="preserve"> value</w:t>
      </w:r>
      <w:r w:rsidR="007372D2">
        <w:t>s</w:t>
      </w:r>
      <w:r w:rsidR="00D91085">
        <w:t xml:space="preserve"> and scoring</w:t>
      </w:r>
      <w:bookmarkEnd w:id="300"/>
      <w:bookmarkEnd w:id="301"/>
      <w:bookmarkEnd w:id="302"/>
      <w:bookmarkEnd w:id="303"/>
    </w:p>
    <w:p w14:paraId="127163CF" w14:textId="77777777" w:rsidR="007372D2" w:rsidRDefault="007372D2" w:rsidP="00A228FB">
      <w:pPr>
        <w:autoSpaceDE w:val="0"/>
        <w:autoSpaceDN w:val="0"/>
        <w:adjustRightInd w:val="0"/>
      </w:pPr>
      <w:r>
        <w:t xml:space="preserve">Until and including 2014 the </w:t>
      </w:r>
      <w:r>
        <w:rPr>
          <w:i/>
        </w:rPr>
        <w:t>coral cover</w:t>
      </w:r>
      <w:r w:rsidR="00FA2F45">
        <w:t xml:space="preserve"> indicator included </w:t>
      </w:r>
      <w:r>
        <w:t xml:space="preserve">a threshold range of 25-50% with </w:t>
      </w:r>
      <w:r>
        <w:rPr>
          <w:i/>
        </w:rPr>
        <w:t>coral cover</w:t>
      </w:r>
      <w:r>
        <w:t xml:space="preserve"> below this range scoring 0, covers within the range scoring 0.5 and cover exceeding the range scoring 1. The basis of these categories was that they approximated the distribution of coral cover observed historically on inshore reefs at AIMS LTMP and MMP sites, with each category representing approximately a third of the overall di</w:t>
      </w:r>
      <w:r w:rsidR="00FA2F45">
        <w:t>stribution of observed cover values</w:t>
      </w:r>
      <w:r w:rsidR="00A8420D">
        <w:t xml:space="preserve"> prior to 2006</w:t>
      </w:r>
      <w:r w:rsidR="00FA2F45">
        <w:t xml:space="preserve">. </w:t>
      </w:r>
      <w:r>
        <w:t>Consistent categorisations were applied to all reefs</w:t>
      </w:r>
      <w:r w:rsidR="00FA2F45">
        <w:t>,</w:t>
      </w:r>
      <w:r>
        <w:t xml:space="preserve"> as high coral cover is a desirable condition for all coral reefs and prior observations indicate the capacity for inshore reefs of the </w:t>
      </w:r>
      <w:r w:rsidR="00FA2F45">
        <w:t>GBR</w:t>
      </w:r>
      <w:r>
        <w:t xml:space="preserve"> to support high cover of corals in a wide range of environmental conditions (e.g. Sweatman </w:t>
      </w:r>
      <w:r>
        <w:rPr>
          <w:i/>
        </w:rPr>
        <w:t>et al.</w:t>
      </w:r>
      <w:r>
        <w:t xml:space="preserve"> 2007</w:t>
      </w:r>
      <w:r w:rsidRPr="00851E4A">
        <w:rPr>
          <w:color w:val="000000" w:themeColor="text1"/>
        </w:rPr>
        <w:t>, Browne</w:t>
      </w:r>
      <w:r w:rsidR="00851E4A" w:rsidRPr="00851E4A">
        <w:rPr>
          <w:color w:val="000000" w:themeColor="text1"/>
        </w:rPr>
        <w:t xml:space="preserve"> </w:t>
      </w:r>
      <w:r w:rsidR="00851E4A" w:rsidRPr="00851E4A">
        <w:rPr>
          <w:i/>
          <w:color w:val="000000" w:themeColor="text1"/>
        </w:rPr>
        <w:t xml:space="preserve">et al. </w:t>
      </w:r>
      <w:r w:rsidR="00851E4A" w:rsidRPr="00851E4A">
        <w:rPr>
          <w:color w:val="000000" w:themeColor="text1"/>
        </w:rPr>
        <w:t>2012,</w:t>
      </w:r>
      <w:r w:rsidR="00ED72CA">
        <w:rPr>
          <w:color w:val="000000" w:themeColor="text1"/>
        </w:rPr>
        <w:t xml:space="preserve"> </w:t>
      </w:r>
      <w:proofErr w:type="gramStart"/>
      <w:r w:rsidRPr="00851E4A">
        <w:rPr>
          <w:color w:val="000000" w:themeColor="text1"/>
        </w:rPr>
        <w:t>Thompson</w:t>
      </w:r>
      <w:proofErr w:type="gramEnd"/>
      <w:r w:rsidRPr="00851E4A">
        <w:rPr>
          <w:color w:val="000000" w:themeColor="text1"/>
        </w:rPr>
        <w:t xml:space="preserve"> </w:t>
      </w:r>
      <w:r w:rsidRPr="00851E4A">
        <w:rPr>
          <w:i/>
          <w:color w:val="000000" w:themeColor="text1"/>
        </w:rPr>
        <w:t>et al.</w:t>
      </w:r>
      <w:r w:rsidRPr="00851E4A">
        <w:rPr>
          <w:color w:val="000000" w:themeColor="text1"/>
        </w:rPr>
        <w:t xml:space="preserve"> 2014</w:t>
      </w:r>
      <w:r w:rsidR="007F7841">
        <w:rPr>
          <w:color w:val="000000" w:themeColor="text1"/>
        </w:rPr>
        <w:t>a</w:t>
      </w:r>
      <w:r w:rsidR="008864D1">
        <w:rPr>
          <w:color w:val="000000" w:themeColor="text1"/>
        </w:rPr>
        <w:t xml:space="preserve">). </w:t>
      </w:r>
      <w:r w:rsidRPr="00851E4A">
        <w:rPr>
          <w:color w:val="000000" w:themeColor="text1"/>
        </w:rPr>
        <w:t>A drawback of the categorical classification was the abrupt transitio</w:t>
      </w:r>
      <w:r>
        <w:t>n between scores about categorical boundaries and the insensitivity of the scoring system to the magnitude of deviation from the thresholds.</w:t>
      </w:r>
    </w:p>
    <w:p w14:paraId="230EC4CF" w14:textId="77777777" w:rsidR="008864D1" w:rsidRDefault="007372D2" w:rsidP="00A228FB">
      <w:r>
        <w:t xml:space="preserve">The primary decision to be made for this indicator was the setting of the upper threshold for the scoring index to reflect a condition that is both unambiguously ‘very good’ but also attainable for the coral communities on inshore reefs of the GBR. Secondarily was how to scale this indicator across its range </w:t>
      </w:r>
      <w:r w:rsidR="00851E4A">
        <w:t xml:space="preserve">to </w:t>
      </w:r>
      <w:r>
        <w:t>achieve a sensible match between indicator scores and the categorical condition esti</w:t>
      </w:r>
      <w:r w:rsidR="008864D1">
        <w:t xml:space="preserve">mates used by the report card. </w:t>
      </w:r>
      <w:r>
        <w:t>As of 2015</w:t>
      </w:r>
      <w:r w:rsidR="008864D1">
        <w:t>,</w:t>
      </w:r>
      <w:r>
        <w:t xml:space="preserve"> the median coral cover observed on inshore reefs by the LTMP since 1992 and the MMP since 2005 was 38.6%</w:t>
      </w:r>
      <w:r w:rsidR="008864D1">
        <w:t>,</w:t>
      </w:r>
      <w:r>
        <w:t xml:space="preserve"> a figure </w:t>
      </w:r>
      <w:r w:rsidR="008864D1">
        <w:t>influenced</w:t>
      </w:r>
      <w:r>
        <w:t xml:space="preserve"> by the impacts of severe bleaching events in 1998 and 2002 (Berkelmans </w:t>
      </w:r>
      <w:r w:rsidRPr="00ED72CA">
        <w:rPr>
          <w:i/>
        </w:rPr>
        <w:t>et al.</w:t>
      </w:r>
      <w:r>
        <w:t xml:space="preserve"> 2004) and a more localised event in the Keppel Islands in 2006 (</w:t>
      </w:r>
      <w:r w:rsidR="00ED72CA">
        <w:t>Section 3.6</w:t>
      </w:r>
      <w:r>
        <w:t>) along with frequent exposure to cyclones as well as localised exposure to low salinity flood waters (</w:t>
      </w:r>
      <w:r w:rsidR="00851E4A">
        <w:t>Section</w:t>
      </w:r>
      <w:r w:rsidR="00ED72CA">
        <w:t xml:space="preserve"> 3</w:t>
      </w:r>
      <w:r w:rsidRPr="00851E4A">
        <w:rPr>
          <w:color w:val="000000" w:themeColor="text1"/>
        </w:rPr>
        <w:t xml:space="preserve">, Berkelmans </w:t>
      </w:r>
      <w:r w:rsidRPr="00851E4A">
        <w:rPr>
          <w:i/>
          <w:color w:val="000000" w:themeColor="text1"/>
        </w:rPr>
        <w:t>et al.</w:t>
      </w:r>
      <w:r w:rsidRPr="00851E4A">
        <w:rPr>
          <w:color w:val="000000" w:themeColor="text1"/>
        </w:rPr>
        <w:t xml:space="preserve"> 20</w:t>
      </w:r>
      <w:r w:rsidR="00851E4A" w:rsidRPr="00851E4A">
        <w:rPr>
          <w:color w:val="000000" w:themeColor="text1"/>
        </w:rPr>
        <w:t>12</w:t>
      </w:r>
      <w:r w:rsidRPr="00851E4A">
        <w:rPr>
          <w:color w:val="000000" w:themeColor="text1"/>
        </w:rPr>
        <w:t xml:space="preserve">), </w:t>
      </w:r>
      <w:r>
        <w:t xml:space="preserve">and crown- of- thorns </w:t>
      </w:r>
      <w:r w:rsidR="008864D1">
        <w:t>seastar</w:t>
      </w:r>
      <w:r>
        <w:t xml:space="preserve"> outbreaks (</w:t>
      </w:r>
      <w:r w:rsidR="00ED72CA">
        <w:t xml:space="preserve">Section 3, </w:t>
      </w:r>
      <w:r>
        <w:t xml:space="preserve">Sweatman </w:t>
      </w:r>
      <w:r w:rsidRPr="00ED72CA">
        <w:rPr>
          <w:i/>
        </w:rPr>
        <w:t>et al</w:t>
      </w:r>
      <w:r w:rsidR="00ED72CA">
        <w:t>.</w:t>
      </w:r>
      <w:r>
        <w:t xml:space="preserve"> 2007). </w:t>
      </w:r>
    </w:p>
    <w:p w14:paraId="08A0ED0E" w14:textId="77777777" w:rsidR="007372D2" w:rsidRDefault="007372D2" w:rsidP="00A228FB">
      <w:r>
        <w:t>Of the 40 reefs monitored over half recorded a maximum combined hard and soft coral cover of &gt; 50%. From separate surveys of reefs between Cape</w:t>
      </w:r>
      <w:r w:rsidR="00851E4A">
        <w:t xml:space="preserve"> Flattery to the Keppel Islands</w:t>
      </w:r>
      <w:r>
        <w:t xml:space="preserve"> undertaken prior to the 1998 bleaching event</w:t>
      </w:r>
      <w:r w:rsidR="00851E4A">
        <w:t>,</w:t>
      </w:r>
      <w:r>
        <w:t xml:space="preserve"> Ayling (199</w:t>
      </w:r>
      <w:r w:rsidR="009D3707">
        <w:t>7</w:t>
      </w:r>
      <w:r>
        <w:t>) reported a mean cover of hard corals alone of 62% from regions other than Broad Sound where cover was lower (mean of 25%).</w:t>
      </w:r>
      <w:r w:rsidR="008864D1">
        <w:t xml:space="preserve"> </w:t>
      </w:r>
      <w:r>
        <w:t xml:space="preserve">The data reported by Ayling </w:t>
      </w:r>
      <w:r w:rsidR="00793C48">
        <w:t>(</w:t>
      </w:r>
      <w:r>
        <w:t>199</w:t>
      </w:r>
      <w:r w:rsidR="009D3707">
        <w:t>7</w:t>
      </w:r>
      <w:r w:rsidR="00793C48">
        <w:t>)</w:t>
      </w:r>
      <w:r>
        <w:t xml:space="preserve"> was based predominantly on line intercept transects (LIT). Comparative data collected using LIT and the MMP photo point intercept transects (PIT) available from Snapper Island and Cape Tribulation reefs reveal a bias between techniques with consistently higher cover estimated from LIT than PIT (PIT=0.85</w:t>
      </w:r>
      <w:r w:rsidR="00AE4E6D">
        <w:t xml:space="preserve"> </w:t>
      </w:r>
      <w:r>
        <w:t>LIT, r</w:t>
      </w:r>
      <w:r w:rsidR="00ED72CA" w:rsidRPr="00ED72CA">
        <w:rPr>
          <w:vertAlign w:val="superscript"/>
        </w:rPr>
        <w:t>2</w:t>
      </w:r>
      <w:r w:rsidR="00ED72CA">
        <w:t xml:space="preserve"> =0.97)</w:t>
      </w:r>
      <w:r w:rsidR="00AE4E6D">
        <w:t>. C</w:t>
      </w:r>
      <w:r w:rsidR="00ED72CA">
        <w:t>onverting the pre-</w:t>
      </w:r>
      <w:r>
        <w:t>bleaching mean cover of 62% to comparable PIT estimate returns a mean in the o</w:t>
      </w:r>
      <w:r w:rsidR="00AE4E6D">
        <w:t xml:space="preserve">rder of &gt;50% hard coral cover. </w:t>
      </w:r>
      <w:r>
        <w:t>From these past obse</w:t>
      </w:r>
      <w:r>
        <w:rPr>
          <w:b/>
        </w:rPr>
        <w:t>r</w:t>
      </w:r>
      <w:r>
        <w:t xml:space="preserve">vations it is clear that many inshore reefs have </w:t>
      </w:r>
      <w:r w:rsidR="00AE4E6D">
        <w:t xml:space="preserve">previously </w:t>
      </w:r>
      <w:r>
        <w:t xml:space="preserve">supported combined coral cover in excess of 50% and </w:t>
      </w:r>
      <w:r w:rsidR="00AE4E6D">
        <w:t>that</w:t>
      </w:r>
      <w:r>
        <w:t xml:space="preserve"> this level of cover reefs </w:t>
      </w:r>
      <w:r w:rsidR="00AE4E6D">
        <w:t>should</w:t>
      </w:r>
      <w:r>
        <w:t xml:space="preserve"> be considered to be representing at least good condition. It is unlikely that coral will ever completely occupy the full area of substrate on any given reef due on going demographic processes and the presence of patches of unstable substrates such as sand or silt suggesting the maximum threshold should be set lower than 100%. For the coral report card we have elected the upper threshold for coral cover (where the score is at a maximum of 1) at 75% for the following reasons: </w:t>
      </w:r>
    </w:p>
    <w:p w14:paraId="20B2D9E0" w14:textId="77777777" w:rsidR="007372D2" w:rsidRDefault="007372D2" w:rsidP="00386D94">
      <w:pPr>
        <w:pStyle w:val="ListParagraph"/>
        <w:numPr>
          <w:ilvl w:val="0"/>
          <w:numId w:val="23"/>
        </w:numPr>
      </w:pPr>
      <w:r>
        <w:t>This captures the plausible level of coral cover achievable by reefs within the inshore GBR,</w:t>
      </w:r>
    </w:p>
    <w:p w14:paraId="085D2B2A" w14:textId="77777777" w:rsidR="007372D2" w:rsidRDefault="007372D2" w:rsidP="00386D94">
      <w:pPr>
        <w:pStyle w:val="ListParagraph"/>
        <w:numPr>
          <w:ilvl w:val="0"/>
          <w:numId w:val="23"/>
        </w:numPr>
      </w:pPr>
      <w:r>
        <w:t>While higher covers have been observed</w:t>
      </w:r>
      <w:r w:rsidR="00FA3DC5">
        <w:t>,</w:t>
      </w:r>
      <w:r>
        <w:t xml:space="preserve"> any community supporting 75% cover will be clearly in very good condition,</w:t>
      </w:r>
    </w:p>
    <w:p w14:paraId="794D93FD" w14:textId="77777777" w:rsidR="007372D2" w:rsidRDefault="007372D2" w:rsidP="00386D94">
      <w:pPr>
        <w:pStyle w:val="ListParagraph"/>
        <w:numPr>
          <w:ilvl w:val="0"/>
          <w:numId w:val="23"/>
        </w:numPr>
      </w:pPr>
      <w:r>
        <w:t xml:space="preserve">The use of 75% allows </w:t>
      </w:r>
      <w:r w:rsidR="006F1ACE">
        <w:t xml:space="preserve">categorisation of </w:t>
      </w:r>
      <w:r w:rsidR="00FA3DC5" w:rsidRPr="006F1ACE">
        <w:t>coral</w:t>
      </w:r>
      <w:r w:rsidRPr="006F1ACE">
        <w:t xml:space="preserve"> cover</w:t>
      </w:r>
      <w:r w:rsidR="00FA3DC5" w:rsidRPr="006F1ACE">
        <w:t xml:space="preserve"> estimates</w:t>
      </w:r>
      <w:r w:rsidRPr="006F1ACE">
        <w:t xml:space="preserve"> into 5 </w:t>
      </w:r>
      <w:r w:rsidR="00FA3DC5" w:rsidRPr="006F1ACE">
        <w:t>reporting bands for the coral report card, each</w:t>
      </w:r>
      <w:r w:rsidRPr="006F1ACE">
        <w:t xml:space="preserve"> with a range of 15%</w:t>
      </w:r>
      <w:r w:rsidR="00FA3DC5" w:rsidRPr="006F1ACE">
        <w:t xml:space="preserve"> (Figure 18), which </w:t>
      </w:r>
      <w:r w:rsidRPr="006F1ACE">
        <w:t>are</w:t>
      </w:r>
      <w:r w:rsidR="006F1ACE" w:rsidRPr="006F1ACE">
        <w:t>,</w:t>
      </w:r>
      <w:r>
        <w:t xml:space="preserve"> at the same time convenient and broadly representative of the aesthetic values that could be assigned to these levels of cover. </w:t>
      </w:r>
    </w:p>
    <w:p w14:paraId="303357C8" w14:textId="77777777" w:rsidR="00D61C95" w:rsidRDefault="007372D2" w:rsidP="003045D3">
      <w:r>
        <w:t xml:space="preserve">The scoring of the coral cover indicator is scaled linearly from zero when cover is 0% through to 1 when cover is at or above the threshold level of 75% (Figure </w:t>
      </w:r>
      <w:r w:rsidR="00ED72CA">
        <w:t>18</w:t>
      </w:r>
      <w:r w:rsidR="00A74ACF">
        <w:t>)</w:t>
      </w:r>
      <w:r w:rsidR="00231675">
        <w:t>.</w:t>
      </w:r>
      <w:r w:rsidR="00A8420D">
        <w:t xml:space="preserve"> There is some evidence that </w:t>
      </w:r>
      <w:r w:rsidR="00F0270D">
        <w:t xml:space="preserve">the relationship between coral cover and other indicators of ecological condition, such as diversity of reef fish is non-linear with a rapid loss of diversity at very low coral cover (&lt;10%, Holbrook </w:t>
      </w:r>
      <w:r w:rsidR="00F0270D" w:rsidRPr="00FA06C2">
        <w:rPr>
          <w:i/>
        </w:rPr>
        <w:t>et al.</w:t>
      </w:r>
      <w:r w:rsidR="00F0270D">
        <w:t xml:space="preserve"> 2009,Halford </w:t>
      </w:r>
      <w:r w:rsidR="00F0270D" w:rsidRPr="00FA06C2">
        <w:rPr>
          <w:i/>
        </w:rPr>
        <w:t>et al</w:t>
      </w:r>
      <w:r w:rsidR="00F0270D">
        <w:rPr>
          <w:i/>
        </w:rPr>
        <w:t>.</w:t>
      </w:r>
      <w:r w:rsidR="00F0270D">
        <w:t xml:space="preserve"> 2004)</w:t>
      </w:r>
      <w:r w:rsidR="009B292B">
        <w:t xml:space="preserve">. This relationship may support the use of a lower threshold for coral cover in the vicinity of 5-10% we don’t however consider we have sufficient data to identify such a threshold and  consider that any such threshold would likely lie within our 0-15% range </w:t>
      </w:r>
      <w:r w:rsidR="0043311B">
        <w:t xml:space="preserve">of coral </w:t>
      </w:r>
      <w:r w:rsidR="0043311B">
        <w:lastRenderedPageBreak/>
        <w:t xml:space="preserve">cover that is categorised as “very poor” (Figure 18). </w:t>
      </w:r>
      <w:r>
        <w:rPr>
          <w:noProof/>
          <w:lang w:val="en-AU" w:eastAsia="en-AU"/>
        </w:rPr>
        <w:drawing>
          <wp:inline distT="0" distB="0" distL="0" distR="0" wp14:anchorId="39F724B5" wp14:editId="5947FBD5">
            <wp:extent cx="3600450" cy="2876550"/>
            <wp:effectExtent l="0" t="0" r="0" b="0"/>
            <wp:docPr id="39" name="Picture 39" descr="Figure 18: Scoring diagram for the coral cover indicator. Numeric scores and associated condition classifications based on observed coral cover are presented. " title="Figure 18: Scoring diagram for the coral cover indic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600450" cy="2876550"/>
                    </a:xfrm>
                    <a:prstGeom prst="rect">
                      <a:avLst/>
                    </a:prstGeom>
                    <a:noFill/>
                    <a:ln>
                      <a:noFill/>
                    </a:ln>
                  </pic:spPr>
                </pic:pic>
              </a:graphicData>
            </a:graphic>
          </wp:inline>
        </w:drawing>
      </w:r>
    </w:p>
    <w:p w14:paraId="3CBB6BB3" w14:textId="77777777" w:rsidR="00D61C95" w:rsidRPr="006B3B22" w:rsidRDefault="006B3B22" w:rsidP="00E56CF1">
      <w:pPr>
        <w:pStyle w:val="Caption"/>
        <w:rPr>
          <w:vanish/>
        </w:rPr>
      </w:pPr>
      <w:bookmarkStart w:id="304" w:name="_Toc437423863"/>
      <w:bookmarkStart w:id="305" w:name="_Toc437424042"/>
      <w:bookmarkStart w:id="306" w:name="_Toc437424315"/>
      <w:bookmarkStart w:id="307" w:name="_Toc437597651"/>
      <w:bookmarkStart w:id="308" w:name="_Toc460490787"/>
      <w:r>
        <w:t xml:space="preserve">Figure </w:t>
      </w:r>
      <w:r w:rsidR="005D2F9F">
        <w:fldChar w:fldCharType="begin"/>
      </w:r>
      <w:r w:rsidR="005D2F9F">
        <w:instrText xml:space="preserve"> SEQ Figure \* ARABIC </w:instrText>
      </w:r>
      <w:r w:rsidR="005D2F9F">
        <w:fldChar w:fldCharType="separate"/>
      </w:r>
      <w:r w:rsidR="00B61881">
        <w:rPr>
          <w:noProof/>
        </w:rPr>
        <w:t>18</w:t>
      </w:r>
      <w:r w:rsidR="005D2F9F">
        <w:rPr>
          <w:noProof/>
        </w:rPr>
        <w:fldChar w:fldCharType="end"/>
      </w:r>
      <w:r>
        <w:t xml:space="preserve">: </w:t>
      </w:r>
      <w:r w:rsidR="00D61C95">
        <w:t>Scoring diagram for the coral cover indicator.</w:t>
      </w:r>
      <w:bookmarkEnd w:id="304"/>
      <w:bookmarkEnd w:id="305"/>
      <w:bookmarkEnd w:id="306"/>
      <w:bookmarkEnd w:id="307"/>
      <w:bookmarkEnd w:id="308"/>
      <w:r w:rsidR="00D61C95">
        <w:t xml:space="preserve"> </w:t>
      </w:r>
    </w:p>
    <w:p w14:paraId="7D1F75E9" w14:textId="77777777" w:rsidR="00D61C95" w:rsidRDefault="00D61C95" w:rsidP="00E56CF1">
      <w:pPr>
        <w:pStyle w:val="Caption"/>
        <w:rPr>
          <w:rStyle w:val="IntenseReference"/>
          <w:rFonts w:eastAsia="SimSun"/>
        </w:rPr>
      </w:pPr>
      <w:bookmarkStart w:id="309" w:name="_Toc437424316"/>
      <w:bookmarkStart w:id="310" w:name="_Toc437432368"/>
      <w:bookmarkStart w:id="311" w:name="_Toc437597652"/>
      <w:r w:rsidRPr="00FF1C00">
        <w:rPr>
          <w:rStyle w:val="IntenseReference"/>
          <w:rFonts w:eastAsia="SimSun"/>
        </w:rPr>
        <w:t>Numeric scores and associated condition classifications based on observed coral cover are presented.</w:t>
      </w:r>
      <w:bookmarkEnd w:id="309"/>
      <w:bookmarkEnd w:id="310"/>
      <w:bookmarkEnd w:id="311"/>
      <w:r w:rsidRPr="00FF1C00">
        <w:rPr>
          <w:rStyle w:val="IntenseReference"/>
          <w:rFonts w:eastAsia="SimSun"/>
        </w:rPr>
        <w:t xml:space="preserve"> </w:t>
      </w:r>
    </w:p>
    <w:p w14:paraId="3AFB5B37" w14:textId="77777777" w:rsidR="007372D2" w:rsidRPr="00D91085" w:rsidRDefault="00D44891" w:rsidP="009139A2">
      <w:pPr>
        <w:pStyle w:val="Heading2"/>
        <w:spacing w:before="240"/>
      </w:pPr>
      <w:bookmarkStart w:id="312" w:name="_Toc460490671"/>
      <w:bookmarkStart w:id="313" w:name="_Toc437424427"/>
      <w:bookmarkStart w:id="314" w:name="_Toc437424551"/>
      <w:bookmarkStart w:id="315" w:name="_Toc437432482"/>
      <w:bookmarkStart w:id="316" w:name="_Toc437432555"/>
      <w:r>
        <w:t>6</w:t>
      </w:r>
      <w:r w:rsidR="00D91085" w:rsidRPr="00D91085">
        <w:t>.</w:t>
      </w:r>
      <w:r w:rsidR="008E6308">
        <w:t>4</w:t>
      </w:r>
      <w:r w:rsidR="008E6308" w:rsidRPr="00D91085">
        <w:t xml:space="preserve"> </w:t>
      </w:r>
      <w:r w:rsidR="00231675">
        <w:t xml:space="preserve">Metric 3: </w:t>
      </w:r>
      <w:r w:rsidR="007372D2" w:rsidRPr="00D91085">
        <w:t xml:space="preserve">Rate of change in </w:t>
      </w:r>
      <w:r w:rsidR="00D91085" w:rsidRPr="00D91085">
        <w:t xml:space="preserve">hard </w:t>
      </w:r>
      <w:r w:rsidR="007372D2" w:rsidRPr="00D91085">
        <w:t>coral cover</w:t>
      </w:r>
      <w:bookmarkEnd w:id="312"/>
      <w:r w:rsidR="00D91085" w:rsidRPr="00D91085">
        <w:t xml:space="preserve"> </w:t>
      </w:r>
      <w:bookmarkEnd w:id="313"/>
      <w:bookmarkEnd w:id="314"/>
      <w:bookmarkEnd w:id="315"/>
      <w:bookmarkEnd w:id="316"/>
    </w:p>
    <w:p w14:paraId="57E7124A" w14:textId="77777777" w:rsidR="007372D2" w:rsidRDefault="007372D2" w:rsidP="00A228FB">
      <w:pPr>
        <w:autoSpaceDE w:val="0"/>
        <w:autoSpaceDN w:val="0"/>
        <w:adjustRightInd w:val="0"/>
        <w:rPr>
          <w:color w:val="000000" w:themeColor="text1"/>
        </w:rPr>
      </w:pPr>
      <w:r>
        <w:rPr>
          <w:color w:val="000000" w:themeColor="text1"/>
        </w:rPr>
        <w:t xml:space="preserve">This indicator </w:t>
      </w:r>
      <w:r w:rsidR="00D91085">
        <w:rPr>
          <w:color w:val="000000" w:themeColor="text1"/>
        </w:rPr>
        <w:t xml:space="preserve">metric </w:t>
      </w:r>
      <w:r>
        <w:rPr>
          <w:color w:val="000000" w:themeColor="text1"/>
        </w:rPr>
        <w:t xml:space="preserve">is based on the rate at which coral cover increases. </w:t>
      </w:r>
      <w:r>
        <w:t xml:space="preserve">While </w:t>
      </w:r>
      <w:r w:rsidR="003273C9">
        <w:t xml:space="preserve">observations of </w:t>
      </w:r>
      <w:r>
        <w:t xml:space="preserve">high coral cover can justifiably be considered a positive indicator of community condition, the reverse is not necessarily true </w:t>
      </w:r>
      <w:r w:rsidR="003273C9">
        <w:t xml:space="preserve">for observations </w:t>
      </w:r>
      <w:r>
        <w:t xml:space="preserve">of low cover. Low cover may occur following acute disturbance and, hence, may not be a direct reflection of the community’s resilience to underlying environmental conditions. For this reason, in addition to considering the actual level of coral cover (as per above) we also assess the rate at which hard coral cover increases as a direct measure of recovery potential. </w:t>
      </w:r>
      <w:r>
        <w:rPr>
          <w:color w:val="000000" w:themeColor="text1"/>
        </w:rPr>
        <w:t xml:space="preserve">This indicator reflects the coral growth performance </w:t>
      </w:r>
      <w:r w:rsidR="003273C9">
        <w:rPr>
          <w:color w:val="000000" w:themeColor="text1"/>
        </w:rPr>
        <w:t>for individual</w:t>
      </w:r>
      <w:r>
        <w:rPr>
          <w:color w:val="000000" w:themeColor="text1"/>
        </w:rPr>
        <w:t xml:space="preserve"> reef</w:t>
      </w:r>
      <w:r w:rsidR="003273C9">
        <w:rPr>
          <w:color w:val="000000" w:themeColor="text1"/>
        </w:rPr>
        <w:t>s</w:t>
      </w:r>
      <w:r>
        <w:rPr>
          <w:color w:val="000000" w:themeColor="text1"/>
        </w:rPr>
        <w:t xml:space="preserve"> by comparing obse</w:t>
      </w:r>
      <w:r w:rsidR="00ED72CA">
        <w:rPr>
          <w:color w:val="000000" w:themeColor="text1"/>
        </w:rPr>
        <w:t xml:space="preserve">rved </w:t>
      </w:r>
      <w:r w:rsidR="003273C9">
        <w:rPr>
          <w:color w:val="000000" w:themeColor="text1"/>
        </w:rPr>
        <w:t xml:space="preserve">rate of change in hard coral cover at a given reef </w:t>
      </w:r>
      <w:r w:rsidR="00ED72CA">
        <w:rPr>
          <w:color w:val="000000" w:themeColor="text1"/>
        </w:rPr>
        <w:t>(</w:t>
      </w:r>
      <w:r>
        <w:rPr>
          <w:color w:val="000000" w:themeColor="text1"/>
        </w:rPr>
        <w:t xml:space="preserve">in the absence of acute disturbance) to </w:t>
      </w:r>
      <w:r w:rsidR="003273C9">
        <w:rPr>
          <w:color w:val="000000" w:themeColor="text1"/>
        </w:rPr>
        <w:t xml:space="preserve">expected </w:t>
      </w:r>
      <w:r>
        <w:rPr>
          <w:color w:val="000000" w:themeColor="text1"/>
        </w:rPr>
        <w:t xml:space="preserve">coral growth predicted by a multi-species form of the Gompertz growth equation (Dennis </w:t>
      </w:r>
      <w:r w:rsidR="0001742D">
        <w:rPr>
          <w:color w:val="000000" w:themeColor="text1"/>
        </w:rPr>
        <w:t>&amp;</w:t>
      </w:r>
      <w:r w:rsidR="009F400E">
        <w:rPr>
          <w:color w:val="000000" w:themeColor="text1"/>
        </w:rPr>
        <w:t xml:space="preserve"> Taper 1994,</w:t>
      </w:r>
      <w:r>
        <w:rPr>
          <w:color w:val="000000" w:themeColor="text1"/>
        </w:rPr>
        <w:t xml:space="preserve"> Ives </w:t>
      </w:r>
      <w:r>
        <w:rPr>
          <w:i/>
          <w:color w:val="000000" w:themeColor="text1"/>
        </w:rPr>
        <w:t>et al.</w:t>
      </w:r>
      <w:r>
        <w:rPr>
          <w:color w:val="000000" w:themeColor="text1"/>
        </w:rPr>
        <w:t xml:space="preserve"> 2003)</w:t>
      </w:r>
      <w:r w:rsidR="00ED72CA">
        <w:rPr>
          <w:color w:val="000000" w:themeColor="text1"/>
        </w:rPr>
        <w:t>. The equations used were</w:t>
      </w:r>
      <w:r>
        <w:rPr>
          <w:color w:val="000000" w:themeColor="text1"/>
        </w:rPr>
        <w:t xml:space="preserve"> parameterised from </w:t>
      </w:r>
      <w:r w:rsidR="00ED72CA">
        <w:rPr>
          <w:color w:val="000000" w:themeColor="text1"/>
        </w:rPr>
        <w:t xml:space="preserve">the </w:t>
      </w:r>
      <w:r>
        <w:rPr>
          <w:color w:val="000000" w:themeColor="text1"/>
        </w:rPr>
        <w:t>time</w:t>
      </w:r>
      <w:r w:rsidR="00ED72CA">
        <w:rPr>
          <w:color w:val="000000" w:themeColor="text1"/>
        </w:rPr>
        <w:t>-</w:t>
      </w:r>
      <w:r>
        <w:rPr>
          <w:color w:val="000000" w:themeColor="text1"/>
        </w:rPr>
        <w:t xml:space="preserve">series of coral cover from reefs monitored by the </w:t>
      </w:r>
      <w:r w:rsidR="00ED72CA">
        <w:rPr>
          <w:color w:val="000000" w:themeColor="text1"/>
        </w:rPr>
        <w:t>LTMP</w:t>
      </w:r>
      <w:r>
        <w:rPr>
          <w:color w:val="000000" w:themeColor="text1"/>
        </w:rPr>
        <w:t xml:space="preserve"> and the MMP over the period 1987-2007</w:t>
      </w:r>
      <w:r w:rsidR="003273C9">
        <w:rPr>
          <w:color w:val="000000" w:themeColor="text1"/>
        </w:rPr>
        <w:t xml:space="preserve"> (</w:t>
      </w:r>
      <w:r w:rsidR="003273C9">
        <w:t>Thompson and Dolman 2010)</w:t>
      </w:r>
      <w:r>
        <w:rPr>
          <w:color w:val="000000" w:themeColor="text1"/>
        </w:rPr>
        <w:t xml:space="preserve">. </w:t>
      </w:r>
    </w:p>
    <w:p w14:paraId="56B57B65" w14:textId="77777777" w:rsidR="00D91085" w:rsidRDefault="00D44891" w:rsidP="009139A2">
      <w:pPr>
        <w:pStyle w:val="Heading3"/>
      </w:pPr>
      <w:bookmarkStart w:id="317" w:name="_Toc437424428"/>
      <w:bookmarkStart w:id="318" w:name="_Toc437424552"/>
      <w:bookmarkStart w:id="319" w:name="_Toc437432483"/>
      <w:bookmarkStart w:id="320" w:name="_Toc437432556"/>
      <w:r>
        <w:t>6</w:t>
      </w:r>
      <w:r w:rsidR="00D91085">
        <w:t>.</w:t>
      </w:r>
      <w:r w:rsidR="008E6308">
        <w:t>4</w:t>
      </w:r>
      <w:r w:rsidR="00D91085">
        <w:t xml:space="preserve">.1 </w:t>
      </w:r>
      <w:r w:rsidR="00BA5AEB">
        <w:t>Selection of</w:t>
      </w:r>
      <w:r w:rsidR="00D91085">
        <w:t xml:space="preserve"> threshold</w:t>
      </w:r>
      <w:r w:rsidR="00BA5AEB">
        <w:t xml:space="preserve"> value</w:t>
      </w:r>
      <w:r w:rsidR="00D91085">
        <w:t>s and scoring</w:t>
      </w:r>
      <w:bookmarkEnd w:id="317"/>
      <w:bookmarkEnd w:id="318"/>
      <w:bookmarkEnd w:id="319"/>
      <w:bookmarkEnd w:id="320"/>
    </w:p>
    <w:p w14:paraId="0B4BBBB8" w14:textId="77777777" w:rsidR="007372D2" w:rsidRDefault="007372D2" w:rsidP="003045D3">
      <w:pPr>
        <w:autoSpaceDE w:val="0"/>
        <w:autoSpaceDN w:val="0"/>
        <w:adjustRightInd w:val="0"/>
      </w:pPr>
      <w:r>
        <w:rPr>
          <w:color w:val="000000" w:themeColor="text1"/>
        </w:rPr>
        <w:t>Until and including 2014</w:t>
      </w:r>
      <w:r w:rsidR="003273C9">
        <w:rPr>
          <w:color w:val="000000" w:themeColor="text1"/>
        </w:rPr>
        <w:t>,</w:t>
      </w:r>
      <w:r>
        <w:rPr>
          <w:color w:val="000000" w:themeColor="text1"/>
        </w:rPr>
        <w:t xml:space="preserve"> scores for this indicator were based on comparing the observed change in coral cover between samples to the predicted cover based on </w:t>
      </w:r>
      <w:r>
        <w:t xml:space="preserve">Gompertz growth equations developed by Thompson and Dolman (2010). In brief, observations of annual change in benthic </w:t>
      </w:r>
      <w:r w:rsidR="00381647">
        <w:t>cover derived</w:t>
      </w:r>
      <w:r>
        <w:t xml:space="preserve"> from 47 </w:t>
      </w:r>
      <w:r w:rsidR="00192499">
        <w:t>in</w:t>
      </w:r>
      <w:r>
        <w:t>shore reefs sampled over the period 1987-2007 were used to parameterise two multi-species Gompertz growth equations</w:t>
      </w:r>
      <w:r>
        <w:rPr>
          <w:rFonts w:ascii="AdvPTimes" w:hAnsi="AdvPTimes"/>
          <w:sz w:val="20"/>
        </w:rPr>
        <w:t>.</w:t>
      </w:r>
      <w:r>
        <w:t xml:space="preserve"> </w:t>
      </w:r>
      <w:r w:rsidR="00381647">
        <w:t xml:space="preserve">Importantly only changes occurring over periods during which no acute disturbances occurred were used to ensure the response was not confounded by disturbance events. </w:t>
      </w:r>
      <w:r>
        <w:t>These models returned estimates of growth rates for corals of the family Acroporidae and the combined grouping of all other hard corals. These two groups were modelled separately as the growth rate of Acroporidae is substantially higher than most other corals. Within these models growth rate estimates are dependent on the cover of each of these hard coral groups along with the cover of soft coral</w:t>
      </w:r>
      <w:r w:rsidR="003273C9">
        <w:t>,</w:t>
      </w:r>
      <w:r>
        <w:t xml:space="preserve"> </w:t>
      </w:r>
      <w:r w:rsidR="003273C9">
        <w:t xml:space="preserve">which in combination represent </w:t>
      </w:r>
      <w:r>
        <w:t xml:space="preserve">space competitors and so limit the area available for coral cover increase. </w:t>
      </w:r>
    </w:p>
    <w:p w14:paraId="736D3624" w14:textId="77777777" w:rsidR="007372D2" w:rsidRDefault="007372D2" w:rsidP="003045D3">
      <w:pPr>
        <w:autoSpaceDE w:val="0"/>
        <w:autoSpaceDN w:val="0"/>
        <w:adjustRightInd w:val="0"/>
      </w:pPr>
      <w:r>
        <w:t xml:space="preserve">Model projections of future coral cover on GBR inshore reefs based on the growth rates estimated by these models coupled with the observed disturbance history for inshore reefs of the GBR over the period 1987-2002 indicated a long-term decline in coral cover (Thompson </w:t>
      </w:r>
      <w:r w:rsidR="00ED72CA">
        <w:t>&amp;</w:t>
      </w:r>
      <w:r>
        <w:t xml:space="preserve"> Dolman 2010). For this reason the positive score of 1 was reserved for only those reefs at which the observed rate of change in cover exceeded the upper 95% confidence interval of the change predicted (</w:t>
      </w:r>
      <w:r w:rsidR="00553772">
        <w:rPr>
          <w:color w:val="000000" w:themeColor="text1"/>
        </w:rPr>
        <w:fldChar w:fldCharType="begin"/>
      </w:r>
      <w:r w:rsidR="00553772">
        <w:instrText xml:space="preserve"> REF _Ref438121998 \h </w:instrText>
      </w:r>
      <w:r w:rsidR="00553772">
        <w:rPr>
          <w:color w:val="000000" w:themeColor="text1"/>
        </w:rPr>
      </w:r>
      <w:r w:rsidR="00553772">
        <w:rPr>
          <w:color w:val="000000" w:themeColor="text1"/>
        </w:rPr>
        <w:fldChar w:fldCharType="separate"/>
      </w:r>
      <w:r w:rsidR="00B61881">
        <w:t xml:space="preserve">Table </w:t>
      </w:r>
      <w:r w:rsidR="00B61881">
        <w:rPr>
          <w:noProof/>
        </w:rPr>
        <w:t>7</w:t>
      </w:r>
      <w:r w:rsidR="00553772">
        <w:rPr>
          <w:color w:val="000000" w:themeColor="text1"/>
        </w:rPr>
        <w:fldChar w:fldCharType="end"/>
      </w:r>
      <w:r>
        <w:t xml:space="preserve">). </w:t>
      </w:r>
      <w:r>
        <w:lastRenderedPageBreak/>
        <w:t>Observations falling within the upper and lower confidence intervals of the change in predicted cover were scored as neutral (indicator score 0.5) and those not meeting the lower confidence interval of the predicted change rec</w:t>
      </w:r>
      <w:r w:rsidR="003273C9">
        <w:t xml:space="preserve">eived an indicator score of 0. </w:t>
      </w:r>
      <w:r>
        <w:t xml:space="preserve">Initially the rate of change was averaged over the years 2005-2009 as a baseline estimate for this metric (Thompson </w:t>
      </w:r>
      <w:r>
        <w:rPr>
          <w:i/>
        </w:rPr>
        <w:t>et al</w:t>
      </w:r>
      <w:r>
        <w:t>. 2010b, Anon. 2011)</w:t>
      </w:r>
      <w:r w:rsidR="003273C9">
        <w:t>. S</w:t>
      </w:r>
      <w:r>
        <w:t xml:space="preserve">ubsequently, the period over which the rate of change was averaged was reduced to three years of observations including the most recent. Years in which disturbance events occurred at particular reefs were not included as there is no logical expectation for an increase in cover in such situations. </w:t>
      </w:r>
    </w:p>
    <w:p w14:paraId="3FC2FB0A" w14:textId="77777777" w:rsidR="007372D2" w:rsidRDefault="007372D2" w:rsidP="003045D3">
      <w:pPr>
        <w:autoSpaceDE w:val="0"/>
        <w:autoSpaceDN w:val="0"/>
        <w:adjustRightInd w:val="0"/>
      </w:pPr>
      <w:r>
        <w:t>Two short</w:t>
      </w:r>
      <w:r w:rsidR="00134C47">
        <w:t>-</w:t>
      </w:r>
      <w:r>
        <w:t>comings of the method as</w:t>
      </w:r>
      <w:r w:rsidR="00134C47">
        <w:t xml:space="preserve"> described above were noted by </w:t>
      </w:r>
      <w:r>
        <w:t xml:space="preserve">Kuhnert </w:t>
      </w:r>
      <w:r>
        <w:rPr>
          <w:i/>
        </w:rPr>
        <w:t>et al.</w:t>
      </w:r>
      <w:r>
        <w:t xml:space="preserve"> </w:t>
      </w:r>
      <w:r w:rsidR="00134C47">
        <w:t>(</w:t>
      </w:r>
      <w:r>
        <w:t>2014)</w:t>
      </w:r>
      <w:r w:rsidR="0041415A">
        <w:t>,</w:t>
      </w:r>
      <w:r>
        <w:t xml:space="preserve"> both concerning the estimate of confidence intervals. The first concern was that bias was being introduced during the back</w:t>
      </w:r>
      <w:r w:rsidR="0041415A">
        <w:t>-</w:t>
      </w:r>
      <w:r>
        <w:t>transformation from the log scale used to model the data to the observational scale. The second concern related to the aggregation of errors</w:t>
      </w:r>
      <w:r w:rsidR="0041415A">
        <w:t xml:space="preserve"> from the two separate models. </w:t>
      </w:r>
      <w:r>
        <w:t>The necessity to aggregate confidence errors was a result of the categorical scoring method being used that was focused on deviations in rate of increase beyond those within the error in the models. Unfortunately there was no strictly legitimate method for combining these errors and so a conservative approach that summed both the upper or lower CI</w:t>
      </w:r>
      <w:r w:rsidR="0041415A">
        <w:t xml:space="preserve"> from the two models was used. </w:t>
      </w:r>
      <w:r>
        <w:t xml:space="preserve">In light of these issues the original growth models were re-parameterised in a Bayesian framework to permit propagation of uncertainty </w:t>
      </w:r>
      <w:r w:rsidR="0041415A">
        <w:t>from</w:t>
      </w:r>
      <w:r>
        <w:t xml:space="preserve"> the two models onto the overall </w:t>
      </w:r>
      <w:r w:rsidR="0041415A">
        <w:t xml:space="preserve">expected </w:t>
      </w:r>
      <w:r>
        <w:t>growth. In addition</w:t>
      </w:r>
      <w:r w:rsidR="0041415A">
        <w:t>,</w:t>
      </w:r>
      <w:r>
        <w:t xml:space="preserve"> the model was parameterised separate</w:t>
      </w:r>
      <w:r w:rsidR="00B3738D">
        <w:t>ly for communities at 2m and 5m (or greater)</w:t>
      </w:r>
      <w:r w:rsidR="00ED72CA">
        <w:t xml:space="preserve"> </w:t>
      </w:r>
      <w:r>
        <w:t>depths.</w:t>
      </w:r>
    </w:p>
    <w:p w14:paraId="36258121" w14:textId="77777777" w:rsidR="007372D2" w:rsidRDefault="007372D2" w:rsidP="003045D3">
      <w:pPr>
        <w:autoSpaceDE w:val="0"/>
        <w:autoSpaceDN w:val="0"/>
        <w:adjustRightInd w:val="0"/>
      </w:pPr>
      <w:r>
        <w:t xml:space="preserve">In the revised models </w:t>
      </w:r>
      <w:r>
        <w:rPr>
          <w:rFonts w:cs="LMSansQuot8-Regular"/>
        </w:rPr>
        <w:t xml:space="preserve">expected coral cover increase was estimated by prediction against a multi-species form of the Gompertz growth equation (Dennis </w:t>
      </w:r>
      <w:r w:rsidR="0001742D">
        <w:rPr>
          <w:rFonts w:cs="LMSansQuot8-Regular"/>
        </w:rPr>
        <w:t>&amp;</w:t>
      </w:r>
      <w:r w:rsidR="009F400E">
        <w:rPr>
          <w:rFonts w:cs="LMSansQuot8-Regular"/>
        </w:rPr>
        <w:t xml:space="preserve"> Taper 1994,</w:t>
      </w:r>
      <w:r>
        <w:rPr>
          <w:rFonts w:cs="LMSansQuot8-Regular"/>
        </w:rPr>
        <w:t xml:space="preserve"> Ives</w:t>
      </w:r>
      <w:r w:rsidR="005A065B">
        <w:rPr>
          <w:rFonts w:cs="LMSansQuot8-Regular"/>
        </w:rPr>
        <w:t xml:space="preserve"> </w:t>
      </w:r>
      <w:r w:rsidR="005A065B" w:rsidRPr="005A065B">
        <w:rPr>
          <w:rFonts w:cs="LMSansQuot8-Regular"/>
          <w:i/>
        </w:rPr>
        <w:t>et al.</w:t>
      </w:r>
      <w:r>
        <w:rPr>
          <w:rFonts w:cs="LMSansQuot8-Regular"/>
        </w:rPr>
        <w:t xml:space="preserve"> 2003) in which the maximum total percent cover possible (100</w:t>
      </w:r>
      <w:r w:rsidR="0041415A">
        <w:rPr>
          <w:rFonts w:cs="LMSansQuot8-Regular"/>
        </w:rPr>
        <w:t xml:space="preserve">% </w:t>
      </w:r>
      <w:r w:rsidR="00B3738D">
        <w:rPr>
          <w:rFonts w:cs="LMSansQuot8-Regular"/>
        </w:rPr>
        <w:t>- proportion of area occupied by soft substrate</w:t>
      </w:r>
      <w:r>
        <w:rPr>
          <w:rFonts w:cs="LMSansQuot8-Regular"/>
        </w:rPr>
        <w:t>) was considered the equilibrium size. The model, as detailed below, fits the natural logarithm of Acroporidae cover at time (</w:t>
      </w:r>
      <w:r>
        <w:rPr>
          <w:rFonts w:cs="CMSSI10"/>
          <w:i/>
          <w:iCs/>
        </w:rPr>
        <w:t>t</w:t>
      </w:r>
      <w:r>
        <w:rPr>
          <w:rFonts w:cs="LMSansQuot8-Regular"/>
        </w:rPr>
        <w:t xml:space="preserve">) - which is first standardised for a 12 month </w:t>
      </w:r>
      <w:r w:rsidR="006F1ACE">
        <w:rPr>
          <w:rFonts w:cs="LMSansQuot8-Regular"/>
        </w:rPr>
        <w:t>period</w:t>
      </w:r>
      <w:r>
        <w:rPr>
          <w:rFonts w:cs="LMSansQuot8-Regular"/>
        </w:rPr>
        <w:t xml:space="preserve"> between samples, against the rate of Acroporidae growth given the cover of Acroporidae, other </w:t>
      </w:r>
      <w:r w:rsidR="00B3738D">
        <w:rPr>
          <w:rFonts w:cs="LMSansQuot8-Regular"/>
        </w:rPr>
        <w:t xml:space="preserve">hard and soft </w:t>
      </w:r>
      <w:r>
        <w:rPr>
          <w:rFonts w:cs="LMSansQuot8-Regular"/>
        </w:rPr>
        <w:t>corals and soft coral and available substrate at time (</w:t>
      </w:r>
      <w:r>
        <w:rPr>
          <w:rFonts w:cs="CMSSI10"/>
          <w:i/>
          <w:iCs/>
        </w:rPr>
        <w:t xml:space="preserve">t </w:t>
      </w:r>
      <w:r>
        <w:rPr>
          <w:rFonts w:ascii="Calibri" w:hAnsi="Calibri" w:cs="Calibri"/>
          <w:i/>
          <w:iCs/>
        </w:rPr>
        <w:t>-</w:t>
      </w:r>
      <w:r>
        <w:rPr>
          <w:rFonts w:cs="CMSY10"/>
          <w:i/>
          <w:iCs/>
        </w:rPr>
        <w:t xml:space="preserve"> </w:t>
      </w:r>
      <w:r>
        <w:rPr>
          <w:rFonts w:cs="CMSS10"/>
        </w:rPr>
        <w:t>1</w:t>
      </w:r>
      <w:r>
        <w:rPr>
          <w:rFonts w:cs="LMSansQuot8-Regular"/>
        </w:rPr>
        <w:t xml:space="preserve">). A Bayesian framework was used to permit propagation of uncertainty through the predictions of expected coral cover increase </w:t>
      </w:r>
      <w:r w:rsidR="0041415A">
        <w:rPr>
          <w:rFonts w:cs="LMSansQuot8-Regular"/>
        </w:rPr>
        <w:t>from</w:t>
      </w:r>
      <w:r>
        <w:rPr>
          <w:rFonts w:cs="LMSansQuot8-Regular"/>
        </w:rPr>
        <w:t xml:space="preserve"> the two separately predicted coral types. Noting,</w:t>
      </w:r>
      <w:r>
        <w:t xml:space="preserve"> that the example presented below for Acroporidae (</w:t>
      </w:r>
      <w:r>
        <w:rPr>
          <w:i/>
        </w:rPr>
        <w:t>Acr</w:t>
      </w:r>
      <w:r w:rsidR="0041415A">
        <w:t xml:space="preserve">) </w:t>
      </w:r>
      <w:r>
        <w:t>has the</w:t>
      </w:r>
      <w:r w:rsidR="00B3738D">
        <w:t xml:space="preserve"> same form as that applied for o</w:t>
      </w:r>
      <w:r>
        <w:t xml:space="preserve">ther </w:t>
      </w:r>
      <w:r w:rsidR="00B3738D">
        <w:t>hard c</w:t>
      </w:r>
      <w:r>
        <w:t>orals (</w:t>
      </w:r>
      <w:r>
        <w:rPr>
          <w:i/>
        </w:rPr>
        <w:t>OthC</w:t>
      </w:r>
      <w:r>
        <w:t>) if these terms are exchanged where they appear in the equations.</w:t>
      </w:r>
    </w:p>
    <w:p w14:paraId="57D7A84D" w14:textId="77777777" w:rsidR="007372D2" w:rsidRDefault="007372D2" w:rsidP="003045D3">
      <w:pPr>
        <w:autoSpaceDE w:val="0"/>
        <w:autoSpaceDN w:val="0"/>
        <w:adjustRightInd w:val="0"/>
      </w:pPr>
    </w:p>
    <w:p w14:paraId="07607F99" w14:textId="77777777" w:rsidR="007372D2" w:rsidRDefault="007372D2" w:rsidP="0041415A">
      <w:pPr>
        <w:autoSpaceDE w:val="0"/>
        <w:autoSpaceDN w:val="0"/>
        <w:adjustRightInd w:val="0"/>
        <w:ind w:left="720"/>
        <w:rPr>
          <w:rFonts w:eastAsiaTheme="minorEastAsia"/>
        </w:rPr>
      </w:pPr>
      <w:r>
        <w:tab/>
      </w:r>
      <m:oMath>
        <m:func>
          <m:funcPr>
            <m:ctrlPr>
              <w:rPr>
                <w:rFonts w:ascii="Cambria Math" w:hAnsi="Cambria Math"/>
                <w:i/>
                <w:szCs w:val="22"/>
              </w:rPr>
            </m:ctrlPr>
          </m:funcPr>
          <m:fName>
            <m:r>
              <m:rPr>
                <m:sty m:val="p"/>
              </m:rPr>
              <w:rPr>
                <w:rFonts w:ascii="Cambria Math" w:hAnsi="Cambria Math"/>
              </w:rPr>
              <m:t>ln</m:t>
            </m:r>
          </m:fName>
          <m:e>
            <m:d>
              <m:dPr>
                <m:ctrlPr>
                  <w:rPr>
                    <w:rFonts w:ascii="Cambria Math" w:hAnsi="Cambria Math"/>
                    <w:i/>
                    <w:szCs w:val="22"/>
                  </w:rPr>
                </m:ctrlPr>
              </m:dPr>
              <m:e>
                <m:sSub>
                  <m:sSubPr>
                    <m:ctrlPr>
                      <w:rPr>
                        <w:rFonts w:ascii="Cambria Math" w:hAnsi="Cambria Math"/>
                        <w:i/>
                        <w:szCs w:val="22"/>
                      </w:rPr>
                    </m:ctrlPr>
                  </m:sSubPr>
                  <m:e>
                    <m:r>
                      <w:rPr>
                        <w:rFonts w:ascii="Cambria Math" w:hAnsi="Cambria Math"/>
                      </w:rPr>
                      <m:t>Acr</m:t>
                    </m:r>
                  </m:e>
                  <m:sub>
                    <m:r>
                      <w:rPr>
                        <w:rFonts w:ascii="Cambria Math" w:hAnsi="Cambria Math"/>
                      </w:rPr>
                      <m:t>it</m:t>
                    </m:r>
                  </m:sub>
                </m:sSub>
              </m:e>
            </m:d>
          </m:e>
        </m:func>
        <m:r>
          <m:rPr>
            <m:scr m:val="script"/>
          </m:rPr>
          <w:rPr>
            <w:rFonts w:ascii="Cambria Math" w:hAnsi="Cambria Math"/>
          </w:rPr>
          <m:t xml:space="preserve"> ~ N(</m:t>
        </m:r>
        <m:sSub>
          <m:sSubPr>
            <m:ctrlPr>
              <w:rPr>
                <w:rFonts w:ascii="Cambria Math" w:hAnsi="Cambria Math"/>
                <w:i/>
                <w:szCs w:val="22"/>
              </w:rPr>
            </m:ctrlPr>
          </m:sSubPr>
          <m:e>
            <m:r>
              <w:rPr>
                <w:rFonts w:ascii="Cambria Math" w:hAnsi="Cambria Math"/>
              </w:rPr>
              <m:t>μ</m:t>
            </m:r>
          </m:e>
          <m:sub>
            <m:r>
              <w:rPr>
                <w:rFonts w:ascii="Cambria Math" w:hAnsi="Cambria Math"/>
              </w:rPr>
              <m:t>it</m:t>
            </m:r>
          </m:sub>
        </m:sSub>
        <m:r>
          <w:rPr>
            <w:rFonts w:ascii="Cambria Math" w:hAnsi="Cambria Math"/>
          </w:rPr>
          <m:t>,</m:t>
        </m:r>
        <m:sSup>
          <m:sSupPr>
            <m:ctrlPr>
              <w:rPr>
                <w:rFonts w:ascii="Cambria Math" w:hAnsi="Cambria Math"/>
                <w:i/>
                <w:szCs w:val="22"/>
              </w:rPr>
            </m:ctrlPr>
          </m:sSupPr>
          <m:e>
            <m:r>
              <w:rPr>
                <w:rFonts w:ascii="Cambria Math" w:hAnsi="Cambria Math"/>
              </w:rPr>
              <m:t>σ</m:t>
            </m:r>
          </m:e>
          <m:sup>
            <m:r>
              <w:rPr>
                <w:rFonts w:ascii="Cambria Math" w:hAnsi="Cambria Math"/>
              </w:rPr>
              <m:t>2</m:t>
            </m:r>
          </m:sup>
        </m:sSup>
        <m:r>
          <w:rPr>
            <w:rFonts w:ascii="Cambria Math" w:hAnsi="Cambria Math"/>
          </w:rPr>
          <m:t>)</m:t>
        </m:r>
      </m:oMath>
    </w:p>
    <w:p w14:paraId="1C0BBA18" w14:textId="77777777" w:rsidR="007372D2" w:rsidRDefault="007372D2" w:rsidP="0041415A">
      <w:pPr>
        <w:autoSpaceDE w:val="0"/>
        <w:autoSpaceDN w:val="0"/>
        <w:adjustRightInd w:val="0"/>
        <w:ind w:left="720"/>
        <w:rPr>
          <w:rFonts w:eastAsiaTheme="minorEastAsia"/>
        </w:rPr>
      </w:pPr>
      <w:r>
        <w:rPr>
          <w:rFonts w:eastAsiaTheme="minorEastAsia"/>
        </w:rPr>
        <w:tab/>
      </w:r>
      <w:r w:rsidR="005A0708">
        <w:rPr>
          <w:rFonts w:eastAsiaTheme="minorEastAsia"/>
        </w:rPr>
        <w:t xml:space="preserve">         </w:t>
      </w:r>
      <m:oMath>
        <m:sSub>
          <m:sSubPr>
            <m:ctrlPr>
              <w:rPr>
                <w:rFonts w:ascii="Cambria Math" w:eastAsiaTheme="minorEastAsia" w:hAnsi="Cambria Math"/>
                <w:i/>
                <w:szCs w:val="22"/>
              </w:rPr>
            </m:ctrlPr>
          </m:sSubPr>
          <m:e>
            <m:r>
              <w:rPr>
                <w:rFonts w:ascii="Cambria Math" w:eastAsiaTheme="minorEastAsia" w:hAnsi="Cambria Math"/>
              </w:rPr>
              <m:t>μ</m:t>
            </m:r>
          </m:e>
          <m:sub>
            <m:r>
              <w:rPr>
                <w:rFonts w:ascii="Cambria Math" w:eastAsiaTheme="minorEastAsia" w:hAnsi="Cambria Math"/>
              </w:rPr>
              <m:t>it</m:t>
            </m:r>
          </m:sub>
        </m:sSub>
        <m:r>
          <w:rPr>
            <w:rFonts w:ascii="Cambria Math" w:eastAsiaTheme="minorEastAsia" w:hAnsi="Cambria Math"/>
          </w:rPr>
          <m:t>=v</m:t>
        </m:r>
        <m:sSub>
          <m:sSubPr>
            <m:ctrlPr>
              <w:rPr>
                <w:rFonts w:ascii="Cambria Math" w:eastAsiaTheme="minorEastAsia" w:hAnsi="Cambria Math"/>
                <w:i/>
                <w:szCs w:val="22"/>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m:t>
        </m:r>
        <m:func>
          <m:funcPr>
            <m:ctrlPr>
              <w:rPr>
                <w:rFonts w:ascii="Cambria Math" w:eastAsiaTheme="minorEastAsia" w:hAnsi="Cambria Math"/>
                <w:i/>
                <w:szCs w:val="22"/>
              </w:rPr>
            </m:ctrlPr>
          </m:funcPr>
          <m:fName>
            <m:r>
              <m:rPr>
                <m:sty m:val="p"/>
              </m:rPr>
              <w:rPr>
                <w:rFonts w:ascii="Cambria Math" w:eastAsiaTheme="minorEastAsia" w:hAnsi="Cambria Math"/>
              </w:rPr>
              <m:t>ln</m:t>
            </m:r>
          </m:fName>
          <m:e>
            <m:d>
              <m:dPr>
                <m:ctrlPr>
                  <w:rPr>
                    <w:rFonts w:ascii="Cambria Math" w:eastAsiaTheme="minorEastAsia" w:hAnsi="Cambria Math"/>
                    <w:i/>
                    <w:szCs w:val="22"/>
                  </w:rPr>
                </m:ctrlPr>
              </m:dPr>
              <m:e>
                <m:sSub>
                  <m:sSubPr>
                    <m:ctrlPr>
                      <w:rPr>
                        <w:rFonts w:ascii="Cambria Math" w:eastAsiaTheme="minorEastAsia" w:hAnsi="Cambria Math"/>
                        <w:i/>
                        <w:szCs w:val="22"/>
                      </w:rPr>
                    </m:ctrlPr>
                  </m:sSubPr>
                  <m:e>
                    <m:r>
                      <w:rPr>
                        <w:rFonts w:ascii="Cambria Math" w:eastAsiaTheme="minorEastAsia" w:hAnsi="Cambria Math"/>
                      </w:rPr>
                      <m:t>Acr</m:t>
                    </m:r>
                  </m:e>
                  <m:sub>
                    <m:r>
                      <w:rPr>
                        <w:rFonts w:ascii="Cambria Math" w:eastAsiaTheme="minorEastAsia" w:hAnsi="Cambria Math"/>
                      </w:rPr>
                      <m:t>it-1</m:t>
                    </m:r>
                  </m:sub>
                </m:sSub>
              </m:e>
            </m:d>
          </m:e>
        </m:func>
        <m:r>
          <w:rPr>
            <w:rFonts w:ascii="Cambria Math" w:eastAsiaTheme="minorEastAsia" w:hAnsi="Cambria Math"/>
          </w:rPr>
          <m:t>+</m:t>
        </m:r>
        <m:d>
          <m:dPr>
            <m:ctrlPr>
              <w:rPr>
                <w:rFonts w:ascii="Cambria Math" w:eastAsiaTheme="minorEastAsia" w:hAnsi="Cambria Math"/>
                <w:i/>
                <w:szCs w:val="22"/>
              </w:rPr>
            </m:ctrlPr>
          </m:dPr>
          <m:e>
            <m:r>
              <w:rPr>
                <w:rFonts w:ascii="Cambria Math" w:eastAsiaTheme="minorEastAsia" w:hAnsi="Cambria Math"/>
              </w:rPr>
              <m:t>-</m:t>
            </m:r>
            <m:f>
              <m:fPr>
                <m:ctrlPr>
                  <w:rPr>
                    <w:rFonts w:ascii="Cambria Math" w:eastAsiaTheme="minorEastAsia" w:hAnsi="Cambria Math"/>
                    <w:i/>
                    <w:szCs w:val="22"/>
                  </w:rPr>
                </m:ctrlPr>
              </m:fPr>
              <m:num>
                <m:r>
                  <w:rPr>
                    <w:rFonts w:ascii="Cambria Math" w:eastAsiaTheme="minorEastAsia" w:hAnsi="Cambria Math"/>
                  </w:rPr>
                  <m:t>v</m:t>
                </m:r>
                <m:sSub>
                  <m:sSubPr>
                    <m:ctrlPr>
                      <w:rPr>
                        <w:rFonts w:ascii="Cambria Math" w:eastAsiaTheme="minorEastAsia" w:hAnsi="Cambria Math"/>
                        <w:i/>
                        <w:szCs w:val="22"/>
                      </w:rPr>
                    </m:ctrlPr>
                  </m:sSubPr>
                  <m:e>
                    <m:r>
                      <w:rPr>
                        <w:rFonts w:ascii="Cambria Math" w:eastAsiaTheme="minorEastAsia" w:hAnsi="Cambria Math"/>
                      </w:rPr>
                      <m:t>Acr</m:t>
                    </m:r>
                  </m:e>
                  <m:sub>
                    <m:r>
                      <w:rPr>
                        <w:rFonts w:ascii="Cambria Math" w:eastAsiaTheme="minorEastAsia" w:hAnsi="Cambria Math"/>
                      </w:rPr>
                      <m:t>i</m:t>
                    </m:r>
                  </m:sub>
                </m:sSub>
              </m:num>
              <m:den>
                <m:func>
                  <m:funcPr>
                    <m:ctrlPr>
                      <w:rPr>
                        <w:rFonts w:ascii="Cambria Math" w:eastAsiaTheme="minorEastAsia" w:hAnsi="Cambria Math"/>
                        <w:szCs w:val="22"/>
                      </w:rPr>
                    </m:ctrlPr>
                  </m:funcPr>
                  <m:fName>
                    <m:r>
                      <m:rPr>
                        <m:sty m:val="p"/>
                      </m:rPr>
                      <w:rPr>
                        <w:rFonts w:ascii="Cambria Math" w:eastAsiaTheme="minorEastAsia" w:hAnsi="Cambria Math"/>
                      </w:rPr>
                      <m:t>ln</m:t>
                    </m:r>
                    <m:ctrlPr>
                      <w:rPr>
                        <w:rFonts w:ascii="Cambria Math" w:eastAsiaTheme="minorEastAsia" w:hAnsi="Cambria Math"/>
                        <w:i/>
                        <w:szCs w:val="22"/>
                      </w:rPr>
                    </m:ctrlPr>
                  </m:fName>
                  <m:e>
                    <m:d>
                      <m:dPr>
                        <m:ctrlPr>
                          <w:rPr>
                            <w:rFonts w:ascii="Cambria Math" w:eastAsiaTheme="minorEastAsia" w:hAnsi="Cambria Math"/>
                            <w:i/>
                            <w:szCs w:val="22"/>
                          </w:rPr>
                        </m:ctrlPr>
                      </m:dPr>
                      <m:e>
                        <m:r>
                          <w:rPr>
                            <w:rFonts w:ascii="Cambria Math" w:eastAsiaTheme="minorEastAsia" w:hAnsi="Cambria Math"/>
                          </w:rPr>
                          <m:t>est</m:t>
                        </m:r>
                        <m:sSub>
                          <m:sSubPr>
                            <m:ctrlPr>
                              <w:rPr>
                                <w:rFonts w:ascii="Cambria Math" w:eastAsiaTheme="minorEastAsia" w:hAnsi="Cambria Math"/>
                                <w:i/>
                                <w:szCs w:val="22"/>
                              </w:rPr>
                            </m:ctrlPr>
                          </m:sSubPr>
                          <m:e>
                            <m:r>
                              <w:rPr>
                                <w:rFonts w:ascii="Cambria Math" w:eastAsiaTheme="minorEastAsia" w:hAnsi="Cambria Math"/>
                              </w:rPr>
                              <m:t>K</m:t>
                            </m:r>
                          </m:e>
                          <m:sub>
                            <m:r>
                              <w:rPr>
                                <w:rFonts w:ascii="Cambria Math" w:eastAsiaTheme="minorEastAsia" w:hAnsi="Cambria Math"/>
                              </w:rPr>
                              <m:t>i</m:t>
                            </m:r>
                          </m:sub>
                        </m:sSub>
                      </m:e>
                    </m:d>
                  </m:e>
                </m:func>
              </m:den>
            </m:f>
          </m:e>
        </m:d>
        <m:r>
          <w:rPr>
            <w:rFonts w:ascii="Cambria Math" w:eastAsiaTheme="minorEastAsia" w:hAnsi="Cambria Math"/>
          </w:rPr>
          <m:t>*</m:t>
        </m:r>
        <m:r>
          <m:rPr>
            <m:sty m:val="p"/>
          </m:rPr>
          <w:rPr>
            <w:rFonts w:ascii="Cambria Math" w:eastAsiaTheme="minorEastAsia" w:hAnsi="Cambria Math"/>
          </w:rPr>
          <m:t>ln⁡</m:t>
        </m:r>
        <m:r>
          <w:rPr>
            <w:rFonts w:ascii="Cambria Math" w:eastAsiaTheme="minorEastAsia" w:hAnsi="Cambria Math"/>
          </w:rPr>
          <m:t>(</m:t>
        </m:r>
        <m:sSub>
          <m:sSubPr>
            <m:ctrlPr>
              <w:rPr>
                <w:rFonts w:ascii="Cambria Math" w:eastAsiaTheme="minorEastAsia" w:hAnsi="Cambria Math"/>
                <w:i/>
                <w:szCs w:val="22"/>
              </w:rPr>
            </m:ctrlPr>
          </m:sSubPr>
          <m:e>
            <m:r>
              <w:rPr>
                <w:rFonts w:ascii="Cambria Math" w:eastAsiaTheme="minorEastAsia" w:hAnsi="Cambria Math"/>
              </w:rPr>
              <m:t>Acr</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szCs w:val="22"/>
              </w:rPr>
            </m:ctrlPr>
          </m:sSubPr>
          <m:e>
            <m:r>
              <w:rPr>
                <w:rFonts w:ascii="Cambria Math" w:eastAsiaTheme="minorEastAsia" w:hAnsi="Cambria Math"/>
              </w:rPr>
              <m:t>OthC</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szCs w:val="22"/>
              </w:rPr>
            </m:ctrlPr>
          </m:sSubPr>
          <m:e>
            <m:r>
              <w:rPr>
                <w:rFonts w:ascii="Cambria Math" w:eastAsiaTheme="minorEastAsia" w:hAnsi="Cambria Math"/>
              </w:rPr>
              <m:t>Sc</m:t>
            </m:r>
          </m:e>
          <m:sub>
            <m:r>
              <w:rPr>
                <w:rFonts w:ascii="Cambria Math" w:eastAsiaTheme="minorEastAsia" w:hAnsi="Cambria Math"/>
              </w:rPr>
              <m:t>it-1</m:t>
            </m:r>
          </m:sub>
        </m:sSub>
        <m:r>
          <w:rPr>
            <w:rFonts w:ascii="Cambria Math" w:eastAsiaTheme="minorEastAsia" w:hAnsi="Cambria Math"/>
          </w:rPr>
          <m:t>)</m:t>
        </m:r>
      </m:oMath>
    </w:p>
    <w:p w14:paraId="08EEF653" w14:textId="77777777" w:rsidR="007372D2" w:rsidRDefault="007372D2" w:rsidP="0041415A">
      <w:pPr>
        <w:autoSpaceDE w:val="0"/>
        <w:autoSpaceDN w:val="0"/>
        <w:adjustRightInd w:val="0"/>
        <w:ind w:left="720"/>
        <w:rPr>
          <w:rFonts w:eastAsiaTheme="minorEastAsia"/>
        </w:rPr>
      </w:pPr>
      <w:r>
        <w:rPr>
          <w:rFonts w:eastAsiaTheme="minorEastAsia"/>
        </w:rPr>
        <w:tab/>
      </w:r>
      <w:r w:rsidR="005A0708">
        <w:rPr>
          <w:rFonts w:eastAsiaTheme="minorEastAsia"/>
        </w:rPr>
        <w:t xml:space="preserve">    </w:t>
      </w:r>
      <w:r>
        <w:rPr>
          <w:rFonts w:eastAsiaTheme="minorEastAsia"/>
        </w:rPr>
        <w:t xml:space="preserve"> </w:t>
      </w:r>
      <m:oMath>
        <m:r>
          <w:rPr>
            <w:rFonts w:ascii="Cambria Math" w:eastAsiaTheme="minorEastAsia" w:hAnsi="Cambria Math"/>
          </w:rPr>
          <m:t>v</m:t>
        </m:r>
        <m:sSub>
          <m:sSubPr>
            <m:ctrlPr>
              <w:rPr>
                <w:rFonts w:ascii="Cambria Math" w:eastAsiaTheme="minorEastAsia" w:hAnsi="Cambria Math"/>
                <w:i/>
                <w:szCs w:val="22"/>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 xml:space="preserve">= α+ </m:t>
        </m:r>
        <m:nary>
          <m:naryPr>
            <m:chr m:val="∑"/>
            <m:limLoc m:val="undOvr"/>
            <m:ctrlPr>
              <w:rPr>
                <w:rFonts w:ascii="Cambria Math" w:eastAsiaTheme="minorEastAsia" w:hAnsi="Cambria Math"/>
                <w:i/>
                <w:szCs w:val="22"/>
              </w:rPr>
            </m:ctrlPr>
          </m:naryPr>
          <m:sub>
            <m:r>
              <w:rPr>
                <w:rFonts w:ascii="Cambria Math" w:eastAsiaTheme="minorEastAsia" w:hAnsi="Cambria Math"/>
              </w:rPr>
              <m:t>j=0</m:t>
            </m:r>
          </m:sub>
          <m:sup>
            <m:r>
              <w:rPr>
                <w:rFonts w:ascii="Cambria Math" w:eastAsiaTheme="minorEastAsia" w:hAnsi="Cambria Math"/>
              </w:rPr>
              <m:t>J</m:t>
            </m:r>
          </m:sup>
          <m:e>
            <m:sSub>
              <m:sSubPr>
                <m:ctrlPr>
                  <w:rPr>
                    <w:rFonts w:ascii="Cambria Math" w:eastAsiaTheme="minorEastAsia" w:hAnsi="Cambria Math"/>
                    <w:i/>
                    <w:szCs w:val="22"/>
                  </w:rPr>
                </m:ctrlPr>
              </m:sSubPr>
              <m:e>
                <m:r>
                  <w:rPr>
                    <w:rFonts w:ascii="Cambria Math" w:eastAsiaTheme="minorEastAsia" w:hAnsi="Cambria Math"/>
                  </w:rPr>
                  <m:t>β</m:t>
                </m:r>
              </m:e>
              <m:sub>
                <m:r>
                  <w:rPr>
                    <w:rFonts w:ascii="Cambria Math" w:eastAsiaTheme="minorEastAsia" w:hAnsi="Cambria Math"/>
                  </w:rPr>
                  <m:t>j</m:t>
                </m:r>
              </m:sub>
            </m:sSub>
            <m:sSub>
              <m:sSubPr>
                <m:ctrlPr>
                  <w:rPr>
                    <w:rFonts w:ascii="Cambria Math" w:eastAsiaTheme="minorEastAsia" w:hAnsi="Cambria Math"/>
                    <w:i/>
                    <w:szCs w:val="22"/>
                  </w:rPr>
                </m:ctrlPr>
              </m:sSubPr>
              <m:e>
                <m:r>
                  <w:rPr>
                    <w:rFonts w:ascii="Cambria Math" w:eastAsiaTheme="minorEastAsia" w:hAnsi="Cambria Math"/>
                  </w:rPr>
                  <m:t>Region</m:t>
                </m:r>
              </m:e>
              <m:sub>
                <m:r>
                  <w:rPr>
                    <w:rFonts w:ascii="Cambria Math" w:eastAsiaTheme="minorEastAsia" w:hAnsi="Cambria Math"/>
                  </w:rPr>
                  <m:t>i</m:t>
                </m:r>
              </m:sub>
            </m:sSub>
          </m:e>
        </m:nary>
        <m:nary>
          <m:naryPr>
            <m:chr m:val="∑"/>
            <m:limLoc m:val="undOvr"/>
            <m:ctrlPr>
              <w:rPr>
                <w:rFonts w:ascii="Cambria Math" w:eastAsiaTheme="minorEastAsia" w:hAnsi="Cambria Math"/>
                <w:i/>
                <w:szCs w:val="22"/>
              </w:rPr>
            </m:ctrlPr>
          </m:naryPr>
          <m:sub>
            <m:r>
              <w:rPr>
                <w:rFonts w:ascii="Cambria Math" w:eastAsiaTheme="minorEastAsia" w:hAnsi="Cambria Math"/>
              </w:rPr>
              <m:t>k=0</m:t>
            </m:r>
          </m:sub>
          <m:sup>
            <m:r>
              <w:rPr>
                <w:rFonts w:ascii="Cambria Math" w:eastAsiaTheme="minorEastAsia" w:hAnsi="Cambria Math"/>
              </w:rPr>
              <m:t>K</m:t>
            </m:r>
          </m:sup>
          <m:e>
            <m:sSub>
              <m:sSubPr>
                <m:ctrlPr>
                  <w:rPr>
                    <w:rFonts w:ascii="Cambria Math" w:eastAsiaTheme="minorEastAsia" w:hAnsi="Cambria Math"/>
                    <w:i/>
                    <w:szCs w:val="22"/>
                  </w:rPr>
                </m:ctrlPr>
              </m:sSubPr>
              <m:e>
                <m:r>
                  <w:rPr>
                    <w:rFonts w:ascii="Cambria Math" w:eastAsiaTheme="minorEastAsia" w:hAnsi="Cambria Math"/>
                  </w:rPr>
                  <m:t>γ</m:t>
                </m:r>
              </m:e>
              <m:sub>
                <m:r>
                  <w:rPr>
                    <w:rFonts w:ascii="Cambria Math" w:eastAsiaTheme="minorEastAsia" w:hAnsi="Cambria Math"/>
                  </w:rPr>
                  <m:t>k</m:t>
                </m:r>
              </m:sub>
            </m:sSub>
            <m:sSub>
              <m:sSubPr>
                <m:ctrlPr>
                  <w:rPr>
                    <w:rFonts w:ascii="Cambria Math" w:eastAsiaTheme="minorEastAsia" w:hAnsi="Cambria Math"/>
                    <w:i/>
                    <w:szCs w:val="22"/>
                  </w:rPr>
                </m:ctrlPr>
              </m:sSubPr>
              <m:e>
                <m:r>
                  <w:rPr>
                    <w:rFonts w:ascii="Cambria Math" w:eastAsiaTheme="minorEastAsia" w:hAnsi="Cambria Math"/>
                  </w:rPr>
                  <m:t>Reef</m:t>
                </m:r>
              </m:e>
              <m:sub>
                <m:r>
                  <w:rPr>
                    <w:rFonts w:ascii="Cambria Math" w:eastAsiaTheme="minorEastAsia" w:hAnsi="Cambria Math"/>
                  </w:rPr>
                  <m:t>i</m:t>
                </m:r>
              </m:sub>
            </m:sSub>
          </m:e>
        </m:nary>
      </m:oMath>
    </w:p>
    <w:p w14:paraId="526C8C31" w14:textId="77777777" w:rsidR="007372D2" w:rsidRDefault="007372D2" w:rsidP="0041415A">
      <w:pPr>
        <w:autoSpaceDE w:val="0"/>
        <w:autoSpaceDN w:val="0"/>
        <w:adjustRightInd w:val="0"/>
        <w:ind w:left="720"/>
        <w:rPr>
          <w:rFonts w:eastAsiaTheme="minorEastAsia"/>
        </w:rPr>
      </w:pPr>
      <w:r>
        <w:rPr>
          <w:rFonts w:eastAsiaTheme="minorEastAsia"/>
        </w:rPr>
        <w:tab/>
      </w:r>
      <w:r w:rsidR="005A0708">
        <w:rPr>
          <w:rFonts w:eastAsiaTheme="minorEastAsia"/>
        </w:rPr>
        <w:t xml:space="preserve">            </w:t>
      </w:r>
      <m:oMath>
        <m:r>
          <w:rPr>
            <w:rFonts w:ascii="Cambria Math" w:eastAsiaTheme="minorEastAsia" w:hAnsi="Cambria Math"/>
          </w:rPr>
          <m:t xml:space="preserve">α ~ </m:t>
        </m:r>
        <m:r>
          <m:rPr>
            <m:scr m:val="script"/>
          </m:rPr>
          <w:rPr>
            <w:rFonts w:ascii="Cambria Math" w:eastAsiaTheme="minorEastAsia" w:hAnsi="Cambria Math"/>
          </w:rPr>
          <m:t>N</m:t>
        </m:r>
        <m:r>
          <w:rPr>
            <w:rFonts w:ascii="Cambria Math" w:eastAsiaTheme="minorEastAsia" w:hAnsi="Cambria Math"/>
          </w:rPr>
          <m:t>(0,</m:t>
        </m:r>
        <m:sSup>
          <m:sSupPr>
            <m:ctrlPr>
              <w:rPr>
                <w:rFonts w:ascii="Cambria Math" w:eastAsiaTheme="minorEastAsia" w:hAnsi="Cambria Math"/>
                <w:i/>
                <w:szCs w:val="22"/>
              </w:rPr>
            </m:ctrlPr>
          </m:sSupPr>
          <m:e>
            <m:r>
              <w:rPr>
                <w:rFonts w:ascii="Cambria Math" w:eastAsiaTheme="minorEastAsia" w:hAnsi="Cambria Math"/>
              </w:rPr>
              <m:t>10</m:t>
            </m:r>
          </m:e>
          <m:sup>
            <m:r>
              <w:rPr>
                <w:rFonts w:ascii="Cambria Math" w:eastAsiaTheme="minorEastAsia" w:hAnsi="Cambria Math"/>
              </w:rPr>
              <m:t>6</m:t>
            </m:r>
          </m:sup>
        </m:sSup>
        <m:r>
          <w:rPr>
            <w:rFonts w:ascii="Cambria Math" w:eastAsiaTheme="minorEastAsia" w:hAnsi="Cambria Math"/>
          </w:rPr>
          <m:t>)</m:t>
        </m:r>
      </m:oMath>
    </w:p>
    <w:p w14:paraId="294B1CED" w14:textId="77777777" w:rsidR="007372D2" w:rsidRDefault="007372D2" w:rsidP="0041415A">
      <w:pPr>
        <w:autoSpaceDE w:val="0"/>
        <w:autoSpaceDN w:val="0"/>
        <w:adjustRightInd w:val="0"/>
        <w:ind w:left="720"/>
        <w:rPr>
          <w:rFonts w:eastAsiaTheme="minorEastAsia"/>
        </w:rPr>
      </w:pPr>
      <w:r>
        <w:rPr>
          <w:rFonts w:eastAsiaTheme="minorEastAsia"/>
        </w:rPr>
        <w:tab/>
      </w:r>
      <w:r w:rsidR="005A0708">
        <w:rPr>
          <w:rFonts w:eastAsiaTheme="minorEastAsia"/>
        </w:rPr>
        <w:t xml:space="preserve">         </w:t>
      </w:r>
      <w:r>
        <w:rPr>
          <w:rFonts w:eastAsiaTheme="minorEastAsia"/>
        </w:rPr>
        <w:t xml:space="preserve">  </w:t>
      </w:r>
      <m:oMath>
        <m:sSub>
          <m:sSubPr>
            <m:ctrlPr>
              <w:rPr>
                <w:rFonts w:ascii="Cambria Math" w:eastAsiaTheme="minorEastAsia" w:hAnsi="Cambria Math"/>
                <w:i/>
                <w:szCs w:val="22"/>
              </w:rPr>
            </m:ctrlPr>
          </m:sSubPr>
          <m:e>
            <m:r>
              <w:rPr>
                <w:rFonts w:ascii="Cambria Math" w:eastAsiaTheme="minorEastAsia" w:hAnsi="Cambria Math"/>
              </w:rPr>
              <m:t>β</m:t>
            </m:r>
          </m:e>
          <m:sub>
            <m:r>
              <w:rPr>
                <w:rFonts w:ascii="Cambria Math" w:eastAsiaTheme="minorEastAsia" w:hAnsi="Cambria Math"/>
              </w:rPr>
              <m:t>j</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szCs w:val="22"/>
              </w:rPr>
            </m:ctrlPr>
          </m:sSubSupPr>
          <m:e>
            <m:r>
              <w:rPr>
                <w:rFonts w:ascii="Cambria Math" w:eastAsiaTheme="minorEastAsia" w:hAnsi="Cambria Math"/>
              </w:rPr>
              <m:t>σ</m:t>
            </m:r>
          </m:e>
          <m:sub>
            <m:r>
              <w:rPr>
                <w:rFonts w:ascii="Cambria Math" w:eastAsiaTheme="minorEastAsia" w:hAnsi="Cambria Math"/>
              </w:rPr>
              <m:t>Region</m:t>
            </m:r>
          </m:sub>
          <m:sup>
            <m:r>
              <w:rPr>
                <w:rFonts w:ascii="Cambria Math" w:eastAsiaTheme="minorEastAsia" w:hAnsi="Cambria Math"/>
              </w:rPr>
              <m:t>2</m:t>
            </m:r>
          </m:sup>
        </m:sSubSup>
        <m:r>
          <w:rPr>
            <w:rFonts w:ascii="Cambria Math" w:eastAsiaTheme="minorEastAsia" w:hAnsi="Cambria Math"/>
          </w:rPr>
          <m:t>)</m:t>
        </m:r>
      </m:oMath>
    </w:p>
    <w:p w14:paraId="41A183DE" w14:textId="77777777" w:rsidR="007372D2" w:rsidRDefault="007372D2" w:rsidP="0041415A">
      <w:pPr>
        <w:autoSpaceDE w:val="0"/>
        <w:autoSpaceDN w:val="0"/>
        <w:adjustRightInd w:val="0"/>
        <w:ind w:left="720"/>
        <w:rPr>
          <w:rFonts w:eastAsiaTheme="minorHAnsi"/>
        </w:rPr>
      </w:pPr>
      <w:r>
        <w:rPr>
          <w:rFonts w:eastAsiaTheme="minorEastAsia"/>
        </w:rPr>
        <w:tab/>
      </w:r>
      <w:r w:rsidR="005A0708">
        <w:rPr>
          <w:rFonts w:eastAsiaTheme="minorEastAsia"/>
        </w:rPr>
        <w:t xml:space="preserve">      </w:t>
      </w:r>
      <w:r>
        <w:rPr>
          <w:rFonts w:eastAsiaTheme="minorEastAsia"/>
        </w:rPr>
        <w:t xml:space="preserve">     </w:t>
      </w:r>
      <m:oMath>
        <m:sSub>
          <m:sSubPr>
            <m:ctrlPr>
              <w:rPr>
                <w:rFonts w:ascii="Cambria Math" w:eastAsiaTheme="minorEastAsia" w:hAnsi="Cambria Math"/>
                <w:i/>
                <w:szCs w:val="22"/>
              </w:rPr>
            </m:ctrlPr>
          </m:sSubPr>
          <m:e>
            <m:r>
              <w:rPr>
                <w:rFonts w:ascii="Cambria Math" w:eastAsiaTheme="minorEastAsia" w:hAnsi="Cambria Math"/>
              </w:rPr>
              <m:t>γ</m:t>
            </m:r>
          </m:e>
          <m:sub>
            <m:r>
              <w:rPr>
                <w:rFonts w:ascii="Cambria Math" w:eastAsiaTheme="minorEastAsia" w:hAnsi="Cambria Math"/>
              </w:rPr>
              <m:t>k</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szCs w:val="22"/>
              </w:rPr>
            </m:ctrlPr>
          </m:sSubSupPr>
          <m:e>
            <m:r>
              <w:rPr>
                <w:rFonts w:ascii="Cambria Math" w:eastAsiaTheme="minorEastAsia" w:hAnsi="Cambria Math"/>
              </w:rPr>
              <m:t>σ</m:t>
            </m:r>
          </m:e>
          <m:sub>
            <m:r>
              <w:rPr>
                <w:rFonts w:ascii="Cambria Math" w:eastAsiaTheme="minorEastAsia" w:hAnsi="Cambria Math"/>
              </w:rPr>
              <m:t>Reef</m:t>
            </m:r>
          </m:sub>
          <m:sup>
            <m:r>
              <w:rPr>
                <w:rFonts w:ascii="Cambria Math" w:eastAsiaTheme="minorEastAsia" w:hAnsi="Cambria Math"/>
              </w:rPr>
              <m:t>2</m:t>
            </m:r>
          </m:sup>
        </m:sSubSup>
        <m:r>
          <w:rPr>
            <w:rFonts w:ascii="Cambria Math" w:eastAsiaTheme="minorEastAsia" w:hAnsi="Cambria Math"/>
          </w:rPr>
          <m:t>)</m:t>
        </m:r>
      </m:oMath>
      <w:r>
        <w:rPr>
          <w:rFonts w:eastAsiaTheme="minorEastAsia"/>
        </w:rPr>
        <w:t xml:space="preserve"> </w:t>
      </w:r>
    </w:p>
    <w:p w14:paraId="6C4CB855" w14:textId="77777777" w:rsidR="007372D2" w:rsidRDefault="00A966BF" w:rsidP="005A0708">
      <w:pPr>
        <w:autoSpaceDE w:val="0"/>
        <w:autoSpaceDN w:val="0"/>
        <w:adjustRightInd w:val="0"/>
        <w:ind w:left="720" w:firstLine="720"/>
        <w:rPr>
          <w:rFonts w:eastAsiaTheme="minorEastAsia"/>
        </w:rPr>
      </w:pPr>
      <m:oMathPara>
        <m:oMathParaPr>
          <m:jc m:val="left"/>
        </m:oMathParaPr>
        <m:oMath>
          <m:sSup>
            <m:sSupPr>
              <m:ctrlPr>
                <w:rPr>
                  <w:rFonts w:ascii="Cambria Math" w:hAnsi="Cambria Math"/>
                  <w:i/>
                  <w:szCs w:val="22"/>
                </w:rPr>
              </m:ctrlPr>
            </m:sSupPr>
            <m:e>
              <m:r>
                <w:rPr>
                  <w:rFonts w:ascii="Cambria Math" w:hAnsi="Cambria Math"/>
                </w:rPr>
                <m:t>σ</m:t>
              </m:r>
            </m:e>
            <m:sup>
              <m:r>
                <w:rPr>
                  <w:rFonts w:ascii="Cambria Math" w:hAnsi="Cambria Math"/>
                </w:rPr>
                <m:t>2</m:t>
              </m:r>
            </m:sup>
          </m:sSup>
          <m:r>
            <w:rPr>
              <w:rFonts w:ascii="Cambria Math" w:hAnsi="Cambria Math"/>
            </w:rPr>
            <m:t>,</m:t>
          </m:r>
          <m:sSubSup>
            <m:sSubSupPr>
              <m:ctrlPr>
                <w:rPr>
                  <w:rFonts w:ascii="Cambria Math" w:hAnsi="Cambria Math"/>
                  <w:i/>
                  <w:szCs w:val="22"/>
                </w:rPr>
              </m:ctrlPr>
            </m:sSubSupPr>
            <m:e>
              <m:r>
                <w:rPr>
                  <w:rFonts w:ascii="Cambria Math" w:hAnsi="Cambria Math"/>
                </w:rPr>
                <m:t>σ</m:t>
              </m:r>
            </m:e>
            <m:sub>
              <m:r>
                <w:rPr>
                  <w:rFonts w:ascii="Cambria Math" w:hAnsi="Cambria Math"/>
                </w:rPr>
                <m:t>Region</m:t>
              </m:r>
            </m:sub>
            <m:sup>
              <m:r>
                <w:rPr>
                  <w:rFonts w:ascii="Cambria Math" w:hAnsi="Cambria Math"/>
                </w:rPr>
                <m:t>2</m:t>
              </m:r>
            </m:sup>
          </m:sSubSup>
          <m:r>
            <w:rPr>
              <w:rFonts w:ascii="Cambria Math" w:hAnsi="Cambria Math"/>
            </w:rPr>
            <m:t>,</m:t>
          </m:r>
          <m:sSubSup>
            <m:sSubSupPr>
              <m:ctrlPr>
                <w:rPr>
                  <w:rFonts w:ascii="Cambria Math" w:hAnsi="Cambria Math"/>
                  <w:i/>
                  <w:szCs w:val="22"/>
                </w:rPr>
              </m:ctrlPr>
            </m:sSubSupPr>
            <m:e>
              <m:r>
                <w:rPr>
                  <w:rFonts w:ascii="Cambria Math" w:hAnsi="Cambria Math"/>
                </w:rPr>
                <m:t>σ</m:t>
              </m:r>
            </m:e>
            <m:sub>
              <m:r>
                <w:rPr>
                  <w:rFonts w:ascii="Cambria Math" w:hAnsi="Cambria Math"/>
                </w:rPr>
                <m:t>Reef</m:t>
              </m:r>
            </m:sub>
            <m:sup>
              <m:r>
                <w:rPr>
                  <w:rFonts w:ascii="Cambria Math" w:hAnsi="Cambria Math"/>
                </w:rPr>
                <m:t>2</m:t>
              </m:r>
            </m:sup>
          </m:sSubSup>
          <m:r>
            <m:rPr>
              <m:scr m:val="script"/>
            </m:rPr>
            <w:rPr>
              <w:rFonts w:ascii="Cambria Math" w:hAnsi="Cambria Math"/>
            </w:rPr>
            <m:t>= U</m:t>
          </m:r>
          <m:r>
            <w:rPr>
              <w:rFonts w:ascii="Cambria Math" w:hAnsi="Cambria Math"/>
            </w:rPr>
            <m:t>(0,100)</m:t>
          </m:r>
        </m:oMath>
      </m:oMathPara>
    </w:p>
    <w:p w14:paraId="5648892B" w14:textId="77777777" w:rsidR="007372D2" w:rsidRDefault="007372D2" w:rsidP="0041415A">
      <w:pPr>
        <w:autoSpaceDE w:val="0"/>
        <w:autoSpaceDN w:val="0"/>
        <w:adjustRightInd w:val="0"/>
        <w:ind w:left="720"/>
        <w:rPr>
          <w:rFonts w:eastAsiaTheme="minorEastAsia"/>
        </w:rPr>
      </w:pPr>
      <w:r>
        <w:rPr>
          <w:rFonts w:eastAsiaTheme="minorEastAsia"/>
        </w:rPr>
        <w:tab/>
        <w:t xml:space="preserve"> </w:t>
      </w:r>
      <w:r w:rsidR="005A0708">
        <w:rPr>
          <w:rFonts w:eastAsiaTheme="minorEastAsia"/>
        </w:rPr>
        <w:t xml:space="preserve">    </w:t>
      </w:r>
      <w:r>
        <w:rPr>
          <w:rFonts w:eastAsiaTheme="minorEastAsia"/>
        </w:rPr>
        <w:t xml:space="preserve">  </w:t>
      </w:r>
      <m:oMath>
        <m:r>
          <w:rPr>
            <w:rFonts w:ascii="Cambria Math" w:eastAsiaTheme="minorEastAsia" w:hAnsi="Cambria Math"/>
          </w:rPr>
          <m:t>rAcr=v</m:t>
        </m:r>
        <m:sSub>
          <m:sSubPr>
            <m:ctrlPr>
              <w:rPr>
                <w:rFonts w:ascii="Cambria Math" w:eastAsiaTheme="minorEastAsia" w:hAnsi="Cambria Math"/>
                <w:i/>
                <w:szCs w:val="22"/>
              </w:rPr>
            </m:ctrlPr>
          </m:sSubPr>
          <m:e>
            <m:bar>
              <m:barPr>
                <m:pos m:val="top"/>
                <m:ctrlPr>
                  <w:rPr>
                    <w:rFonts w:ascii="Cambria Math" w:eastAsiaTheme="minorEastAsia" w:hAnsi="Cambria Math"/>
                    <w:i/>
                    <w:szCs w:val="22"/>
                  </w:rPr>
                </m:ctrlPr>
              </m:barPr>
              <m:e>
                <m:r>
                  <w:rPr>
                    <w:rFonts w:ascii="Cambria Math" w:hAnsi="Cambria Math"/>
                  </w:rPr>
                  <m:t>A</m:t>
                </m:r>
              </m:e>
            </m:bar>
            <m:r>
              <w:rPr>
                <w:rFonts w:ascii="Cambria Math" w:eastAsiaTheme="minorEastAsia" w:hAnsi="Cambria Math"/>
              </w:rPr>
              <m:t>cr</m:t>
            </m:r>
          </m:e>
          <m:sub>
            <m:r>
              <w:rPr>
                <w:rFonts w:ascii="Cambria Math" w:eastAsiaTheme="minorEastAsia" w:hAnsi="Cambria Math"/>
              </w:rPr>
              <m:t>i</m:t>
            </m:r>
          </m:sub>
        </m:sSub>
      </m:oMath>
    </w:p>
    <w:p w14:paraId="37C30CDD" w14:textId="77777777" w:rsidR="007372D2" w:rsidRDefault="007372D2" w:rsidP="003045D3">
      <w:pPr>
        <w:autoSpaceDE w:val="0"/>
        <w:autoSpaceDN w:val="0"/>
        <w:adjustRightInd w:val="0"/>
        <w:rPr>
          <w:rFonts w:eastAsiaTheme="minorEastAsia"/>
        </w:rPr>
      </w:pPr>
      <w:r>
        <w:rPr>
          <w:rFonts w:eastAsiaTheme="minorEastAsia"/>
        </w:rPr>
        <w:t xml:space="preserve">Where </w:t>
      </w:r>
      <m:oMath>
        <m:sSub>
          <m:sSubPr>
            <m:ctrlPr>
              <w:rPr>
                <w:rFonts w:ascii="Cambria Math" w:eastAsiaTheme="minorEastAsia" w:hAnsi="Cambria Math"/>
                <w:i/>
                <w:szCs w:val="22"/>
              </w:rPr>
            </m:ctrlPr>
          </m:sSubPr>
          <m:e>
            <m:r>
              <w:rPr>
                <w:rFonts w:ascii="Cambria Math" w:eastAsiaTheme="minorEastAsia" w:hAnsi="Cambria Math"/>
              </w:rPr>
              <m:t>Acr</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szCs w:val="22"/>
              </w:rPr>
            </m:ctrlPr>
          </m:sSubPr>
          <m:e>
            <m:r>
              <w:rPr>
                <w:rFonts w:ascii="Cambria Math" w:eastAsiaTheme="minorEastAsia" w:hAnsi="Cambria Math"/>
              </w:rPr>
              <m:t>OthC</m:t>
            </m:r>
          </m:e>
          <m:sub>
            <m:r>
              <w:rPr>
                <w:rFonts w:ascii="Cambria Math" w:eastAsiaTheme="minorEastAsia" w:hAnsi="Cambria Math"/>
              </w:rPr>
              <m:t>it</m:t>
            </m:r>
          </m:sub>
        </m:sSub>
      </m:oMath>
      <w:r>
        <w:rPr>
          <w:rFonts w:eastAsiaTheme="minorEastAsia"/>
        </w:rPr>
        <w:t xml:space="preserve"> and </w:t>
      </w:r>
      <m:oMath>
        <m:sSub>
          <m:sSubPr>
            <m:ctrlPr>
              <w:rPr>
                <w:rFonts w:ascii="Cambria Math" w:eastAsiaTheme="minorEastAsia" w:hAnsi="Cambria Math"/>
                <w:i/>
                <w:szCs w:val="22"/>
              </w:rPr>
            </m:ctrlPr>
          </m:sSubPr>
          <m:e>
            <m:r>
              <w:rPr>
                <w:rFonts w:ascii="Cambria Math" w:eastAsiaTheme="minorEastAsia" w:hAnsi="Cambria Math"/>
              </w:rPr>
              <m:t>Sc</m:t>
            </m:r>
          </m:e>
          <m:sub>
            <m:r>
              <w:rPr>
                <w:rFonts w:ascii="Cambria Math" w:eastAsiaTheme="minorEastAsia" w:hAnsi="Cambria Math"/>
              </w:rPr>
              <m:t>it</m:t>
            </m:r>
          </m:sub>
        </m:sSub>
      </m:oMath>
      <w:r>
        <w:rPr>
          <w:rFonts w:eastAsiaTheme="minorEastAsia"/>
        </w:rPr>
        <w:t xml:space="preserve"> are the cover of Acroporidae coral, other hard coral and soft coral respectively at a given reef at </w:t>
      </w:r>
      <w:proofErr w:type="gramStart"/>
      <w:r>
        <w:rPr>
          <w:rFonts w:eastAsiaTheme="minorEastAsia"/>
        </w:rPr>
        <w:t xml:space="preserve">time </w:t>
      </w:r>
      <w:proofErr w:type="gramEnd"/>
      <m:oMath>
        <m:r>
          <w:rPr>
            <w:rFonts w:ascii="Cambria Math" w:eastAsiaTheme="minorEastAsia" w:hAnsi="Cambria Math"/>
          </w:rPr>
          <m:t>t</m:t>
        </m:r>
      </m:oMath>
      <w:r>
        <w:rPr>
          <w:rFonts w:eastAsiaTheme="minorEastAsia"/>
          <w:i/>
        </w:rPr>
        <w:t xml:space="preserve">. </w:t>
      </w:r>
      <m:oMath>
        <m:r>
          <w:rPr>
            <w:rFonts w:ascii="Cambria Math" w:eastAsiaTheme="minorEastAsia" w:hAnsi="Cambria Math"/>
          </w:rPr>
          <m:t>eskK</m:t>
        </m:r>
      </m:oMath>
      <w:proofErr w:type="gramStart"/>
      <w:r>
        <w:rPr>
          <w:rFonts w:eastAsiaTheme="minorEastAsia"/>
        </w:rPr>
        <w:t>is</w:t>
      </w:r>
      <w:proofErr w:type="gramEnd"/>
      <w:r>
        <w:rPr>
          <w:rFonts w:eastAsiaTheme="minorEastAsia"/>
        </w:rPr>
        <w:t xml:space="preserve"> the community size at equilibrium (100</w:t>
      </w:r>
      <w:r w:rsidR="004304DE">
        <w:rPr>
          <w:rFonts w:eastAsiaTheme="minorEastAsia"/>
        </w:rPr>
        <w:t xml:space="preserve"> minus the </w:t>
      </w:r>
      <w:r w:rsidR="00B3738D">
        <w:rPr>
          <w:rFonts w:eastAsiaTheme="minorEastAsia"/>
        </w:rPr>
        <w:t>area of un-colonisable soft substrate</w:t>
      </w:r>
      <w:r>
        <w:rPr>
          <w:rFonts w:eastAsiaTheme="minorEastAsia"/>
        </w:rPr>
        <w:t xml:space="preserve">) and </w:t>
      </w:r>
      <m:oMath>
        <m:r>
          <w:rPr>
            <w:rFonts w:ascii="Cambria Math" w:eastAsiaTheme="minorEastAsia" w:hAnsi="Cambria Math"/>
          </w:rPr>
          <m:t>rAcr</m:t>
        </m:r>
      </m:oMath>
      <w:r>
        <w:rPr>
          <w:rFonts w:eastAsiaTheme="minorEastAsia"/>
        </w:rPr>
        <w:t xml:space="preserve"> is the rate of increase (growth rate) in percent cover of Acroporidae coral. Varying effects of Region and Reef (</w:t>
      </w:r>
      <m:oMath>
        <m:sSub>
          <m:sSubPr>
            <m:ctrlPr>
              <w:rPr>
                <w:rFonts w:ascii="Cambria Math" w:eastAsiaTheme="minorEastAsia" w:hAnsi="Cambria Math"/>
                <w:i/>
                <w:szCs w:val="22"/>
              </w:rPr>
            </m:ctrlPr>
          </m:sSubPr>
          <m:e>
            <m:r>
              <w:rPr>
                <w:rFonts w:ascii="Cambria Math" w:eastAsiaTheme="minorEastAsia" w:hAnsi="Cambria Math"/>
              </w:rPr>
              <m:t>β</m:t>
            </m:r>
          </m:e>
          <m:sub>
            <m:r>
              <w:rPr>
                <w:rFonts w:ascii="Cambria Math" w:eastAsiaTheme="minorEastAsia" w:hAnsi="Cambria Math"/>
              </w:rPr>
              <m:t>j</m:t>
            </m:r>
          </m:sub>
        </m:sSub>
      </m:oMath>
      <w:r>
        <w:rPr>
          <w:rFonts w:eastAsiaTheme="minorEastAsia"/>
        </w:rPr>
        <w:t xml:space="preserve"> and </w:t>
      </w:r>
      <m:oMath>
        <m:sSub>
          <m:sSubPr>
            <m:ctrlPr>
              <w:rPr>
                <w:rFonts w:ascii="Cambria Math" w:eastAsiaTheme="minorEastAsia" w:hAnsi="Cambria Math"/>
                <w:i/>
                <w:szCs w:val="22"/>
              </w:rPr>
            </m:ctrlPr>
          </m:sSubPr>
          <m:e>
            <m:r>
              <w:rPr>
                <w:rFonts w:ascii="Cambria Math" w:eastAsiaTheme="minorEastAsia" w:hAnsi="Cambria Math"/>
              </w:rPr>
              <m:t>Υ</m:t>
            </m:r>
          </m:e>
          <m:sub>
            <m:r>
              <w:rPr>
                <w:rFonts w:ascii="Cambria Math" w:eastAsiaTheme="minorEastAsia" w:hAnsi="Cambria Math"/>
              </w:rPr>
              <m:t>k</m:t>
            </m:r>
          </m:sub>
        </m:sSub>
      </m:oMath>
      <w:r>
        <w:rPr>
          <w:rFonts w:eastAsiaTheme="minorEastAsia"/>
        </w:rPr>
        <w:t xml:space="preserve"> respectively) were also incorporated to account for spatial autocorrelation. Model coefficients associated with the intercept, Region and Reef (</w:t>
      </w:r>
      <m:oMath>
        <m:sSub>
          <m:sSubPr>
            <m:ctrlPr>
              <w:rPr>
                <w:rFonts w:ascii="Cambria Math" w:eastAsiaTheme="minorEastAsia" w:hAnsi="Cambria Math"/>
                <w:i/>
                <w:szCs w:val="22"/>
              </w:rPr>
            </m:ctrlPr>
          </m:sSubPr>
          <m:e>
            <m:r>
              <w:rPr>
                <w:rFonts w:ascii="Cambria Math" w:eastAsiaTheme="minorEastAsia" w:hAnsi="Cambria Math"/>
              </w:rPr>
              <m:t>α</m:t>
            </m:r>
          </m:e>
          <m:sub>
            <m:r>
              <w:rPr>
                <w:rFonts w:ascii="Cambria Math" w:eastAsiaTheme="minorEastAsia" w:hAnsi="Cambria Math"/>
              </w:rPr>
              <m:t>i</m:t>
            </m:r>
          </m:sub>
        </m:sSub>
        <m:r>
          <w:rPr>
            <w:rFonts w:ascii="Cambria Math" w:eastAsiaTheme="minorEastAsia" w:hAnsi="Cambria Math"/>
          </w:rPr>
          <m:t>,</m:t>
        </m:r>
      </m:oMath>
      <w:r>
        <w:rPr>
          <w:rFonts w:eastAsiaTheme="minorEastAsia"/>
        </w:rPr>
        <w:t xml:space="preserve"> </w:t>
      </w:r>
      <m:oMath>
        <m:sSub>
          <m:sSubPr>
            <m:ctrlPr>
              <w:rPr>
                <w:rFonts w:ascii="Cambria Math" w:eastAsiaTheme="minorEastAsia" w:hAnsi="Cambria Math"/>
                <w:i/>
                <w:szCs w:val="22"/>
              </w:rPr>
            </m:ctrlPr>
          </m:sSubPr>
          <m:e>
            <m:r>
              <w:rPr>
                <w:rFonts w:ascii="Cambria Math" w:eastAsiaTheme="minorEastAsia" w:hAnsi="Cambria Math"/>
              </w:rPr>
              <m:t>β</m:t>
            </m:r>
          </m:e>
          <m:sub>
            <m:r>
              <w:rPr>
                <w:rFonts w:ascii="Cambria Math" w:eastAsiaTheme="minorEastAsia" w:hAnsi="Cambria Math"/>
              </w:rPr>
              <m:t>j</m:t>
            </m:r>
          </m:sub>
        </m:sSub>
      </m:oMath>
      <w:r>
        <w:rPr>
          <w:rFonts w:eastAsiaTheme="minorEastAsia"/>
        </w:rPr>
        <w:t xml:space="preserve"> </w:t>
      </w:r>
      <w:proofErr w:type="gramStart"/>
      <w:r>
        <w:rPr>
          <w:rFonts w:eastAsiaTheme="minorEastAsia"/>
        </w:rPr>
        <w:t xml:space="preserve">and </w:t>
      </w:r>
      <w:proofErr w:type="gramEnd"/>
      <m:oMath>
        <m:sSub>
          <m:sSubPr>
            <m:ctrlPr>
              <w:rPr>
                <w:rFonts w:ascii="Cambria Math" w:eastAsiaTheme="minorEastAsia" w:hAnsi="Cambria Math"/>
                <w:i/>
                <w:szCs w:val="22"/>
              </w:rPr>
            </m:ctrlPr>
          </m:sSubPr>
          <m:e>
            <m:r>
              <w:rPr>
                <w:rFonts w:ascii="Cambria Math" w:eastAsiaTheme="minorEastAsia" w:hAnsi="Cambria Math"/>
              </w:rPr>
              <m:t>Υ</m:t>
            </m:r>
          </m:e>
          <m:sub>
            <m:r>
              <w:rPr>
                <w:rFonts w:ascii="Cambria Math" w:eastAsiaTheme="minorEastAsia" w:hAnsi="Cambria Math"/>
              </w:rPr>
              <m:t>k</m:t>
            </m:r>
          </m:sub>
        </m:sSub>
      </m:oMath>
      <w:r>
        <w:rPr>
          <w:rFonts w:eastAsiaTheme="minorEastAsia"/>
        </w:rPr>
        <w:t xml:space="preserve">) all had weekly informative </w:t>
      </w:r>
      <w:r w:rsidR="005A0708">
        <w:rPr>
          <w:rFonts w:eastAsiaTheme="minorEastAsia"/>
        </w:rPr>
        <w:t>Gaussian</w:t>
      </w:r>
      <w:r>
        <w:rPr>
          <w:rFonts w:eastAsiaTheme="minorEastAsia"/>
        </w:rPr>
        <w:t xml:space="preserve"> priors, the latter two with model standard deviation). The overall rate of coral growth parameters (</w:t>
      </w:r>
      <m:oMath>
        <m:r>
          <w:rPr>
            <w:rFonts w:ascii="Cambria Math" w:eastAsiaTheme="minorEastAsia" w:hAnsi="Cambria Math"/>
          </w:rPr>
          <m:t>rAcr</m:t>
        </m:r>
      </m:oMath>
      <w:r>
        <w:rPr>
          <w:rFonts w:eastAsiaTheme="minorEastAsia"/>
        </w:rPr>
        <w:t xml:space="preserve"> or </w:t>
      </w:r>
      <w:r>
        <w:rPr>
          <w:rFonts w:eastAsiaTheme="minorEastAsia"/>
        </w:rPr>
        <w:lastRenderedPageBreak/>
        <w:t>alternatively</w:t>
      </w:r>
      <m:oMath>
        <m:r>
          <w:rPr>
            <w:rFonts w:ascii="Cambria Math" w:eastAsiaTheme="minorEastAsia" w:hAnsi="Cambria Math"/>
          </w:rPr>
          <m:t>, r</m:t>
        </m:r>
        <m:r>
          <w:rPr>
            <w:rFonts w:ascii="Cambria Math" w:eastAsiaTheme="minorEastAsia" w:hAnsi="Cambria Math"/>
          </w:rPr>
          <m:t>OthC</m:t>
        </m:r>
      </m:oMath>
      <w:r>
        <w:rPr>
          <w:rFonts w:eastAsiaTheme="minorEastAsia"/>
        </w:rPr>
        <w:t>) constituted the mean of the individual posterior rates of increase (</w:t>
      </w:r>
      <m:oMath>
        <m:sSub>
          <m:sSubPr>
            <m:ctrlPr>
              <w:rPr>
                <w:rFonts w:ascii="Cambria Math" w:eastAsiaTheme="minorEastAsia" w:hAnsi="Cambria Math"/>
                <w:i/>
                <w:szCs w:val="22"/>
              </w:rPr>
            </m:ctrlPr>
          </m:sSubPr>
          <m:e>
            <m:r>
              <w:rPr>
                <w:rFonts w:ascii="Cambria Math" w:eastAsiaTheme="minorEastAsia" w:hAnsi="Cambria Math"/>
              </w:rPr>
              <m:t>vAcr</m:t>
            </m:r>
          </m:e>
          <m:sub>
            <m:r>
              <w:rPr>
                <w:rFonts w:ascii="Cambria Math" w:eastAsiaTheme="minorEastAsia" w:hAnsi="Cambria Math"/>
              </w:rPr>
              <m:t>i</m:t>
            </m:r>
          </m:sub>
        </m:sSub>
      </m:oMath>
      <w:r>
        <w:rPr>
          <w:rFonts w:eastAsiaTheme="minorEastAsia"/>
        </w:rPr>
        <w:t xml:space="preserve"> or alternatively</w:t>
      </w:r>
      <w:r w:rsidR="005A0708">
        <w:rPr>
          <w:rFonts w:eastAsiaTheme="minorEastAsia"/>
        </w:rPr>
        <w:t>,</w:t>
      </w:r>
      <w:r w:rsidR="00EE5DC8">
        <w:rPr>
          <w:rFonts w:eastAsiaTheme="minorEastAsia"/>
        </w:rPr>
        <w:t xml:space="preserve"> </w:t>
      </w:r>
      <w:r>
        <w:rPr>
          <w:rFonts w:eastAsiaTheme="minorEastAsia"/>
        </w:rPr>
        <w:t xml:space="preserve"> </w:t>
      </w:r>
      <m:oMath>
        <m:sSub>
          <m:sSubPr>
            <m:ctrlPr>
              <w:rPr>
                <w:rFonts w:ascii="Cambria Math" w:eastAsiaTheme="minorEastAsia" w:hAnsi="Cambria Math"/>
                <w:i/>
                <w:szCs w:val="22"/>
              </w:rPr>
            </m:ctrlPr>
          </m:sSubPr>
          <m:e>
            <m:r>
              <w:rPr>
                <w:rFonts w:ascii="Cambria Math" w:eastAsiaTheme="minorEastAsia" w:hAnsi="Cambria Math"/>
              </w:rPr>
              <m:t>vOthC</m:t>
            </m:r>
          </m:e>
          <m:sub>
            <m:r>
              <w:rPr>
                <w:rFonts w:ascii="Cambria Math" w:eastAsiaTheme="minorEastAsia" w:hAnsi="Cambria Math"/>
              </w:rPr>
              <m:t>i</m:t>
            </m:r>
          </m:sub>
        </m:sSub>
      </m:oMath>
      <w:r>
        <w:rPr>
          <w:rFonts w:eastAsiaTheme="minorEastAsia"/>
        </w:rPr>
        <w:t xml:space="preserve"> ). </w:t>
      </w:r>
    </w:p>
    <w:p w14:paraId="50D156BF" w14:textId="77777777" w:rsidR="007372D2" w:rsidRDefault="007372D2" w:rsidP="003045D3">
      <w:pPr>
        <w:autoSpaceDE w:val="0"/>
        <w:autoSpaceDN w:val="0"/>
        <w:adjustRightInd w:val="0"/>
        <w:rPr>
          <w:rFonts w:eastAsiaTheme="minorEastAsia"/>
        </w:rPr>
      </w:pPr>
      <w:r>
        <w:rPr>
          <w:rFonts w:eastAsiaTheme="minorEastAsia"/>
        </w:rPr>
        <w:t>The model included 100,000 iterations across three chains and a burn</w:t>
      </w:r>
      <w:r w:rsidR="0041415A">
        <w:rPr>
          <w:rFonts w:eastAsiaTheme="minorEastAsia"/>
        </w:rPr>
        <w:t>-</w:t>
      </w:r>
      <w:r>
        <w:rPr>
          <w:rFonts w:eastAsiaTheme="minorEastAsia"/>
        </w:rPr>
        <w:t>in of 50,000 per chain and a thinning rate of 10. Chain mixing and convergence were assessed via trace</w:t>
      </w:r>
      <w:r w:rsidR="00EE5DC8">
        <w:rPr>
          <w:rFonts w:eastAsiaTheme="minorEastAsia"/>
        </w:rPr>
        <w:t>-</w:t>
      </w:r>
      <w:r>
        <w:rPr>
          <w:rFonts w:eastAsiaTheme="minorEastAsia"/>
        </w:rPr>
        <w:t xml:space="preserve">plots, autocorrelation and Gelman-Rubin diagnostics (all scale reduction factors less than 1.05). </w:t>
      </w:r>
    </w:p>
    <w:p w14:paraId="09F9BCC6" w14:textId="77777777" w:rsidR="007372D2" w:rsidRDefault="007372D2" w:rsidP="003045D3">
      <w:pPr>
        <w:autoSpaceDE w:val="0"/>
        <w:autoSpaceDN w:val="0"/>
        <w:adjustRightInd w:val="0"/>
        <w:rPr>
          <w:rFonts w:eastAsiaTheme="minorEastAsia"/>
        </w:rPr>
      </w:pPr>
      <w:r>
        <w:rPr>
          <w:rFonts w:eastAsiaTheme="minorEastAsia"/>
        </w:rPr>
        <w:t xml:space="preserve">Credibility intervals of predictions were used to define upper and lower bounds of expected coral growth. </w:t>
      </w:r>
    </w:p>
    <w:p w14:paraId="4CCBB42C" w14:textId="77777777" w:rsidR="007372D2" w:rsidRDefault="007372D2" w:rsidP="003045D3">
      <w:pPr>
        <w:autoSpaceDE w:val="0"/>
        <w:autoSpaceDN w:val="0"/>
        <w:adjustRightInd w:val="0"/>
        <w:rPr>
          <w:rFonts w:eastAsiaTheme="minorHAnsi"/>
        </w:rPr>
      </w:pPr>
      <w:r>
        <w:rPr>
          <w:rFonts w:eastAsiaTheme="minorEastAsia"/>
        </w:rPr>
        <w:t xml:space="preserve">The Bayesian growth model was fit using JAGS (Plummer 2003) via the R2jags (Su and Masano Yajima 2014) and coda (Plummer </w:t>
      </w:r>
      <w:r>
        <w:rPr>
          <w:rFonts w:eastAsiaTheme="minorEastAsia"/>
          <w:i/>
        </w:rPr>
        <w:t>et al.</w:t>
      </w:r>
      <w:r>
        <w:rPr>
          <w:rFonts w:eastAsiaTheme="minorEastAsia"/>
        </w:rPr>
        <w:t xml:space="preserve"> 2006) packages for R. </w:t>
      </w:r>
    </w:p>
    <w:p w14:paraId="3DCBD753" w14:textId="77777777" w:rsidR="007372D2" w:rsidRDefault="007372D2" w:rsidP="003045D3">
      <w:pPr>
        <w:autoSpaceDE w:val="0"/>
        <w:autoSpaceDN w:val="0"/>
        <w:adjustRightInd w:val="0"/>
      </w:pPr>
      <w:r>
        <w:t>A further refinement from the original categorical scoring (</w:t>
      </w:r>
      <w:r w:rsidRPr="002A28EE">
        <w:rPr>
          <w:color w:val="000000" w:themeColor="text1"/>
        </w:rPr>
        <w:t xml:space="preserve">Table </w:t>
      </w:r>
      <w:r w:rsidR="000450F4">
        <w:rPr>
          <w:color w:val="000000" w:themeColor="text1"/>
        </w:rPr>
        <w:t>7</w:t>
      </w:r>
      <w:r w:rsidRPr="002A28EE">
        <w:rPr>
          <w:color w:val="000000" w:themeColor="text1"/>
        </w:rPr>
        <w:t xml:space="preserve">) </w:t>
      </w:r>
      <w:r>
        <w:t>was the introduction of a continuous scoring with distance away from the predicted change in cover. The new scoring system (Figure 4) is as follows:</w:t>
      </w:r>
    </w:p>
    <w:p w14:paraId="50104EBD" w14:textId="77777777" w:rsidR="007372D2" w:rsidRDefault="007372D2" w:rsidP="003045D3">
      <w:pPr>
        <w:pStyle w:val="ListParagraph"/>
        <w:numPr>
          <w:ilvl w:val="0"/>
          <w:numId w:val="24"/>
        </w:numPr>
        <w:autoSpaceDE w:val="0"/>
        <w:autoSpaceDN w:val="0"/>
        <w:adjustRightInd w:val="0"/>
      </w:pPr>
      <w:r>
        <w:t>If coral cover declines</w:t>
      </w:r>
      <w:r w:rsidR="001739D3">
        <w:t>,</w:t>
      </w:r>
      <w:r>
        <w:t xml:space="preserve"> a score of 0 is applied.</w:t>
      </w:r>
    </w:p>
    <w:p w14:paraId="1CA97C5C" w14:textId="77777777" w:rsidR="007372D2" w:rsidRDefault="007372D2" w:rsidP="003045D3">
      <w:pPr>
        <w:pStyle w:val="ListParagraph"/>
        <w:numPr>
          <w:ilvl w:val="0"/>
          <w:numId w:val="24"/>
        </w:numPr>
        <w:autoSpaceDE w:val="0"/>
        <w:autoSpaceDN w:val="0"/>
        <w:adjustRightInd w:val="0"/>
      </w:pPr>
      <w:r>
        <w:t xml:space="preserve">If cover change is between 0 and </w:t>
      </w:r>
      <w:r w:rsidR="00965806">
        <w:t xml:space="preserve">double </w:t>
      </w:r>
      <w:r>
        <w:t>the lower confidence interval</w:t>
      </w:r>
      <w:r w:rsidR="001739D3">
        <w:t>,</w:t>
      </w:r>
      <w:r>
        <w:t xml:space="preserve"> scores are scaled to between 0.1 when no change was observed th</w:t>
      </w:r>
      <w:r w:rsidR="001739D3">
        <w:t>r</w:t>
      </w:r>
      <w:r>
        <w:t>ough to 0.4 when change was equal to the lower 95% confidence interval of the predicted change.</w:t>
      </w:r>
    </w:p>
    <w:p w14:paraId="2D1484C7" w14:textId="77777777" w:rsidR="007372D2" w:rsidRDefault="007372D2" w:rsidP="003045D3">
      <w:pPr>
        <w:pStyle w:val="ListParagraph"/>
        <w:numPr>
          <w:ilvl w:val="0"/>
          <w:numId w:val="24"/>
        </w:numPr>
        <w:autoSpaceDE w:val="0"/>
        <w:autoSpaceDN w:val="0"/>
        <w:adjustRightInd w:val="0"/>
      </w:pPr>
      <w:r>
        <w:t xml:space="preserve">If cover change was within the 95% confidence intervals the score was scaled from 0.4 at the lower confidence interval through to 0.6 at the upper confidence interval. </w:t>
      </w:r>
    </w:p>
    <w:p w14:paraId="07369858" w14:textId="77777777" w:rsidR="007372D2" w:rsidRDefault="007372D2" w:rsidP="003045D3">
      <w:pPr>
        <w:pStyle w:val="ListParagraph"/>
        <w:numPr>
          <w:ilvl w:val="0"/>
          <w:numId w:val="24"/>
        </w:numPr>
        <w:autoSpaceDE w:val="0"/>
        <w:autoSpaceDN w:val="0"/>
        <w:adjustRightInd w:val="0"/>
      </w:pPr>
      <w:r>
        <w:t>If cover change was greater than the upper 95% confid</w:t>
      </w:r>
      <w:r w:rsidR="001739D3">
        <w:t xml:space="preserve">ence interval though less than </w:t>
      </w:r>
      <w:r>
        <w:t>double the upper 95% confidence intervals</w:t>
      </w:r>
      <w:r w:rsidR="001739D3">
        <w:t>,</w:t>
      </w:r>
      <w:r>
        <w:t xml:space="preserve"> scores where scaled from 0.6 at the upper confidence interval to 0.9 at double the upper confidence interval.</w:t>
      </w:r>
    </w:p>
    <w:p w14:paraId="547F1779" w14:textId="77777777" w:rsidR="007372D2" w:rsidRDefault="007372D2" w:rsidP="003045D3">
      <w:pPr>
        <w:pStyle w:val="ListParagraph"/>
        <w:numPr>
          <w:ilvl w:val="0"/>
          <w:numId w:val="24"/>
        </w:numPr>
        <w:autoSpaceDE w:val="0"/>
        <w:autoSpaceDN w:val="0"/>
        <w:adjustRightInd w:val="0"/>
      </w:pPr>
      <w:r>
        <w:t xml:space="preserve">If change was greater than </w:t>
      </w:r>
      <w:r w:rsidR="006F1ACE">
        <w:t>double</w:t>
      </w:r>
      <w:r>
        <w:t xml:space="preserve"> the upper 95% confidence interval</w:t>
      </w:r>
      <w:r w:rsidR="001739D3">
        <w:t>,</w:t>
      </w:r>
      <w:r>
        <w:t xml:space="preserve"> a score of 1 was applied.</w:t>
      </w:r>
    </w:p>
    <w:p w14:paraId="2AB45CF1" w14:textId="77777777" w:rsidR="0041415A" w:rsidRDefault="0041415A" w:rsidP="0041415A">
      <w:pPr>
        <w:autoSpaceDE w:val="0"/>
        <w:autoSpaceDN w:val="0"/>
        <w:adjustRightInd w:val="0"/>
      </w:pPr>
    </w:p>
    <w:p w14:paraId="645E572D" w14:textId="77777777" w:rsidR="00D61C95" w:rsidRDefault="007372D2" w:rsidP="00D61C95">
      <w:pPr>
        <w:keepNext/>
        <w:autoSpaceDE w:val="0"/>
        <w:autoSpaceDN w:val="0"/>
        <w:adjustRightInd w:val="0"/>
      </w:pPr>
      <w:r>
        <w:rPr>
          <w:noProof/>
          <w:lang w:val="en-AU" w:eastAsia="en-AU"/>
        </w:rPr>
        <w:drawing>
          <wp:inline distT="0" distB="0" distL="0" distR="0" wp14:anchorId="3995108B" wp14:editId="26A86922">
            <wp:extent cx="3600450" cy="3238500"/>
            <wp:effectExtent l="0" t="0" r="0" b="0"/>
            <wp:docPr id="38" name="Picture 38" descr="Figure 19: Scoring diagram for rate of change in hard coral cover metric" title="Figure 19: Scoring diagram for rate of change in hard coral cover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600450" cy="3238500"/>
                    </a:xfrm>
                    <a:prstGeom prst="rect">
                      <a:avLst/>
                    </a:prstGeom>
                    <a:noFill/>
                    <a:ln>
                      <a:noFill/>
                    </a:ln>
                  </pic:spPr>
                </pic:pic>
              </a:graphicData>
            </a:graphic>
          </wp:inline>
        </w:drawing>
      </w:r>
    </w:p>
    <w:p w14:paraId="12433A15" w14:textId="77777777" w:rsidR="007372D2" w:rsidRDefault="006B3B22" w:rsidP="00E56CF1">
      <w:pPr>
        <w:pStyle w:val="Caption"/>
      </w:pPr>
      <w:bookmarkStart w:id="321" w:name="_Toc437423864"/>
      <w:bookmarkStart w:id="322" w:name="_Toc437424043"/>
      <w:bookmarkStart w:id="323" w:name="_Toc437424317"/>
      <w:bookmarkStart w:id="324" w:name="_Toc437597653"/>
      <w:bookmarkStart w:id="325" w:name="_Toc460490788"/>
      <w:r>
        <w:t xml:space="preserve">Figure </w:t>
      </w:r>
      <w:r w:rsidR="005D2F9F">
        <w:fldChar w:fldCharType="begin"/>
      </w:r>
      <w:r w:rsidR="005D2F9F">
        <w:instrText xml:space="preserve"> SEQ Figure \* ARABIC </w:instrText>
      </w:r>
      <w:r w:rsidR="005D2F9F">
        <w:fldChar w:fldCharType="separate"/>
      </w:r>
      <w:r w:rsidR="00B61881">
        <w:rPr>
          <w:noProof/>
        </w:rPr>
        <w:t>19</w:t>
      </w:r>
      <w:r w:rsidR="005D2F9F">
        <w:rPr>
          <w:noProof/>
        </w:rPr>
        <w:fldChar w:fldCharType="end"/>
      </w:r>
      <w:r>
        <w:t>: S</w:t>
      </w:r>
      <w:r w:rsidR="00D91085">
        <w:t xml:space="preserve">coring diagram for rate of change in </w:t>
      </w:r>
      <w:r w:rsidR="001739D3">
        <w:t xml:space="preserve">hard </w:t>
      </w:r>
      <w:r w:rsidR="00D91085">
        <w:t>coral cover metric</w:t>
      </w:r>
      <w:bookmarkEnd w:id="321"/>
      <w:bookmarkEnd w:id="322"/>
      <w:bookmarkEnd w:id="323"/>
      <w:bookmarkEnd w:id="324"/>
      <w:bookmarkEnd w:id="325"/>
    </w:p>
    <w:p w14:paraId="3817FE36" w14:textId="77777777" w:rsidR="009139A2" w:rsidRDefault="009139A2">
      <w:pPr>
        <w:jc w:val="left"/>
        <w:rPr>
          <w:rFonts w:eastAsia="SimSun"/>
          <w:b/>
          <w:i/>
          <w:color w:val="000000" w:themeColor="text1"/>
          <w:sz w:val="24"/>
        </w:rPr>
      </w:pPr>
      <w:bookmarkStart w:id="326" w:name="_Toc437424429"/>
      <w:bookmarkStart w:id="327" w:name="_Toc437424553"/>
      <w:bookmarkStart w:id="328" w:name="_Toc437432484"/>
      <w:bookmarkStart w:id="329" w:name="_Toc437432557"/>
      <w:r>
        <w:br w:type="page"/>
      </w:r>
    </w:p>
    <w:p w14:paraId="0B803B82" w14:textId="77777777" w:rsidR="007372D2" w:rsidRDefault="00D44891" w:rsidP="009139A2">
      <w:pPr>
        <w:pStyle w:val="Heading3"/>
      </w:pPr>
      <w:r>
        <w:lastRenderedPageBreak/>
        <w:t>6</w:t>
      </w:r>
      <w:r w:rsidR="00D91085">
        <w:t>.</w:t>
      </w:r>
      <w:r w:rsidR="008E6308">
        <w:t>4</w:t>
      </w:r>
      <w:r w:rsidR="00D91085">
        <w:t xml:space="preserve">.2 </w:t>
      </w:r>
      <w:r w:rsidR="00BA5AEB">
        <w:t>The</w:t>
      </w:r>
      <w:r w:rsidR="007372D2">
        <w:t xml:space="preserve"> response variables</w:t>
      </w:r>
      <w:bookmarkEnd w:id="326"/>
      <w:bookmarkEnd w:id="327"/>
      <w:bookmarkEnd w:id="328"/>
      <w:bookmarkEnd w:id="329"/>
    </w:p>
    <w:p w14:paraId="51778E31" w14:textId="77777777" w:rsidR="007372D2" w:rsidRDefault="007372D2" w:rsidP="00A228FB">
      <w:pPr>
        <w:autoSpaceDE w:val="0"/>
        <w:autoSpaceDN w:val="0"/>
        <w:adjustRightInd w:val="0"/>
      </w:pPr>
      <w:r>
        <w:t>Parameters input into the model from which the estimated rate of change is determined are the mean values for each reef and depth and year derived from the photo point intercept transects (</w:t>
      </w:r>
      <w:r w:rsidR="00553772">
        <w:fldChar w:fldCharType="begin"/>
      </w:r>
      <w:r w:rsidR="00553772">
        <w:instrText xml:space="preserve"> REF _Ref438122202 \h </w:instrText>
      </w:r>
      <w:r w:rsidR="00553772">
        <w:fldChar w:fldCharType="separate"/>
      </w:r>
      <w:r w:rsidR="00B61881">
        <w:t xml:space="preserve">Table </w:t>
      </w:r>
      <w:r w:rsidR="00B61881">
        <w:rPr>
          <w:noProof/>
        </w:rPr>
        <w:t>5</w:t>
      </w:r>
      <w:r w:rsidR="00553772">
        <w:fldChar w:fldCharType="end"/>
      </w:r>
      <w:r>
        <w:t>).</w:t>
      </w:r>
    </w:p>
    <w:p w14:paraId="7296CED5" w14:textId="77777777" w:rsidR="00D61C95" w:rsidRPr="00D61C95" w:rsidRDefault="0026052F" w:rsidP="0026052F">
      <w:pPr>
        <w:pStyle w:val="Caption"/>
      </w:pPr>
      <w:bookmarkStart w:id="330" w:name="_Ref438122202"/>
      <w:bookmarkStart w:id="331" w:name="_Toc437424318"/>
      <w:bookmarkStart w:id="332" w:name="_Toc437597654"/>
      <w:bookmarkStart w:id="333" w:name="_Toc453855052"/>
      <w:r>
        <w:t xml:space="preserve">Table </w:t>
      </w:r>
      <w:r w:rsidR="005D2F9F">
        <w:fldChar w:fldCharType="begin"/>
      </w:r>
      <w:r w:rsidR="005D2F9F">
        <w:instrText xml:space="preserve"> SEQ Table \* ARABIC </w:instrText>
      </w:r>
      <w:r w:rsidR="005D2F9F">
        <w:fldChar w:fldCharType="separate"/>
      </w:r>
      <w:r w:rsidR="00B61881">
        <w:rPr>
          <w:noProof/>
        </w:rPr>
        <w:t>5</w:t>
      </w:r>
      <w:r w:rsidR="005D2F9F">
        <w:rPr>
          <w:noProof/>
        </w:rPr>
        <w:fldChar w:fldCharType="end"/>
      </w:r>
      <w:bookmarkEnd w:id="330"/>
      <w:r w:rsidR="004F0242">
        <w:t xml:space="preserve">: </w:t>
      </w:r>
      <w:r w:rsidR="007372D2">
        <w:t xml:space="preserve">Source of variables required for estimation of the </w:t>
      </w:r>
      <w:r w:rsidR="00D91085">
        <w:t>rate of change i</w:t>
      </w:r>
      <w:r w:rsidR="007372D2">
        <w:t>ndicator</w:t>
      </w:r>
      <w:bookmarkEnd w:id="331"/>
      <w:bookmarkEnd w:id="332"/>
      <w:bookmarkEnd w:id="333"/>
    </w:p>
    <w:tbl>
      <w:tblPr>
        <w:tblStyle w:val="TableGrid"/>
        <w:tblW w:w="0" w:type="auto"/>
        <w:tblInd w:w="250" w:type="dxa"/>
        <w:tblLook w:val="04A0" w:firstRow="1" w:lastRow="0" w:firstColumn="1" w:lastColumn="0" w:noHBand="0" w:noVBand="1"/>
        <w:tblCaption w:val="Table 5: Source of variables required for estimation of the rate of change indicator"/>
        <w:tblDescription w:val="Table 5: Source of variables required for estimation of the rate of change indicator: Acr : Cover of the Family Acroporidae&#10;OthC: Cover of all other hard corals&#10;SC: Cover of soft corals&#10;EstK: which is the proportion of the transect not occupied by deposits of sand or silt (AB) &#10;Sample information including date, reef and depth&#10;Disturbance categorization used to exclude observations when disturbances had occurred&#10;"/>
      </w:tblPr>
      <w:tblGrid>
        <w:gridCol w:w="4536"/>
        <w:gridCol w:w="4820"/>
      </w:tblGrid>
      <w:tr w:rsidR="007372D2" w14:paraId="57E71502" w14:textId="77777777" w:rsidTr="00C32638">
        <w:trPr>
          <w:tblHeader/>
        </w:trPr>
        <w:tc>
          <w:tcPr>
            <w:tcW w:w="453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E89A3D6" w14:textId="77777777" w:rsidR="007372D2" w:rsidRDefault="007372D2" w:rsidP="00A228FB">
            <w:pPr>
              <w:autoSpaceDE w:val="0"/>
              <w:autoSpaceDN w:val="0"/>
              <w:adjustRightInd w:val="0"/>
              <w:spacing w:after="120"/>
              <w:rPr>
                <w:lang w:eastAsia="zh-CN"/>
              </w:rPr>
            </w:pPr>
            <w:r>
              <w:t>Variable</w:t>
            </w:r>
          </w:p>
        </w:tc>
        <w:tc>
          <w:tcPr>
            <w:tcW w:w="482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15F164C" w14:textId="77777777" w:rsidR="007372D2" w:rsidRDefault="007372D2" w:rsidP="00A228FB">
            <w:pPr>
              <w:autoSpaceDE w:val="0"/>
              <w:autoSpaceDN w:val="0"/>
              <w:adjustRightInd w:val="0"/>
              <w:spacing w:after="120"/>
              <w:rPr>
                <w:lang w:eastAsia="zh-CN"/>
              </w:rPr>
            </w:pPr>
            <w:r>
              <w:t>AIMS Oracle database table source</w:t>
            </w:r>
          </w:p>
        </w:tc>
      </w:tr>
      <w:tr w:rsidR="007372D2" w14:paraId="7BFF84D3" w14:textId="77777777" w:rsidTr="00C32638">
        <w:tc>
          <w:tcPr>
            <w:tcW w:w="4536" w:type="dxa"/>
            <w:tcBorders>
              <w:top w:val="single" w:sz="4" w:space="0" w:color="auto"/>
              <w:left w:val="single" w:sz="4" w:space="0" w:color="auto"/>
              <w:bottom w:val="single" w:sz="4" w:space="0" w:color="auto"/>
              <w:right w:val="single" w:sz="4" w:space="0" w:color="auto"/>
            </w:tcBorders>
            <w:vAlign w:val="center"/>
            <w:hideMark/>
          </w:tcPr>
          <w:p w14:paraId="571DDECB" w14:textId="77777777" w:rsidR="007372D2" w:rsidRDefault="007372D2" w:rsidP="00C32638">
            <w:pPr>
              <w:autoSpaceDE w:val="0"/>
              <w:autoSpaceDN w:val="0"/>
              <w:adjustRightInd w:val="0"/>
              <w:spacing w:after="120"/>
              <w:jc w:val="left"/>
              <w:rPr>
                <w:lang w:eastAsia="zh-CN"/>
              </w:rPr>
            </w:pPr>
            <w:r>
              <w:t>Acr : Cover of the Family Acroporidae</w:t>
            </w:r>
          </w:p>
        </w:tc>
        <w:tc>
          <w:tcPr>
            <w:tcW w:w="4820" w:type="dxa"/>
            <w:tcBorders>
              <w:top w:val="single" w:sz="4" w:space="0" w:color="auto"/>
              <w:left w:val="single" w:sz="4" w:space="0" w:color="auto"/>
              <w:bottom w:val="single" w:sz="4" w:space="0" w:color="auto"/>
              <w:right w:val="single" w:sz="4" w:space="0" w:color="auto"/>
            </w:tcBorders>
            <w:vAlign w:val="center"/>
            <w:hideMark/>
          </w:tcPr>
          <w:p w14:paraId="2FF8EF42" w14:textId="77777777" w:rsidR="007372D2" w:rsidRDefault="007372D2" w:rsidP="00C32638">
            <w:pPr>
              <w:autoSpaceDE w:val="0"/>
              <w:autoSpaceDN w:val="0"/>
              <w:adjustRightInd w:val="0"/>
              <w:spacing w:after="120"/>
              <w:jc w:val="left"/>
              <w:rPr>
                <w:lang w:eastAsia="zh-CN"/>
              </w:rPr>
            </w:pPr>
            <w:r>
              <w:t>REEFMON_OT_FAMILY_SUMMARY_ZEROS where FAMILY_DESC is “ACROPORIDAE”</w:t>
            </w:r>
          </w:p>
        </w:tc>
      </w:tr>
      <w:tr w:rsidR="007372D2" w14:paraId="01E3D913" w14:textId="77777777" w:rsidTr="00C32638">
        <w:trPr>
          <w:trHeight w:val="846"/>
        </w:trPr>
        <w:tc>
          <w:tcPr>
            <w:tcW w:w="4536" w:type="dxa"/>
            <w:tcBorders>
              <w:top w:val="single" w:sz="4" w:space="0" w:color="auto"/>
              <w:left w:val="single" w:sz="4" w:space="0" w:color="auto"/>
              <w:bottom w:val="single" w:sz="4" w:space="0" w:color="auto"/>
              <w:right w:val="single" w:sz="4" w:space="0" w:color="auto"/>
            </w:tcBorders>
            <w:vAlign w:val="center"/>
            <w:hideMark/>
          </w:tcPr>
          <w:p w14:paraId="1497884B" w14:textId="77777777" w:rsidR="007372D2" w:rsidRDefault="007372D2" w:rsidP="00C32638">
            <w:pPr>
              <w:autoSpaceDE w:val="0"/>
              <w:autoSpaceDN w:val="0"/>
              <w:adjustRightInd w:val="0"/>
              <w:spacing w:after="120"/>
              <w:jc w:val="left"/>
              <w:rPr>
                <w:lang w:eastAsia="zh-CN"/>
              </w:rPr>
            </w:pPr>
            <w:r>
              <w:t>OthC: Cover of all other hard corals</w:t>
            </w:r>
          </w:p>
        </w:tc>
        <w:tc>
          <w:tcPr>
            <w:tcW w:w="4820" w:type="dxa"/>
            <w:tcBorders>
              <w:top w:val="single" w:sz="4" w:space="0" w:color="auto"/>
              <w:left w:val="single" w:sz="4" w:space="0" w:color="auto"/>
              <w:bottom w:val="single" w:sz="4" w:space="0" w:color="auto"/>
              <w:right w:val="single" w:sz="4" w:space="0" w:color="auto"/>
            </w:tcBorders>
            <w:vAlign w:val="center"/>
            <w:hideMark/>
          </w:tcPr>
          <w:p w14:paraId="14545F9E" w14:textId="77777777" w:rsidR="007372D2" w:rsidRDefault="007372D2" w:rsidP="00C32638">
            <w:pPr>
              <w:autoSpaceDE w:val="0"/>
              <w:autoSpaceDN w:val="0"/>
              <w:adjustRightInd w:val="0"/>
              <w:spacing w:after="120"/>
              <w:jc w:val="left"/>
            </w:pPr>
            <w:r>
              <w:t>REEFMON_OT_GROUP_SUMMARY_ZEROS</w:t>
            </w:r>
          </w:p>
          <w:p w14:paraId="03E4F6FC" w14:textId="77777777" w:rsidR="007372D2" w:rsidRDefault="007372D2" w:rsidP="00C32638">
            <w:pPr>
              <w:autoSpaceDE w:val="0"/>
              <w:autoSpaceDN w:val="0"/>
              <w:adjustRightInd w:val="0"/>
              <w:spacing w:after="120"/>
              <w:jc w:val="left"/>
              <w:rPr>
                <w:lang w:eastAsia="zh-CN"/>
              </w:rPr>
            </w:pPr>
            <w:r>
              <w:t xml:space="preserve"> where GROUP_CODE is “HC” minus the cover of Acroporidae</w:t>
            </w:r>
          </w:p>
        </w:tc>
      </w:tr>
      <w:tr w:rsidR="007372D2" w14:paraId="6C1816AB" w14:textId="77777777" w:rsidTr="00C32638">
        <w:tc>
          <w:tcPr>
            <w:tcW w:w="4536" w:type="dxa"/>
            <w:tcBorders>
              <w:top w:val="single" w:sz="4" w:space="0" w:color="auto"/>
              <w:left w:val="single" w:sz="4" w:space="0" w:color="auto"/>
              <w:bottom w:val="single" w:sz="4" w:space="0" w:color="auto"/>
              <w:right w:val="single" w:sz="4" w:space="0" w:color="auto"/>
            </w:tcBorders>
            <w:vAlign w:val="center"/>
            <w:hideMark/>
          </w:tcPr>
          <w:p w14:paraId="1D0B51DF" w14:textId="77777777" w:rsidR="007372D2" w:rsidRDefault="007372D2" w:rsidP="00C32638">
            <w:pPr>
              <w:autoSpaceDE w:val="0"/>
              <w:autoSpaceDN w:val="0"/>
              <w:adjustRightInd w:val="0"/>
              <w:spacing w:after="120"/>
              <w:jc w:val="left"/>
              <w:rPr>
                <w:lang w:eastAsia="zh-CN"/>
              </w:rPr>
            </w:pPr>
            <w:r>
              <w:t>SC: Cover of soft corals</w:t>
            </w:r>
          </w:p>
        </w:tc>
        <w:tc>
          <w:tcPr>
            <w:tcW w:w="4820" w:type="dxa"/>
            <w:tcBorders>
              <w:top w:val="single" w:sz="4" w:space="0" w:color="auto"/>
              <w:left w:val="single" w:sz="4" w:space="0" w:color="auto"/>
              <w:bottom w:val="single" w:sz="4" w:space="0" w:color="auto"/>
              <w:right w:val="single" w:sz="4" w:space="0" w:color="auto"/>
            </w:tcBorders>
            <w:vAlign w:val="center"/>
            <w:hideMark/>
          </w:tcPr>
          <w:p w14:paraId="565092AF" w14:textId="77777777" w:rsidR="007372D2" w:rsidRDefault="007372D2" w:rsidP="00C32638">
            <w:pPr>
              <w:autoSpaceDE w:val="0"/>
              <w:autoSpaceDN w:val="0"/>
              <w:adjustRightInd w:val="0"/>
              <w:spacing w:after="120"/>
              <w:jc w:val="left"/>
              <w:rPr>
                <w:lang w:eastAsia="zh-CN"/>
              </w:rPr>
            </w:pPr>
            <w:r>
              <w:t>REEFMON_OT_GROUP_SUMMARY_ZEROS where GROUP_CODE is “SC”</w:t>
            </w:r>
          </w:p>
        </w:tc>
      </w:tr>
      <w:tr w:rsidR="007372D2" w14:paraId="572A6C7F" w14:textId="77777777" w:rsidTr="00C32638">
        <w:tc>
          <w:tcPr>
            <w:tcW w:w="4536" w:type="dxa"/>
            <w:tcBorders>
              <w:top w:val="single" w:sz="4" w:space="0" w:color="auto"/>
              <w:left w:val="single" w:sz="4" w:space="0" w:color="auto"/>
              <w:bottom w:val="single" w:sz="4" w:space="0" w:color="auto"/>
              <w:right w:val="single" w:sz="4" w:space="0" w:color="auto"/>
            </w:tcBorders>
            <w:vAlign w:val="center"/>
            <w:hideMark/>
          </w:tcPr>
          <w:p w14:paraId="732A88D1" w14:textId="77777777" w:rsidR="007372D2" w:rsidRDefault="007372D2" w:rsidP="00C32638">
            <w:pPr>
              <w:autoSpaceDE w:val="0"/>
              <w:autoSpaceDN w:val="0"/>
              <w:adjustRightInd w:val="0"/>
              <w:spacing w:after="120"/>
              <w:jc w:val="left"/>
              <w:rPr>
                <w:lang w:eastAsia="zh-CN"/>
              </w:rPr>
            </w:pPr>
            <w:r>
              <w:t xml:space="preserve">EstK: which is the proportion of the transect not occupied by deposits of sand or silt (AB) </w:t>
            </w:r>
          </w:p>
        </w:tc>
        <w:tc>
          <w:tcPr>
            <w:tcW w:w="4820" w:type="dxa"/>
            <w:tcBorders>
              <w:top w:val="single" w:sz="4" w:space="0" w:color="auto"/>
              <w:left w:val="single" w:sz="4" w:space="0" w:color="auto"/>
              <w:bottom w:val="single" w:sz="4" w:space="0" w:color="auto"/>
              <w:right w:val="single" w:sz="4" w:space="0" w:color="auto"/>
            </w:tcBorders>
            <w:vAlign w:val="center"/>
            <w:hideMark/>
          </w:tcPr>
          <w:p w14:paraId="41CFACF1" w14:textId="77777777" w:rsidR="007372D2" w:rsidRDefault="007372D2" w:rsidP="00C32638">
            <w:pPr>
              <w:autoSpaceDE w:val="0"/>
              <w:autoSpaceDN w:val="0"/>
              <w:adjustRightInd w:val="0"/>
              <w:spacing w:after="120"/>
              <w:jc w:val="left"/>
              <w:rPr>
                <w:lang w:eastAsia="zh-CN"/>
              </w:rPr>
            </w:pPr>
            <w:r>
              <w:t xml:space="preserve">REEFMON_OT_GROUP_SUMMARY_ZEROS where GROUP_CODE is “AB” and </w:t>
            </w:r>
          </w:p>
        </w:tc>
      </w:tr>
      <w:tr w:rsidR="007372D2" w14:paraId="5026C9E6" w14:textId="77777777" w:rsidTr="00C32638">
        <w:tc>
          <w:tcPr>
            <w:tcW w:w="4536" w:type="dxa"/>
            <w:tcBorders>
              <w:top w:val="single" w:sz="4" w:space="0" w:color="auto"/>
              <w:left w:val="single" w:sz="4" w:space="0" w:color="auto"/>
              <w:bottom w:val="single" w:sz="4" w:space="0" w:color="auto"/>
              <w:right w:val="single" w:sz="4" w:space="0" w:color="auto"/>
            </w:tcBorders>
            <w:vAlign w:val="center"/>
            <w:hideMark/>
          </w:tcPr>
          <w:p w14:paraId="119120E7" w14:textId="77777777" w:rsidR="007372D2" w:rsidRDefault="007372D2" w:rsidP="00C32638">
            <w:pPr>
              <w:autoSpaceDE w:val="0"/>
              <w:autoSpaceDN w:val="0"/>
              <w:adjustRightInd w:val="0"/>
              <w:spacing w:after="120"/>
              <w:jc w:val="left"/>
              <w:rPr>
                <w:lang w:eastAsia="zh-CN"/>
              </w:rPr>
            </w:pPr>
            <w:r>
              <w:t>Sample information including date, reef and depth</w:t>
            </w:r>
          </w:p>
        </w:tc>
        <w:tc>
          <w:tcPr>
            <w:tcW w:w="4820" w:type="dxa"/>
            <w:tcBorders>
              <w:top w:val="single" w:sz="4" w:space="0" w:color="auto"/>
              <w:left w:val="single" w:sz="4" w:space="0" w:color="auto"/>
              <w:bottom w:val="single" w:sz="4" w:space="0" w:color="auto"/>
              <w:right w:val="single" w:sz="4" w:space="0" w:color="auto"/>
            </w:tcBorders>
            <w:vAlign w:val="center"/>
            <w:hideMark/>
          </w:tcPr>
          <w:p w14:paraId="07A7EC74" w14:textId="77777777" w:rsidR="007372D2" w:rsidRDefault="007372D2" w:rsidP="00C32638">
            <w:pPr>
              <w:autoSpaceDE w:val="0"/>
              <w:autoSpaceDN w:val="0"/>
              <w:adjustRightInd w:val="0"/>
              <w:spacing w:after="120"/>
              <w:jc w:val="left"/>
              <w:rPr>
                <w:lang w:eastAsia="zh-CN"/>
              </w:rPr>
            </w:pPr>
            <w:r>
              <w:t>REEFMON_V_IN_SAMPLE and REEFMON_V_RM_SAMPLE</w:t>
            </w:r>
          </w:p>
        </w:tc>
      </w:tr>
      <w:tr w:rsidR="007372D2" w14:paraId="14387EF4" w14:textId="77777777" w:rsidTr="00C32638">
        <w:tc>
          <w:tcPr>
            <w:tcW w:w="4536" w:type="dxa"/>
            <w:tcBorders>
              <w:top w:val="single" w:sz="4" w:space="0" w:color="auto"/>
              <w:left w:val="single" w:sz="4" w:space="0" w:color="auto"/>
              <w:bottom w:val="single" w:sz="4" w:space="0" w:color="auto"/>
              <w:right w:val="single" w:sz="4" w:space="0" w:color="auto"/>
            </w:tcBorders>
            <w:vAlign w:val="center"/>
            <w:hideMark/>
          </w:tcPr>
          <w:p w14:paraId="7B1C5963" w14:textId="77777777" w:rsidR="007372D2" w:rsidRDefault="007372D2" w:rsidP="00C32638">
            <w:pPr>
              <w:autoSpaceDE w:val="0"/>
              <w:autoSpaceDN w:val="0"/>
              <w:adjustRightInd w:val="0"/>
              <w:spacing w:after="120"/>
              <w:jc w:val="left"/>
              <w:rPr>
                <w:lang w:eastAsia="zh-CN"/>
              </w:rPr>
            </w:pPr>
            <w:r>
              <w:t>Disturbance categorization used to exclude observations when disturbances had occurred</w:t>
            </w:r>
          </w:p>
        </w:tc>
        <w:tc>
          <w:tcPr>
            <w:tcW w:w="4820" w:type="dxa"/>
            <w:tcBorders>
              <w:top w:val="single" w:sz="4" w:space="0" w:color="auto"/>
              <w:left w:val="single" w:sz="4" w:space="0" w:color="auto"/>
              <w:bottom w:val="single" w:sz="4" w:space="0" w:color="auto"/>
              <w:right w:val="single" w:sz="4" w:space="0" w:color="auto"/>
            </w:tcBorders>
            <w:vAlign w:val="center"/>
            <w:hideMark/>
          </w:tcPr>
          <w:p w14:paraId="099E2D32" w14:textId="77777777" w:rsidR="007372D2" w:rsidRDefault="007372D2" w:rsidP="00C32638">
            <w:pPr>
              <w:autoSpaceDE w:val="0"/>
              <w:autoSpaceDN w:val="0"/>
              <w:adjustRightInd w:val="0"/>
              <w:spacing w:after="120"/>
              <w:jc w:val="left"/>
              <w:rPr>
                <w:lang w:eastAsia="zh-CN"/>
              </w:rPr>
            </w:pPr>
            <w:r>
              <w:t>REEFMON_IN_DISTURBANCE and REEFMON_DISTURBANCE.DISTURBANCES</w:t>
            </w:r>
          </w:p>
        </w:tc>
      </w:tr>
    </w:tbl>
    <w:p w14:paraId="566B1B6C" w14:textId="77777777" w:rsidR="007372D2" w:rsidRPr="00D61C95" w:rsidRDefault="007372D2" w:rsidP="00A228FB">
      <w:pPr>
        <w:autoSpaceDE w:val="0"/>
        <w:autoSpaceDN w:val="0"/>
        <w:adjustRightInd w:val="0"/>
        <w:rPr>
          <w:rFonts w:asciiTheme="minorHAnsi" w:hAnsiTheme="minorHAnsi" w:cstheme="minorBidi"/>
          <w:szCs w:val="22"/>
        </w:rPr>
      </w:pPr>
      <w:r>
        <w:t xml:space="preserve"> </w:t>
      </w:r>
    </w:p>
    <w:p w14:paraId="6607F4B2" w14:textId="77777777" w:rsidR="007372D2" w:rsidRDefault="00D91085" w:rsidP="00D91085">
      <w:pPr>
        <w:pStyle w:val="Heading2"/>
      </w:pPr>
      <w:r>
        <w:t xml:space="preserve"> </w:t>
      </w:r>
      <w:bookmarkStart w:id="334" w:name="_Toc437424430"/>
      <w:bookmarkStart w:id="335" w:name="_Toc437424554"/>
      <w:bookmarkStart w:id="336" w:name="_Toc437432485"/>
      <w:bookmarkStart w:id="337" w:name="_Toc437432558"/>
      <w:bookmarkStart w:id="338" w:name="_Toc460490672"/>
      <w:r w:rsidR="00D44891">
        <w:t>6</w:t>
      </w:r>
      <w:r>
        <w:t>.</w:t>
      </w:r>
      <w:r w:rsidR="008E6308">
        <w:t xml:space="preserve">5 </w:t>
      </w:r>
      <w:r w:rsidR="00D618D3">
        <w:t xml:space="preserve">Metric 4: </w:t>
      </w:r>
      <w:r>
        <w:t>J</w:t>
      </w:r>
      <w:r w:rsidR="007372D2">
        <w:t>uvenile hard coral</w:t>
      </w:r>
      <w:r>
        <w:t xml:space="preserve"> </w:t>
      </w:r>
      <w:bookmarkEnd w:id="334"/>
      <w:bookmarkEnd w:id="335"/>
      <w:bookmarkEnd w:id="336"/>
      <w:bookmarkEnd w:id="337"/>
      <w:r w:rsidR="00D618D3">
        <w:t>density</w:t>
      </w:r>
      <w:bookmarkEnd w:id="338"/>
    </w:p>
    <w:p w14:paraId="5A43312C" w14:textId="77777777" w:rsidR="007372D2" w:rsidRDefault="007372D2" w:rsidP="00A228FB">
      <w:pPr>
        <w:rPr>
          <w:color w:val="000000" w:themeColor="text1"/>
        </w:rPr>
      </w:pPr>
      <w:r>
        <w:rPr>
          <w:color w:val="000000" w:themeColor="text1"/>
        </w:rPr>
        <w:t xml:space="preserve">Common disturbances to inshore reefs include cyclones (often associated with flooding), thermal bleaching, and outbreaks of crown-of-thorns </w:t>
      </w:r>
      <w:r w:rsidR="00743AF3">
        <w:rPr>
          <w:color w:val="000000" w:themeColor="text1"/>
        </w:rPr>
        <w:t>seastar</w:t>
      </w:r>
      <w:r>
        <w:rPr>
          <w:color w:val="000000" w:themeColor="text1"/>
        </w:rPr>
        <w:t xml:space="preserve">, all of which can result in widespread mortality of corals (e.g. Sweatman </w:t>
      </w:r>
      <w:r>
        <w:rPr>
          <w:i/>
          <w:color w:val="000000" w:themeColor="text1"/>
        </w:rPr>
        <w:t>et al.</w:t>
      </w:r>
      <w:r>
        <w:rPr>
          <w:color w:val="000000" w:themeColor="text1"/>
        </w:rPr>
        <w:t xml:space="preserve"> 2007, Osborne </w:t>
      </w:r>
      <w:r>
        <w:rPr>
          <w:i/>
          <w:color w:val="000000" w:themeColor="text1"/>
        </w:rPr>
        <w:t>et al.</w:t>
      </w:r>
      <w:r>
        <w:rPr>
          <w:color w:val="000000" w:themeColor="text1"/>
        </w:rPr>
        <w:t xml:space="preserve"> 2011). Recovery from such events is reliant on both the recruitment of new colonies and regeneration of existing colonies from remaining tissue fragments (Smith 2008, Diaz-Pulido </w:t>
      </w:r>
      <w:r>
        <w:rPr>
          <w:i/>
          <w:color w:val="000000" w:themeColor="text1"/>
        </w:rPr>
        <w:t>et al.</w:t>
      </w:r>
      <w:r>
        <w:rPr>
          <w:color w:val="000000" w:themeColor="text1"/>
        </w:rPr>
        <w:t xml:space="preserve"> 2009). </w:t>
      </w:r>
      <w:r>
        <w:rPr>
          <w:rFonts w:cs="Arial"/>
          <w:color w:val="000000" w:themeColor="text1"/>
        </w:rPr>
        <w:t>Previous studies have shown that elevated concentrations of nutrients, agr</w:t>
      </w:r>
      <w:r w:rsidR="006E5110">
        <w:rPr>
          <w:rFonts w:cs="Arial"/>
          <w:color w:val="000000" w:themeColor="text1"/>
        </w:rPr>
        <w:t>o</w:t>
      </w:r>
      <w:r>
        <w:rPr>
          <w:rFonts w:cs="Arial"/>
          <w:color w:val="000000" w:themeColor="text1"/>
        </w:rPr>
        <w:t xml:space="preserve">chemicals, and </w:t>
      </w:r>
      <w:r w:rsidR="00743AF3">
        <w:rPr>
          <w:rFonts w:cs="Arial"/>
          <w:color w:val="000000" w:themeColor="text1"/>
        </w:rPr>
        <w:t xml:space="preserve">high </w:t>
      </w:r>
      <w:r>
        <w:rPr>
          <w:rFonts w:cs="Arial"/>
          <w:color w:val="000000" w:themeColor="text1"/>
        </w:rPr>
        <w:t xml:space="preserve">turbidity can negatively affect reproduction in corals (reviewed by Fabricius 2005, van Dam </w:t>
      </w:r>
      <w:r>
        <w:rPr>
          <w:rFonts w:cs="Arial"/>
          <w:i/>
          <w:color w:val="000000" w:themeColor="text1"/>
        </w:rPr>
        <w:t>et al.</w:t>
      </w:r>
      <w:r>
        <w:rPr>
          <w:rFonts w:cs="Arial"/>
          <w:color w:val="000000" w:themeColor="text1"/>
        </w:rPr>
        <w:t xml:space="preserve"> 2011 Erftemeijer </w:t>
      </w:r>
      <w:r>
        <w:rPr>
          <w:rFonts w:cs="Arial"/>
          <w:i/>
          <w:color w:val="000000" w:themeColor="text1"/>
        </w:rPr>
        <w:t>et al.</w:t>
      </w:r>
      <w:r>
        <w:rPr>
          <w:rFonts w:cs="Arial"/>
          <w:color w:val="000000" w:themeColor="text1"/>
        </w:rPr>
        <w:t xml:space="preserve"> 2012). Furthermore, </w:t>
      </w:r>
      <w:r>
        <w:rPr>
          <w:color w:val="000000" w:themeColor="text1"/>
        </w:rPr>
        <w:t xml:space="preserve">high rates of sediment deposition and accumulation on reef surfaces can affect larval settlement (Babcock </w:t>
      </w:r>
      <w:r w:rsidR="009D73E5">
        <w:rPr>
          <w:color w:val="000000" w:themeColor="text1"/>
        </w:rPr>
        <w:t>&amp;</w:t>
      </w:r>
      <w:r>
        <w:rPr>
          <w:color w:val="000000" w:themeColor="text1"/>
        </w:rPr>
        <w:t xml:space="preserve"> Smith 2002, Baird </w:t>
      </w:r>
      <w:r>
        <w:rPr>
          <w:i/>
          <w:color w:val="000000" w:themeColor="text1"/>
        </w:rPr>
        <w:t>et al.</w:t>
      </w:r>
      <w:r>
        <w:rPr>
          <w:color w:val="000000" w:themeColor="text1"/>
        </w:rPr>
        <w:t xml:space="preserve"> 2003, </w:t>
      </w:r>
      <w:proofErr w:type="gramStart"/>
      <w:r>
        <w:rPr>
          <w:color w:val="000000" w:themeColor="text1"/>
        </w:rPr>
        <w:t>Fabricius</w:t>
      </w:r>
      <w:proofErr w:type="gramEnd"/>
      <w:r>
        <w:rPr>
          <w:color w:val="000000" w:themeColor="text1"/>
        </w:rPr>
        <w:t xml:space="preserve"> </w:t>
      </w:r>
      <w:r>
        <w:rPr>
          <w:i/>
          <w:color w:val="000000" w:themeColor="text1"/>
        </w:rPr>
        <w:t>et al.</w:t>
      </w:r>
      <w:r>
        <w:rPr>
          <w:color w:val="000000" w:themeColor="text1"/>
        </w:rPr>
        <w:t xml:space="preserve"> 2003) and smother juvenile corals (Harrison </w:t>
      </w:r>
      <w:r w:rsidR="009D73E5">
        <w:rPr>
          <w:color w:val="000000" w:themeColor="text1"/>
        </w:rPr>
        <w:t>&amp;</w:t>
      </w:r>
      <w:r>
        <w:rPr>
          <w:color w:val="000000" w:themeColor="text1"/>
        </w:rPr>
        <w:t xml:space="preserve"> Wallace 1990, Rogers 1990, Fabricius </w:t>
      </w:r>
      <w:r w:rsidR="00DD6E15">
        <w:rPr>
          <w:color w:val="000000" w:themeColor="text1"/>
        </w:rPr>
        <w:t xml:space="preserve">&amp; </w:t>
      </w:r>
      <w:r>
        <w:rPr>
          <w:color w:val="000000" w:themeColor="text1"/>
        </w:rPr>
        <w:t xml:space="preserve">Wolanski 2000). Any of these water quality-related pressures on the early life stages of corals have the potential to suppress the resilience of communities reliant on recruitment for recovery. For these reasons the density of juvenile corals is an important indicator of coral community resilience, especially in periods following severe disturbance events. </w:t>
      </w:r>
      <w:r w:rsidR="00381647">
        <w:rPr>
          <w:color w:val="000000" w:themeColor="text1"/>
        </w:rPr>
        <w:t>The density of juvenile corals represents the culmination of importance demographic processes from fecundity through fertilisation, planula survival, settlement and early post settlement survival.</w:t>
      </w:r>
    </w:p>
    <w:p w14:paraId="5EC23D06" w14:textId="77777777" w:rsidR="007372D2" w:rsidRDefault="007372D2" w:rsidP="00A228FB">
      <w:r>
        <w:rPr>
          <w:color w:val="000000" w:themeColor="text1"/>
        </w:rPr>
        <w:t xml:space="preserve">The setting of a threshold against which to assess observed densities of juvenile corals is problematic as detailed demographic studies that allow the estimation of adequate levels of recruitment to ensure coral community resilience have not been undertaken for the range of communities present in the turbid </w:t>
      </w:r>
      <w:r w:rsidR="00743AF3">
        <w:rPr>
          <w:color w:val="000000" w:themeColor="text1"/>
        </w:rPr>
        <w:t xml:space="preserve">inshore waters of the GBR. </w:t>
      </w:r>
      <w:r>
        <w:rPr>
          <w:color w:val="000000" w:themeColor="text1"/>
        </w:rPr>
        <w:t xml:space="preserve">For the MMP, the thresholds used </w:t>
      </w:r>
      <w:r w:rsidR="003E6A57">
        <w:rPr>
          <w:color w:val="000000" w:themeColor="text1"/>
        </w:rPr>
        <w:t>until 2014 were</w:t>
      </w:r>
      <w:r>
        <w:rPr>
          <w:color w:val="000000" w:themeColor="text1"/>
        </w:rPr>
        <w:t xml:space="preserve"> based on the distribution of densities observed </w:t>
      </w:r>
      <w:r w:rsidR="003E6A57">
        <w:rPr>
          <w:color w:val="000000" w:themeColor="text1"/>
        </w:rPr>
        <w:t xml:space="preserve">at the </w:t>
      </w:r>
      <w:r w:rsidR="003F4FD5">
        <w:rPr>
          <w:color w:val="000000" w:themeColor="text1"/>
        </w:rPr>
        <w:t>beginning</w:t>
      </w:r>
      <w:r w:rsidR="003E6A57">
        <w:rPr>
          <w:color w:val="000000" w:themeColor="text1"/>
        </w:rPr>
        <w:t xml:space="preserve"> of the program in 2005</w:t>
      </w:r>
      <w:r>
        <w:rPr>
          <w:color w:val="000000" w:themeColor="text1"/>
        </w:rPr>
        <w:t xml:space="preserve"> as a baseline condition </w:t>
      </w:r>
      <w:r>
        <w:t>(</w:t>
      </w:r>
      <w:r w:rsidR="00553772">
        <w:rPr>
          <w:color w:val="000000" w:themeColor="text1"/>
        </w:rPr>
        <w:fldChar w:fldCharType="begin"/>
      </w:r>
      <w:r w:rsidR="00553772">
        <w:instrText xml:space="preserve"> REF _Ref438121998 \h </w:instrText>
      </w:r>
      <w:r w:rsidR="00553772">
        <w:rPr>
          <w:color w:val="000000" w:themeColor="text1"/>
        </w:rPr>
      </w:r>
      <w:r w:rsidR="00553772">
        <w:rPr>
          <w:color w:val="000000" w:themeColor="text1"/>
        </w:rPr>
        <w:fldChar w:fldCharType="separate"/>
      </w:r>
      <w:r w:rsidR="00B61881">
        <w:t xml:space="preserve">Table </w:t>
      </w:r>
      <w:r w:rsidR="00B61881">
        <w:rPr>
          <w:noProof/>
        </w:rPr>
        <w:t>7</w:t>
      </w:r>
      <w:r w:rsidR="00553772">
        <w:rPr>
          <w:color w:val="000000" w:themeColor="text1"/>
        </w:rPr>
        <w:fldChar w:fldCharType="end"/>
      </w:r>
      <w:r w:rsidRPr="002A28EE">
        <w:rPr>
          <w:color w:val="000000" w:themeColor="text1"/>
        </w:rPr>
        <w:t>).</w:t>
      </w:r>
    </w:p>
    <w:p w14:paraId="5CABF96D" w14:textId="77777777" w:rsidR="007372D2" w:rsidRDefault="00D44891" w:rsidP="009139A2">
      <w:pPr>
        <w:pStyle w:val="Heading3"/>
      </w:pPr>
      <w:bookmarkStart w:id="339" w:name="_Toc437424431"/>
      <w:bookmarkStart w:id="340" w:name="_Toc437424555"/>
      <w:bookmarkStart w:id="341" w:name="_Toc437432486"/>
      <w:bookmarkStart w:id="342" w:name="_Toc437432559"/>
      <w:r>
        <w:t>6</w:t>
      </w:r>
      <w:r w:rsidR="00D91085">
        <w:t>.</w:t>
      </w:r>
      <w:r w:rsidR="008E6308">
        <w:t>5</w:t>
      </w:r>
      <w:r w:rsidR="00D91085">
        <w:t>.1</w:t>
      </w:r>
      <w:r w:rsidR="00BA5AEB">
        <w:t xml:space="preserve"> </w:t>
      </w:r>
      <w:r w:rsidR="007372D2">
        <w:t>The response variable</w:t>
      </w:r>
      <w:bookmarkEnd w:id="339"/>
      <w:bookmarkEnd w:id="340"/>
      <w:bookmarkEnd w:id="341"/>
      <w:bookmarkEnd w:id="342"/>
    </w:p>
    <w:p w14:paraId="4C8CBA2A" w14:textId="77777777" w:rsidR="007372D2" w:rsidRDefault="007372D2" w:rsidP="003045D3">
      <w:r>
        <w:t xml:space="preserve">Prior to analysis of the MMP and LTMP data aimed at further refining </w:t>
      </w:r>
      <w:r>
        <w:rPr>
          <w:i/>
        </w:rPr>
        <w:t>juvenile density</w:t>
      </w:r>
      <w:r>
        <w:t xml:space="preserve"> scoring thresholds a decision needed to be made on the appropriate response variable to use. The MMP counts juvenile corals</w:t>
      </w:r>
      <w:r w:rsidR="00BA5AEB">
        <w:t xml:space="preserve"> in</w:t>
      </w:r>
      <w:r>
        <w:t xml:space="preserve"> three size classes: 0 to &lt;2cm, 2cm to &lt; 5cm and 5cm to 10cm and has </w:t>
      </w:r>
      <w:r w:rsidR="00F107DE">
        <w:t xml:space="preserve">previously </w:t>
      </w:r>
      <w:r>
        <w:t xml:space="preserve">reported juvenile density as </w:t>
      </w:r>
      <w:r w:rsidR="00F107DE">
        <w:t xml:space="preserve">derived from </w:t>
      </w:r>
      <w:r>
        <w:t>the combined number of colonies in all these size</w:t>
      </w:r>
      <w:r w:rsidR="00BA5AEB">
        <w:t xml:space="preserve"> classe</w:t>
      </w:r>
      <w:r>
        <w:t>s. In contrast</w:t>
      </w:r>
      <w:r w:rsidR="00BA5AEB">
        <w:t>,</w:t>
      </w:r>
      <w:r>
        <w:t xml:space="preserve"> the LTMP includes a single siz</w:t>
      </w:r>
      <w:r w:rsidR="00BA5AEB">
        <w:t xml:space="preserve">e class of 0 to 5 cm diameter. </w:t>
      </w:r>
      <w:r>
        <w:t xml:space="preserve">Experience </w:t>
      </w:r>
      <w:r>
        <w:lastRenderedPageBreak/>
        <w:t xml:space="preserve">gained over the MMP has </w:t>
      </w:r>
      <w:r w:rsidR="00BA5AEB">
        <w:t xml:space="preserve">shown </w:t>
      </w:r>
      <w:r>
        <w:t>that as colony size increases it becomes more difficult to confidently cate</w:t>
      </w:r>
      <w:r w:rsidR="00BA5AEB">
        <w:t xml:space="preserve">gorise a colony as a juvenile (i.e. </w:t>
      </w:r>
      <w:r>
        <w:t>the result of settlement and growth of a coral larvae</w:t>
      </w:r>
      <w:r w:rsidR="00BA5AEB">
        <w:t>)</w:t>
      </w:r>
      <w:r>
        <w:t xml:space="preserve"> as opposed to the product of colony fragmentation or partial mortality. It is also apparent that as colony size increases the age of the colony becomes less defined and it is very likely that corals in the 5-10cm size class represent increasing proportions of mature colonies of species with typically small colony size of indeterminate age as opposed to juveniles of &lt;3 years of age</w:t>
      </w:r>
      <w:r w:rsidR="00BA5AEB">
        <w:t xml:space="preserve">, which </w:t>
      </w:r>
      <w:r>
        <w:t>was the original intention of the size classes selected. In the interests of: keeping this indicator consistent across the MMP and LTMP data sets, reducing ambiguity in terms of colony status as a juvenile, and narrowing the likely age range of col</w:t>
      </w:r>
      <w:r w:rsidR="00BA5AEB">
        <w:t xml:space="preserve">onies classified as juveniles, </w:t>
      </w:r>
      <w:r>
        <w:t xml:space="preserve">only colonies up to 5cm in diameter are considered as the response variable for juvenile densities for the revised </w:t>
      </w:r>
      <w:r>
        <w:rPr>
          <w:i/>
        </w:rPr>
        <w:t>juvenile density</w:t>
      </w:r>
      <w:r>
        <w:t xml:space="preserve"> indicator. In addition</w:t>
      </w:r>
      <w:r w:rsidR="00BA5AEB">
        <w:t>,</w:t>
      </w:r>
      <w:r>
        <w:t xml:space="preserve"> at a subset of reefs there are high numbers of juvenile corals of the genus </w:t>
      </w:r>
      <w:r>
        <w:rPr>
          <w:i/>
        </w:rPr>
        <w:t>Fungia. Fungia</w:t>
      </w:r>
      <w:r>
        <w:t xml:space="preserve"> are small</w:t>
      </w:r>
      <w:r w:rsidR="00BA5AEB">
        <w:t>,</w:t>
      </w:r>
      <w:r>
        <w:t xml:space="preserve"> free</w:t>
      </w:r>
      <w:r w:rsidR="00BA5AEB">
        <w:t>-</w:t>
      </w:r>
      <w:r>
        <w:t xml:space="preserve">living corals that reproduce by repeatedly budding off individuals from an attached polyp: this genus is excluded from estimates of hard coral juvenile density. </w:t>
      </w:r>
    </w:p>
    <w:p w14:paraId="4DCEC8DB" w14:textId="77777777" w:rsidR="006F1ACE" w:rsidRDefault="007372D2" w:rsidP="003045D3">
      <w:pPr>
        <w:rPr>
          <w:color w:val="000000" w:themeColor="text1"/>
        </w:rPr>
      </w:pPr>
      <w:r>
        <w:rPr>
          <w:color w:val="000000" w:themeColor="text1"/>
        </w:rPr>
        <w:t>The number of juvenile colonies observed along fixed</w:t>
      </w:r>
      <w:r w:rsidR="00D01A85">
        <w:rPr>
          <w:color w:val="000000" w:themeColor="text1"/>
        </w:rPr>
        <w:t>-</w:t>
      </w:r>
      <w:r>
        <w:rPr>
          <w:color w:val="000000" w:themeColor="text1"/>
        </w:rPr>
        <w:t>area transects may be biased due to the different proportions of substratum available for coral recruitment. For example, live coral cover effectively reduces the space available for settlement, as do sandy or silty substrata onto which corals cannot settle. To create a comparative estimate of the density of juvenile colonies between reefs and through time, the numbers of juveniles observed along fixed transects are converted to densities per area of transect tha</w:t>
      </w:r>
      <w:r w:rsidR="00D204E0">
        <w:rPr>
          <w:color w:val="000000" w:themeColor="text1"/>
        </w:rPr>
        <w:t>t is ‘available’ to settlement, as:</w:t>
      </w:r>
    </w:p>
    <w:p w14:paraId="10FC4D1B" w14:textId="77777777" w:rsidR="006F1ACE" w:rsidRPr="00D204E0" w:rsidRDefault="00A966BF" w:rsidP="003045D3">
      <w:pPr>
        <w:rPr>
          <w:color w:val="000000" w:themeColor="text1"/>
        </w:rPr>
      </w:pPr>
      <m:oMathPara>
        <m:oMath>
          <m:sSub>
            <m:sSubPr>
              <m:ctrlPr>
                <w:rPr>
                  <w:rFonts w:ascii="Cambria Math" w:hAnsi="Cambria Math"/>
                  <w:i/>
                  <w:color w:val="000000" w:themeColor="text1"/>
                </w:rPr>
              </m:ctrlPr>
            </m:sSubPr>
            <m:e>
              <m:r>
                <w:rPr>
                  <w:rFonts w:ascii="Cambria Math" w:hAnsi="Cambria Math"/>
                  <w:color w:val="000000" w:themeColor="text1"/>
                </w:rPr>
                <m:t>Juv</m:t>
              </m:r>
            </m:e>
            <m:sub>
              <m:r>
                <w:rPr>
                  <w:rFonts w:ascii="Cambria Math" w:hAnsi="Cambria Math"/>
                  <w:color w:val="000000" w:themeColor="text1"/>
                </w:rPr>
                <m:t>den</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Juv</m:t>
                  </m:r>
                </m:e>
                <m:sub>
                  <m:r>
                    <w:rPr>
                      <w:rFonts w:ascii="Cambria Math" w:hAnsi="Cambria Math"/>
                      <w:color w:val="000000" w:themeColor="text1"/>
                    </w:rPr>
                    <m:t>abun</m:t>
                  </m:r>
                </m:sub>
              </m:sSub>
            </m:num>
            <m:den>
              <m:r>
                <w:rPr>
                  <w:rFonts w:ascii="Cambria Math" w:hAnsi="Cambria Math"/>
                  <w:color w:val="000000" w:themeColor="text1"/>
                </w:rPr>
                <m:t>(Transect area*Proportion Available)</m:t>
              </m:r>
            </m:den>
          </m:f>
        </m:oMath>
      </m:oMathPara>
    </w:p>
    <w:p w14:paraId="3A26CC97" w14:textId="77777777" w:rsidR="00D204E0" w:rsidRDefault="00D204E0" w:rsidP="003045D3">
      <w:pPr>
        <w:rPr>
          <w:color w:val="000000" w:themeColor="text1"/>
        </w:rPr>
      </w:pPr>
      <w:r>
        <w:rPr>
          <w:color w:val="000000" w:themeColor="text1"/>
        </w:rPr>
        <w:t>Where;</w:t>
      </w:r>
    </w:p>
    <w:p w14:paraId="7D839724" w14:textId="77777777" w:rsidR="00D204E0" w:rsidRDefault="00D204E0" w:rsidP="003045D3">
      <w:pPr>
        <w:rPr>
          <w:color w:val="000000" w:themeColor="text1"/>
        </w:rPr>
      </w:pPr>
      <w:r>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Juv</m:t>
            </m:r>
          </m:e>
          <m:sub>
            <m:r>
              <w:rPr>
                <w:rFonts w:ascii="Cambria Math" w:hAnsi="Cambria Math"/>
                <w:color w:val="000000" w:themeColor="text1"/>
              </w:rPr>
              <m:t>abun</m:t>
            </m:r>
          </m:sub>
        </m:sSub>
      </m:oMath>
      <w:r>
        <w:rPr>
          <w:color w:val="000000" w:themeColor="text1"/>
        </w:rPr>
        <w:t xml:space="preserve"> </w:t>
      </w:r>
      <w:proofErr w:type="gramStart"/>
      <w:r>
        <w:rPr>
          <w:color w:val="000000" w:themeColor="text1"/>
        </w:rPr>
        <w:t>is</w:t>
      </w:r>
      <w:proofErr w:type="gramEnd"/>
      <w:r>
        <w:rPr>
          <w:color w:val="000000" w:themeColor="text1"/>
        </w:rPr>
        <w:t xml:space="preserve"> the observed abundance of juvenile hard coral colonies &lt; 5cm in diameter</w:t>
      </w:r>
      <w:r w:rsidR="00F107DE">
        <w:rPr>
          <w:color w:val="000000" w:themeColor="text1"/>
        </w:rPr>
        <w:t xml:space="preserve"> </w:t>
      </w:r>
      <w:r w:rsidR="00F107DE">
        <w:t xml:space="preserve">(database table REEFMON_V_DEMOG_ZEROS, field </w:t>
      </w:r>
      <w:r w:rsidR="0098330C">
        <w:t xml:space="preserve">ABUNDANCE, where field </w:t>
      </w:r>
      <w:r w:rsidR="00F107DE">
        <w:t>SIZE_CLASS</w:t>
      </w:r>
      <w:r w:rsidR="0098330C">
        <w:t xml:space="preserve">= </w:t>
      </w:r>
      <w:r w:rsidR="0098330C" w:rsidRPr="0098330C">
        <w:t>('000-002'</w:t>
      </w:r>
      <w:r w:rsidR="0098330C">
        <w:t xml:space="preserve"> or </w:t>
      </w:r>
      <w:r w:rsidR="0098330C" w:rsidRPr="0098330C">
        <w:t>'002-005'</w:t>
      </w:r>
      <w:r w:rsidR="0098330C">
        <w:t xml:space="preserve"> (MMP</w:t>
      </w:r>
      <w:r w:rsidR="0098330C" w:rsidRPr="0098330C">
        <w:t>)</w:t>
      </w:r>
      <w:r w:rsidR="0098330C">
        <w:t>, or ‘RM_JUV’ (LTMP)</w:t>
      </w:r>
      <w:r w:rsidR="0098330C">
        <w:rPr>
          <w:color w:val="000000" w:themeColor="text1"/>
        </w:rPr>
        <w:t xml:space="preserve">. Genus </w:t>
      </w:r>
      <w:r w:rsidRPr="00D204E0">
        <w:rPr>
          <w:i/>
          <w:color w:val="000000" w:themeColor="text1"/>
        </w:rPr>
        <w:t>Fungia</w:t>
      </w:r>
      <w:r w:rsidR="0098330C">
        <w:rPr>
          <w:i/>
          <w:color w:val="000000" w:themeColor="text1"/>
        </w:rPr>
        <w:t xml:space="preserve"> </w:t>
      </w:r>
      <w:r w:rsidR="0098330C" w:rsidRPr="0098330C">
        <w:rPr>
          <w:color w:val="000000" w:themeColor="text1"/>
        </w:rPr>
        <w:t>is excluded</w:t>
      </w:r>
      <w:r w:rsidRPr="0098330C">
        <w:rPr>
          <w:color w:val="000000" w:themeColor="text1"/>
        </w:rPr>
        <w:t>.</w:t>
      </w:r>
      <w:r>
        <w:rPr>
          <w:color w:val="000000" w:themeColor="text1"/>
        </w:rPr>
        <w:t xml:space="preserve">  </w:t>
      </w:r>
    </w:p>
    <w:p w14:paraId="3C4A3B8F" w14:textId="77777777" w:rsidR="00F107DE" w:rsidRDefault="0098330C" w:rsidP="00F107DE">
      <w:pPr>
        <w:rPr>
          <w:color w:val="000000" w:themeColor="text1"/>
        </w:rPr>
      </w:pPr>
      <m:oMath>
        <m:r>
          <w:rPr>
            <w:rFonts w:ascii="Cambria Math" w:hAnsi="Cambria Math"/>
            <w:color w:val="000000" w:themeColor="text1"/>
          </w:rPr>
          <m:t>Transcect area</m:t>
        </m:r>
      </m:oMath>
      <w:r w:rsidR="00F107DE">
        <w:rPr>
          <w:color w:val="000000" w:themeColor="text1"/>
        </w:rPr>
        <w:t xml:space="preserve"> </w:t>
      </w:r>
      <w:proofErr w:type="gramStart"/>
      <w:r w:rsidR="00F107DE">
        <w:rPr>
          <w:color w:val="000000" w:themeColor="text1"/>
        </w:rPr>
        <w:t>is</w:t>
      </w:r>
      <w:proofErr w:type="gramEnd"/>
      <w:r w:rsidR="00F107DE">
        <w:rPr>
          <w:color w:val="000000" w:themeColor="text1"/>
        </w:rPr>
        <w:t xml:space="preserve"> the area of the belt transect, 34 m</w:t>
      </w:r>
      <w:r w:rsidR="00F107DE" w:rsidRPr="00F107DE">
        <w:rPr>
          <w:color w:val="000000" w:themeColor="text1"/>
          <w:vertAlign w:val="superscript"/>
        </w:rPr>
        <w:t>2</w:t>
      </w:r>
      <w:r w:rsidR="00F107DE">
        <w:rPr>
          <w:color w:val="000000" w:themeColor="text1"/>
        </w:rPr>
        <w:t xml:space="preserve"> for MMP and 8.5m</w:t>
      </w:r>
      <w:r w:rsidR="00F107DE" w:rsidRPr="00F107DE">
        <w:rPr>
          <w:color w:val="000000" w:themeColor="text1"/>
          <w:vertAlign w:val="superscript"/>
        </w:rPr>
        <w:t>2</w:t>
      </w:r>
      <w:r w:rsidR="00F107DE">
        <w:rPr>
          <w:color w:val="000000" w:themeColor="text1"/>
        </w:rPr>
        <w:t xml:space="preserve"> for LTMP </w:t>
      </w:r>
    </w:p>
    <w:p w14:paraId="06DBC3FB" w14:textId="77777777" w:rsidR="00F107DE" w:rsidRDefault="00F107DE" w:rsidP="00F107DE">
      <w:pPr>
        <w:rPr>
          <w:color w:val="000000" w:themeColor="text1"/>
        </w:rPr>
      </w:pPr>
      <m:oMath>
        <m:r>
          <w:rPr>
            <w:rFonts w:ascii="Cambria Math" w:hAnsi="Cambria Math"/>
            <w:color w:val="000000" w:themeColor="text1"/>
          </w:rPr>
          <m:t>Proportion Available</m:t>
        </m:r>
      </m:oMath>
      <w:r>
        <w:rPr>
          <w:color w:val="000000" w:themeColor="text1"/>
        </w:rPr>
        <w:t xml:space="preserve"> </w:t>
      </w:r>
      <w:proofErr w:type="gramStart"/>
      <w:r>
        <w:rPr>
          <w:color w:val="000000" w:themeColor="text1"/>
        </w:rPr>
        <w:t>is</w:t>
      </w:r>
      <w:proofErr w:type="gramEnd"/>
      <w:r>
        <w:rPr>
          <w:color w:val="000000" w:themeColor="text1"/>
        </w:rPr>
        <w:t xml:space="preserve"> the proportion of transect occupied by algae </w:t>
      </w:r>
      <w:r>
        <w:t>(database table REEFMON_GROUP_SUMMARY_ZEROS, field COVER, where GROUP_CODE=’A’)</w:t>
      </w:r>
      <w:r>
        <w:rPr>
          <w:color w:val="000000" w:themeColor="text1"/>
        </w:rPr>
        <w:t xml:space="preserve">. </w:t>
      </w:r>
    </w:p>
    <w:p w14:paraId="37FA1E4B" w14:textId="77777777" w:rsidR="00F107DE" w:rsidRDefault="00F107DE" w:rsidP="003045D3">
      <w:pPr>
        <w:rPr>
          <w:color w:val="000000" w:themeColor="text1"/>
        </w:rPr>
      </w:pPr>
    </w:p>
    <w:p w14:paraId="1169003C" w14:textId="77777777" w:rsidR="007372D2" w:rsidRDefault="007372D2" w:rsidP="003045D3">
      <w:r>
        <w:t xml:space="preserve">An issue that emerged following a period of flooding was that there was a continuum from algae (which </w:t>
      </w:r>
      <w:r w:rsidR="00CE58A7">
        <w:t xml:space="preserve">are collectively </w:t>
      </w:r>
      <w:r>
        <w:t xml:space="preserve">considered </w:t>
      </w:r>
      <w:r w:rsidR="00CE58A7">
        <w:t xml:space="preserve">as occupying space </w:t>
      </w:r>
      <w:r>
        <w:t>available to coral settlement) through to silt (which is not considered suitable settlement substrate). In sheltered sites it is the accumulation of silt on otherwise suitable substrate that is a plausible consequence of increased supply of fine sedimen</w:t>
      </w:r>
      <w:r w:rsidR="00D01A85">
        <w:t>ts on coral community recovery.</w:t>
      </w:r>
      <w:r>
        <w:t xml:space="preserve"> To resolve the issue that fluctuations in siltation vary the estimate of available substrate</w:t>
      </w:r>
      <w:r w:rsidR="00D01A85">
        <w:t>,</w:t>
      </w:r>
      <w:r>
        <w:t xml:space="preserve"> a new code was implemente</w:t>
      </w:r>
      <w:r w:rsidR="00D01A85">
        <w:t xml:space="preserve">d into the photo transect data </w:t>
      </w:r>
      <w:r>
        <w:t xml:space="preserve">in 2015 that differentiates between silt deposits that are effectively a soft bottom substrate (POINT_CODE =132) and silt that is potentially transient on what would otherwise be a potential coral settlement substrate (POINT_CODE=698). </w:t>
      </w:r>
      <w:r w:rsidR="00C7303A">
        <w:t xml:space="preserve">In practice points are classified as transient silt where the structure of the underlying hard substrate is discernible. A very general approximation </w:t>
      </w:r>
      <w:r w:rsidR="00CE58A7">
        <w:t xml:space="preserve">of deposits </w:t>
      </w:r>
      <w:r w:rsidR="00C7303A">
        <w:t>less than 5mm depth</w:t>
      </w:r>
      <w:r w:rsidR="00CE58A7">
        <w:t xml:space="preserve"> could be assumed</w:t>
      </w:r>
      <w:r w:rsidR="00C7303A">
        <w:t xml:space="preserve">. </w:t>
      </w:r>
      <w:r w:rsidR="0098330C">
        <w:t xml:space="preserve">Importantly the at the GROUP_CODE level POINT_CODE 698 maps to “A” and so is classified as available substrate. </w:t>
      </w:r>
      <w:r w:rsidR="00D01A85">
        <w:t>There is some residual ambiguity</w:t>
      </w:r>
      <w:r>
        <w:t xml:space="preserve"> in </w:t>
      </w:r>
      <w:r w:rsidR="00D01A85">
        <w:t xml:space="preserve">the </w:t>
      </w:r>
      <w:r>
        <w:t xml:space="preserve">categorisation along a continuum </w:t>
      </w:r>
      <w:r w:rsidR="00D01A85">
        <w:t>al</w:t>
      </w:r>
      <w:r>
        <w:t xml:space="preserve">though </w:t>
      </w:r>
      <w:r w:rsidR="00D01A85">
        <w:t>th</w:t>
      </w:r>
      <w:r>
        <w:t xml:space="preserve">is </w:t>
      </w:r>
      <w:r w:rsidR="00D01A85">
        <w:t xml:space="preserve">is </w:t>
      </w:r>
      <w:r>
        <w:t>an improvement on the previous situation that included only the code 132. All MMP points classified as 132 from 2006 through to 2014 have been reassessed and changed to transient silt where appropriate.</w:t>
      </w:r>
      <w:r w:rsidR="00C7303A">
        <w:t xml:space="preserve"> </w:t>
      </w:r>
    </w:p>
    <w:p w14:paraId="043AC13C" w14:textId="77777777" w:rsidR="007372D2" w:rsidRDefault="00D44891" w:rsidP="009139A2">
      <w:pPr>
        <w:pStyle w:val="Heading3"/>
      </w:pPr>
      <w:bookmarkStart w:id="343" w:name="_Toc437424432"/>
      <w:bookmarkStart w:id="344" w:name="_Toc437424556"/>
      <w:bookmarkStart w:id="345" w:name="_Toc437432487"/>
      <w:bookmarkStart w:id="346" w:name="_Toc437432560"/>
      <w:r>
        <w:t>6</w:t>
      </w:r>
      <w:r w:rsidR="00D91085">
        <w:t xml:space="preserve">.4.2 </w:t>
      </w:r>
      <w:bookmarkEnd w:id="343"/>
      <w:bookmarkEnd w:id="344"/>
      <w:bookmarkEnd w:id="345"/>
      <w:bookmarkEnd w:id="346"/>
      <w:r w:rsidR="00D01A85">
        <w:t>Selection of threshold values and scoring</w:t>
      </w:r>
    </w:p>
    <w:p w14:paraId="5D13E08E" w14:textId="77777777" w:rsidR="007372D2" w:rsidRDefault="003D6188" w:rsidP="003045D3">
      <w:r>
        <w:t>T</w:t>
      </w:r>
      <w:r w:rsidR="007372D2">
        <w:t>he now 11</w:t>
      </w:r>
      <w:r>
        <w:t>-</w:t>
      </w:r>
      <w:r w:rsidR="007372D2">
        <w:t xml:space="preserve">year time series of </w:t>
      </w:r>
      <w:r>
        <w:t xml:space="preserve">the </w:t>
      </w:r>
      <w:r w:rsidR="007372D2">
        <w:t>MMP</w:t>
      </w:r>
      <w:r w:rsidR="00CE58A7">
        <w:t xml:space="preserve"> along with</w:t>
      </w:r>
      <w:r>
        <w:t xml:space="preserve"> </w:t>
      </w:r>
      <w:r w:rsidR="007372D2">
        <w:t xml:space="preserve">juvenile </w:t>
      </w:r>
      <w:r>
        <w:t xml:space="preserve">density data from </w:t>
      </w:r>
      <w:r w:rsidR="007372D2">
        <w:t xml:space="preserve">the LTMP </w:t>
      </w:r>
      <w:r>
        <w:t>since</w:t>
      </w:r>
      <w:r w:rsidR="007372D2">
        <w:t xml:space="preserve"> </w:t>
      </w:r>
      <w:proofErr w:type="gramStart"/>
      <w:r w:rsidR="007372D2">
        <w:t>2006</w:t>
      </w:r>
      <w:r>
        <w:t>,</w:t>
      </w:r>
      <w:proofErr w:type="gramEnd"/>
      <w:r>
        <w:t xml:space="preserve"> provide </w:t>
      </w:r>
      <w:r w:rsidR="007372D2">
        <w:t xml:space="preserve">guidance </w:t>
      </w:r>
      <w:r w:rsidR="00CE58A7">
        <w:t xml:space="preserve">for </w:t>
      </w:r>
      <w:r w:rsidR="007372D2">
        <w:t xml:space="preserve">the setting </w:t>
      </w:r>
      <w:r>
        <w:t xml:space="preserve">of ecologically relevant </w:t>
      </w:r>
      <w:r w:rsidR="007372D2">
        <w:t xml:space="preserve">thresholds. Graham </w:t>
      </w:r>
      <w:r w:rsidR="007372D2">
        <w:rPr>
          <w:i/>
        </w:rPr>
        <w:t>et al.</w:t>
      </w:r>
      <w:r w:rsidR="007372D2">
        <w:t xml:space="preserve"> (2015) </w:t>
      </w:r>
      <w:r w:rsidR="00805A6E">
        <w:t xml:space="preserve">provide a binomial model to estimate </w:t>
      </w:r>
      <w:r w:rsidR="007372D2">
        <w:t xml:space="preserve">the threshold between </w:t>
      </w:r>
      <w:r>
        <w:t>a high</w:t>
      </w:r>
      <w:r w:rsidR="007372D2">
        <w:t xml:space="preserve"> likelihood </w:t>
      </w:r>
      <w:r>
        <w:t>for</w:t>
      </w:r>
      <w:r w:rsidR="007372D2">
        <w:t xml:space="preserve"> coral communities </w:t>
      </w:r>
      <w:r>
        <w:t xml:space="preserve">after a severe bleaching event to </w:t>
      </w:r>
      <w:r w:rsidR="007372D2">
        <w:t xml:space="preserve">recover toward coral dominance </w:t>
      </w:r>
      <w:r>
        <w:t xml:space="preserve">or </w:t>
      </w:r>
      <w:r w:rsidR="007372D2">
        <w:t>to remain in a macroalgal</w:t>
      </w:r>
      <w:r w:rsidR="00D01A85">
        <w:t>-</w:t>
      </w:r>
      <w:r w:rsidR="007372D2">
        <w:lastRenderedPageBreak/>
        <w:t xml:space="preserve">dominated state. Within the LTMP and MMP time series there are 72 observations where coral cover was low (&lt;10%) and subsequent recovery rate could be estimated. These observations allowed a similar analysis as that used by Graham </w:t>
      </w:r>
      <w:r w:rsidR="007372D2">
        <w:rPr>
          <w:i/>
        </w:rPr>
        <w:t>et al.</w:t>
      </w:r>
      <w:r w:rsidR="007372D2">
        <w:t xml:space="preserve"> 2015 to identify the threshold of juvenile density at which recovery (in coral cover) was more likely than not, to achieve modelled expectations. This analysis involved the application of a binomial model to juvenile densities categorised on the basis of the observed change as either falling below or above the predicted lower estimate of hard coral cover increase</w:t>
      </w:r>
      <w:r>
        <w:t>,</w:t>
      </w:r>
      <w:r w:rsidR="007372D2">
        <w:t xml:space="preserve"> as estimated by the coral cha</w:t>
      </w:r>
      <w:r>
        <w:t xml:space="preserve">nge indicator described above. </w:t>
      </w:r>
      <w:r w:rsidR="00805A6E">
        <w:t xml:space="preserve">We acknowledge that this analysis is potentially confounded by increase in cover due to growth of non-juvenile corals though argue that this confounding is limited by the consideration of recovery rates at low coral cover </w:t>
      </w:r>
      <w:r w:rsidR="007372D2">
        <w:t xml:space="preserve">based on the expectation that as cover </w:t>
      </w:r>
      <w:r w:rsidR="00BC54A4">
        <w:t xml:space="preserve">decreases </w:t>
      </w:r>
      <w:r w:rsidR="007372D2">
        <w:t xml:space="preserve">the </w:t>
      </w:r>
      <w:r w:rsidR="00BC54A4">
        <w:t xml:space="preserve">relative </w:t>
      </w:r>
      <w:r>
        <w:t xml:space="preserve">influence of </w:t>
      </w:r>
      <w:r w:rsidR="00805A6E">
        <w:t xml:space="preserve">survival </w:t>
      </w:r>
      <w:r w:rsidR="00BC54A4">
        <w:t>and</w:t>
      </w:r>
      <w:r w:rsidR="00805A6E">
        <w:t xml:space="preserve"> growth of </w:t>
      </w:r>
      <w:r>
        <w:t xml:space="preserve">juvenile colonies </w:t>
      </w:r>
      <w:r w:rsidR="007372D2">
        <w:t xml:space="preserve">on </w:t>
      </w:r>
      <w:r w:rsidR="00BC54A4">
        <w:t xml:space="preserve">recovery will </w:t>
      </w:r>
      <w:r w:rsidR="007372D2">
        <w:t xml:space="preserve">increase </w:t>
      </w:r>
      <w:r w:rsidR="00BC54A4">
        <w:t xml:space="preserve">compared to that resulting from the </w:t>
      </w:r>
      <w:r>
        <w:t xml:space="preserve">growth of larger colonies. </w:t>
      </w:r>
      <w:r w:rsidR="007372D2">
        <w:t>This analysis identified a threshold of 4.6 juveniles per m</w:t>
      </w:r>
      <w:r w:rsidR="007372D2">
        <w:rPr>
          <w:vertAlign w:val="superscript"/>
        </w:rPr>
        <w:t>-2</w:t>
      </w:r>
      <w:r w:rsidR="007372D2">
        <w:t xml:space="preserve"> beyond which the probability that coral cover would subsequently increase at predicted rates outweighed the probability of lower than predicted rates o</w:t>
      </w:r>
      <w:r>
        <w:t>f recovery (</w:t>
      </w:r>
      <w:r w:rsidR="00553772">
        <w:fldChar w:fldCharType="begin"/>
      </w:r>
      <w:r w:rsidR="00553772">
        <w:instrText xml:space="preserve"> REF _Ref438122243 \h </w:instrText>
      </w:r>
      <w:r w:rsidR="00553772">
        <w:fldChar w:fldCharType="separate"/>
      </w:r>
      <w:r w:rsidR="00B61881">
        <w:t xml:space="preserve">Figure </w:t>
      </w:r>
      <w:r w:rsidR="00B61881">
        <w:rPr>
          <w:noProof/>
        </w:rPr>
        <w:t>20</w:t>
      </w:r>
      <w:r w:rsidR="00553772">
        <w:fldChar w:fldCharType="end"/>
      </w:r>
      <w:r>
        <w:t xml:space="preserve">). </w:t>
      </w:r>
      <w:r w:rsidR="002F15D9">
        <w:t>Adding some weight to the selection of these thresholds is that density of 4.6 juveniles per m</w:t>
      </w:r>
      <w:r w:rsidR="002F15D9">
        <w:rPr>
          <w:vertAlign w:val="superscript"/>
        </w:rPr>
        <w:t>-2</w:t>
      </w:r>
      <w:r w:rsidR="002F15D9">
        <w:t xml:space="preserve"> at which the probability of recovery became greater than 50% was broadly consistent with that reported by Graham </w:t>
      </w:r>
      <w:r w:rsidR="002F15D9" w:rsidRPr="00F81AB9">
        <w:rPr>
          <w:i/>
        </w:rPr>
        <w:t>et al.</w:t>
      </w:r>
      <w:r w:rsidR="002F15D9">
        <w:t xml:space="preserve"> 2015 from the Seychelles.  Graham </w:t>
      </w:r>
      <w:r w:rsidR="002F15D9">
        <w:rPr>
          <w:i/>
        </w:rPr>
        <w:t>et al.</w:t>
      </w:r>
      <w:r w:rsidR="002F15D9">
        <w:t xml:space="preserve"> (2015) reported a density of 6.3 juveniles, &lt;10 cm in size, per m</w:t>
      </w:r>
      <w:r w:rsidR="002F15D9">
        <w:rPr>
          <w:vertAlign w:val="superscript"/>
        </w:rPr>
        <w:t xml:space="preserve">-2 </w:t>
      </w:r>
      <w:r w:rsidR="002F15D9">
        <w:t>– a figure that adjusted back to &lt;5cm size class based on the proportions of &lt;5cm to &lt;10cm size classes on MMP reefs (56%) equates to 3.5 colonies m</w:t>
      </w:r>
      <w:r w:rsidR="002F15D9">
        <w:rPr>
          <w:vertAlign w:val="superscript"/>
        </w:rPr>
        <w:t>-</w:t>
      </w:r>
      <w:r w:rsidR="002F15D9" w:rsidRPr="002F15D9">
        <w:rPr>
          <w:vertAlign w:val="superscript"/>
        </w:rPr>
        <w:t>2</w:t>
      </w:r>
      <w:r w:rsidR="002F15D9">
        <w:t xml:space="preserve">. </w:t>
      </w:r>
      <w:r w:rsidR="007372D2" w:rsidRPr="002F15D9">
        <w:t>As</w:t>
      </w:r>
      <w:r w:rsidR="007372D2">
        <w:t xml:space="preserve"> the upper density of juvenile colonies is effectively unbounded</w:t>
      </w:r>
      <w:r>
        <w:t>,</w:t>
      </w:r>
      <w:r w:rsidR="007372D2">
        <w:t xml:space="preserve"> it is desirable to set an upper threshold for scoring purposes. </w:t>
      </w:r>
      <w:r>
        <w:t>T</w:t>
      </w:r>
      <w:r w:rsidR="007372D2">
        <w:t xml:space="preserve">he density at which the probability was &gt; 80% </w:t>
      </w:r>
      <w:r>
        <w:t>for</w:t>
      </w:r>
      <w:r w:rsidR="007372D2">
        <w:t xml:space="preserve"> coral cover </w:t>
      </w:r>
      <w:r>
        <w:t>to</w:t>
      </w:r>
      <w:r w:rsidR="007372D2">
        <w:t xml:space="preserve"> recover at predicted rates was 13 juveniles per m</w:t>
      </w:r>
      <w:r w:rsidR="007372D2">
        <w:rPr>
          <w:vertAlign w:val="superscript"/>
        </w:rPr>
        <w:t>-2</w:t>
      </w:r>
      <w:r w:rsidR="00BC54A4">
        <w:t xml:space="preserve"> and this density was chosen as the upper threshold</w:t>
      </w:r>
      <w:r w:rsidR="002F15D9">
        <w:t>. Based on the above</w:t>
      </w:r>
      <w:r w:rsidR="007372D2">
        <w:t xml:space="preserve"> </w:t>
      </w:r>
      <w:r w:rsidR="002F15D9">
        <w:t xml:space="preserve">analysis thresholds </w:t>
      </w:r>
      <w:r w:rsidR="007372D2">
        <w:t>for the density of juvenile corals were set at 4.6 colonies m</w:t>
      </w:r>
      <w:r w:rsidR="007372D2">
        <w:rPr>
          <w:vertAlign w:val="superscript"/>
        </w:rPr>
        <w:t>-2</w:t>
      </w:r>
      <w:r w:rsidR="007372D2">
        <w:t xml:space="preserve"> as the boundary between categorising this indicator as poor and moderate (score 0.4) and an upper bound set at 13 colonies per m</w:t>
      </w:r>
      <w:r w:rsidR="007372D2">
        <w:rPr>
          <w:vertAlign w:val="superscript"/>
        </w:rPr>
        <w:t>-2</w:t>
      </w:r>
      <w:r w:rsidR="007372D2">
        <w:t xml:space="preserve"> </w:t>
      </w:r>
      <w:r w:rsidR="003045D3">
        <w:t>(</w:t>
      </w:r>
      <w:r w:rsidR="00553772">
        <w:fldChar w:fldCharType="begin"/>
      </w:r>
      <w:r w:rsidR="00553772">
        <w:instrText xml:space="preserve"> REF _Ref438122251 \h </w:instrText>
      </w:r>
      <w:r w:rsidR="00553772">
        <w:fldChar w:fldCharType="separate"/>
      </w:r>
      <w:r w:rsidR="00B61881">
        <w:t xml:space="preserve">Figure </w:t>
      </w:r>
      <w:r w:rsidR="00B61881">
        <w:rPr>
          <w:noProof/>
        </w:rPr>
        <w:t>21</w:t>
      </w:r>
      <w:r w:rsidR="00553772">
        <w:fldChar w:fldCharType="end"/>
      </w:r>
      <w:r w:rsidR="003045D3">
        <w:t>)</w:t>
      </w:r>
      <w:r w:rsidR="007372D2">
        <w:t>.</w:t>
      </w:r>
      <w:r w:rsidR="00F81AB9">
        <w:t xml:space="preserve"> Densities below 4.6 colonies m</w:t>
      </w:r>
      <w:r w:rsidR="00F81AB9">
        <w:rPr>
          <w:vertAlign w:val="superscript"/>
        </w:rPr>
        <w:t xml:space="preserve">-2 </w:t>
      </w:r>
      <w:r w:rsidR="00F81AB9">
        <w:t>down to 0</w:t>
      </w:r>
      <w:r w:rsidR="00F81AB9" w:rsidRPr="00F81AB9">
        <w:t xml:space="preserve"> </w:t>
      </w:r>
      <w:r w:rsidR="00F81AB9">
        <w:t>colonies m</w:t>
      </w:r>
      <w:r w:rsidR="00F81AB9">
        <w:rPr>
          <w:vertAlign w:val="superscript"/>
        </w:rPr>
        <w:t xml:space="preserve">-2 </w:t>
      </w:r>
      <w:r w:rsidR="00F81AB9">
        <w:t xml:space="preserve">were scaled </w:t>
      </w:r>
      <w:r w:rsidR="002F15D9">
        <w:t xml:space="preserve">linearly </w:t>
      </w:r>
      <w:r w:rsidR="00F81AB9">
        <w:t>from 0.4 to 0, while those between the thresholds of 4.6 and 13 colonies m</w:t>
      </w:r>
      <w:r w:rsidR="00F81AB9">
        <w:rPr>
          <w:vertAlign w:val="superscript"/>
        </w:rPr>
        <w:t xml:space="preserve">-2 </w:t>
      </w:r>
      <w:r w:rsidR="00F81AB9">
        <w:t xml:space="preserve">were scaled </w:t>
      </w:r>
      <w:r w:rsidR="002F15D9">
        <w:t xml:space="preserve">linearly </w:t>
      </w:r>
      <w:r w:rsidR="00F81AB9">
        <w:t>from 0.4 to 1, any densities higher 13 colonies m</w:t>
      </w:r>
      <w:r w:rsidR="00F81AB9">
        <w:rPr>
          <w:vertAlign w:val="superscript"/>
        </w:rPr>
        <w:t xml:space="preserve">-2 </w:t>
      </w:r>
      <w:r w:rsidR="00F81AB9">
        <w:t>were scored as 1 (</w:t>
      </w:r>
      <w:r w:rsidR="00553772">
        <w:fldChar w:fldCharType="begin"/>
      </w:r>
      <w:r w:rsidR="00553772">
        <w:instrText xml:space="preserve"> REF _Ref438122251 \h </w:instrText>
      </w:r>
      <w:r w:rsidR="00553772">
        <w:fldChar w:fldCharType="separate"/>
      </w:r>
      <w:r w:rsidR="00B61881">
        <w:t xml:space="preserve">Figure </w:t>
      </w:r>
      <w:r w:rsidR="00B61881">
        <w:rPr>
          <w:noProof/>
        </w:rPr>
        <w:t>21</w:t>
      </w:r>
      <w:r w:rsidR="00553772">
        <w:fldChar w:fldCharType="end"/>
      </w:r>
      <w:r w:rsidR="00F81AB9">
        <w:t>).</w:t>
      </w:r>
    </w:p>
    <w:p w14:paraId="5E9A858B" w14:textId="77777777" w:rsidR="00163853" w:rsidRDefault="007372D2" w:rsidP="00163853">
      <w:pPr>
        <w:keepNext/>
      </w:pPr>
      <w:r>
        <w:rPr>
          <w:noProof/>
          <w:lang w:val="en-AU" w:eastAsia="en-AU"/>
        </w:rPr>
        <w:drawing>
          <wp:inline distT="0" distB="0" distL="0" distR="0" wp14:anchorId="25D5FF84" wp14:editId="1DB82D58">
            <wp:extent cx="2876550" cy="2876550"/>
            <wp:effectExtent l="0" t="0" r="0" b="0"/>
            <wp:docPr id="37" name="Picture 37" descr="Figure 20: Relationship between juvenile density and probability of hard coral cover recovery. Prediction from a binomial model relating probability that a coral cover will increase at model-predicted rates (see section 4.3), given observed density of juvenile hard corals. Imposed lines identify juvenile densities at which the probability of attaining predicted rates of recovery of coral cover are 50% (dashed line) or 80% (solid line). " title="Figure 20: Relationship between juvenile density and probability of hard coral cover recov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876550" cy="2876550"/>
                    </a:xfrm>
                    <a:prstGeom prst="rect">
                      <a:avLst/>
                    </a:prstGeom>
                    <a:noFill/>
                    <a:ln>
                      <a:noFill/>
                    </a:ln>
                  </pic:spPr>
                </pic:pic>
              </a:graphicData>
            </a:graphic>
          </wp:inline>
        </w:drawing>
      </w:r>
    </w:p>
    <w:p w14:paraId="69021D28" w14:textId="77777777" w:rsidR="006B3B22" w:rsidRPr="006B3B22" w:rsidRDefault="006B3B22" w:rsidP="00E56CF1">
      <w:pPr>
        <w:pStyle w:val="Caption"/>
        <w:rPr>
          <w:vanish/>
        </w:rPr>
      </w:pPr>
      <w:bookmarkStart w:id="347" w:name="_Ref438122243"/>
      <w:bookmarkStart w:id="348" w:name="_Toc437597655"/>
      <w:bookmarkStart w:id="349" w:name="_Toc460490789"/>
      <w:bookmarkStart w:id="350" w:name="_Toc437424319"/>
      <w:r>
        <w:t xml:space="preserve">Figure </w:t>
      </w:r>
      <w:r w:rsidR="005D2F9F">
        <w:fldChar w:fldCharType="begin"/>
      </w:r>
      <w:r w:rsidR="005D2F9F">
        <w:instrText xml:space="preserve"> SEQ Figure \* ARABIC </w:instrText>
      </w:r>
      <w:r w:rsidR="005D2F9F">
        <w:fldChar w:fldCharType="separate"/>
      </w:r>
      <w:r w:rsidR="00B61881">
        <w:rPr>
          <w:noProof/>
        </w:rPr>
        <w:t>20</w:t>
      </w:r>
      <w:r w:rsidR="005D2F9F">
        <w:rPr>
          <w:noProof/>
        </w:rPr>
        <w:fldChar w:fldCharType="end"/>
      </w:r>
      <w:bookmarkEnd w:id="347"/>
      <w:r>
        <w:t xml:space="preserve">: </w:t>
      </w:r>
      <w:r w:rsidR="00D91085">
        <w:t>Relationship between juvenile density and probability of</w:t>
      </w:r>
      <w:r w:rsidR="00386D94">
        <w:t xml:space="preserve"> hard</w:t>
      </w:r>
      <w:r w:rsidR="00D91085">
        <w:t xml:space="preserve"> coral cover recovery.</w:t>
      </w:r>
      <w:bookmarkEnd w:id="348"/>
      <w:bookmarkEnd w:id="349"/>
    </w:p>
    <w:p w14:paraId="11256472" w14:textId="77777777" w:rsidR="007372D2" w:rsidRPr="00386D94" w:rsidRDefault="00D91085" w:rsidP="00E56CF1">
      <w:pPr>
        <w:pStyle w:val="Caption"/>
        <w:rPr>
          <w:rStyle w:val="IntenseReference"/>
          <w:rFonts w:eastAsia="SimSun"/>
        </w:rPr>
      </w:pPr>
      <w:r>
        <w:t xml:space="preserve"> </w:t>
      </w:r>
      <w:bookmarkStart w:id="351" w:name="_Toc437597656"/>
      <w:r w:rsidR="00386D94" w:rsidRPr="00386D94">
        <w:rPr>
          <w:rStyle w:val="IntenseReference"/>
          <w:rFonts w:eastAsia="SimSun"/>
        </w:rPr>
        <w:t xml:space="preserve">Prediction from </w:t>
      </w:r>
      <w:r w:rsidR="00AD61CD">
        <w:rPr>
          <w:rStyle w:val="IntenseReference"/>
          <w:rFonts w:eastAsia="SimSun"/>
        </w:rPr>
        <w:t xml:space="preserve">a </w:t>
      </w:r>
      <w:r w:rsidR="00386D94" w:rsidRPr="00386D94">
        <w:rPr>
          <w:rStyle w:val="IntenseReference"/>
          <w:rFonts w:eastAsia="SimSun"/>
        </w:rPr>
        <w:t>binomial model relating probability that a coral cover will increase at model</w:t>
      </w:r>
      <w:r w:rsidR="00AD61CD">
        <w:rPr>
          <w:rStyle w:val="IntenseReference"/>
          <w:rFonts w:eastAsia="SimSun"/>
        </w:rPr>
        <w:t>-</w:t>
      </w:r>
      <w:r w:rsidR="00386D94" w:rsidRPr="00386D94">
        <w:rPr>
          <w:rStyle w:val="IntenseReference"/>
          <w:rFonts w:eastAsia="SimSun"/>
        </w:rPr>
        <w:t>predicted rates (see section 4.3)</w:t>
      </w:r>
      <w:r w:rsidR="00AD61CD">
        <w:rPr>
          <w:rStyle w:val="IntenseReference"/>
          <w:rFonts w:eastAsia="SimSun"/>
        </w:rPr>
        <w:t>,</w:t>
      </w:r>
      <w:r w:rsidR="00386D94" w:rsidRPr="00386D94">
        <w:rPr>
          <w:rStyle w:val="IntenseReference"/>
          <w:rFonts w:eastAsia="SimSun"/>
        </w:rPr>
        <w:t xml:space="preserve"> given observed density of juvenile hard corals. Imposed lines identify juvenile densities at which the probability of attaining predicted rates of recovery of coral cover ar</w:t>
      </w:r>
      <w:r w:rsidR="002A28EE">
        <w:rPr>
          <w:rStyle w:val="IntenseReference"/>
          <w:rFonts w:eastAsia="SimSun"/>
        </w:rPr>
        <w:t>e</w:t>
      </w:r>
      <w:r w:rsidR="00386D94" w:rsidRPr="00386D94">
        <w:rPr>
          <w:rStyle w:val="IntenseReference"/>
          <w:rFonts w:eastAsia="SimSun"/>
        </w:rPr>
        <w:t xml:space="preserve"> 50% (dashed line) or 80% (solid line).</w:t>
      </w:r>
      <w:bookmarkEnd w:id="350"/>
      <w:bookmarkEnd w:id="351"/>
      <w:r w:rsidR="00386D94" w:rsidRPr="00386D94">
        <w:rPr>
          <w:rStyle w:val="IntenseReference"/>
          <w:rFonts w:eastAsia="SimSun"/>
        </w:rPr>
        <w:t xml:space="preserve"> </w:t>
      </w:r>
    </w:p>
    <w:p w14:paraId="628B25E1" w14:textId="77777777" w:rsidR="00AD61CD" w:rsidRDefault="00AD61CD" w:rsidP="00A228FB"/>
    <w:p w14:paraId="0F3918FC" w14:textId="77777777" w:rsidR="00163853" w:rsidRDefault="007372D2" w:rsidP="00163853">
      <w:pPr>
        <w:keepNext/>
      </w:pPr>
      <w:r>
        <w:rPr>
          <w:noProof/>
          <w:lang w:val="en-AU" w:eastAsia="en-AU"/>
        </w:rPr>
        <w:lastRenderedPageBreak/>
        <w:drawing>
          <wp:inline distT="0" distB="0" distL="0" distR="0" wp14:anchorId="3DB039E6" wp14:editId="2CA9F77C">
            <wp:extent cx="3600450" cy="2876550"/>
            <wp:effectExtent l="0" t="0" r="0" b="0"/>
            <wp:docPr id="240" name="Picture 240" descr="Figure 21: Scoring diagram for Juvenile density metric. As the density of juveniles per square meter increases linearly, the score increases from very poor (&lt;0.2) to very good at 0.8 to 1.0." title="Figure 21: Scoring diagram for Juvenile density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600450" cy="2876550"/>
                    </a:xfrm>
                    <a:prstGeom prst="rect">
                      <a:avLst/>
                    </a:prstGeom>
                    <a:noFill/>
                    <a:ln>
                      <a:noFill/>
                    </a:ln>
                  </pic:spPr>
                </pic:pic>
              </a:graphicData>
            </a:graphic>
          </wp:inline>
        </w:drawing>
      </w:r>
    </w:p>
    <w:p w14:paraId="1C8032C6" w14:textId="77777777" w:rsidR="007372D2" w:rsidRDefault="006B3B22" w:rsidP="00E56CF1">
      <w:pPr>
        <w:pStyle w:val="Caption"/>
      </w:pPr>
      <w:bookmarkStart w:id="352" w:name="_Ref438122251"/>
      <w:bookmarkStart w:id="353" w:name="_Toc437424320"/>
      <w:bookmarkStart w:id="354" w:name="_Toc437597657"/>
      <w:bookmarkStart w:id="355" w:name="_Toc460490790"/>
      <w:r>
        <w:t xml:space="preserve">Figure </w:t>
      </w:r>
      <w:r w:rsidR="005D2F9F">
        <w:fldChar w:fldCharType="begin"/>
      </w:r>
      <w:r w:rsidR="005D2F9F">
        <w:instrText xml:space="preserve"> SEQ Figure \* ARABIC </w:instrText>
      </w:r>
      <w:r w:rsidR="005D2F9F">
        <w:fldChar w:fldCharType="separate"/>
      </w:r>
      <w:r w:rsidR="00B61881">
        <w:rPr>
          <w:noProof/>
        </w:rPr>
        <w:t>21</w:t>
      </w:r>
      <w:r w:rsidR="005D2F9F">
        <w:rPr>
          <w:noProof/>
        </w:rPr>
        <w:fldChar w:fldCharType="end"/>
      </w:r>
      <w:bookmarkEnd w:id="352"/>
      <w:r>
        <w:t xml:space="preserve">: </w:t>
      </w:r>
      <w:r w:rsidR="00315285">
        <w:t>Scoring diagram for Juvenile density metric.</w:t>
      </w:r>
      <w:bookmarkEnd w:id="353"/>
      <w:bookmarkEnd w:id="354"/>
      <w:bookmarkEnd w:id="355"/>
    </w:p>
    <w:p w14:paraId="7D288462" w14:textId="77777777" w:rsidR="00315285" w:rsidRPr="00315285" w:rsidRDefault="00315285" w:rsidP="00315285"/>
    <w:p w14:paraId="166B951F" w14:textId="77777777" w:rsidR="00AD61CD" w:rsidRDefault="00AD61CD">
      <w:pPr>
        <w:jc w:val="left"/>
        <w:rPr>
          <w:rFonts w:eastAsiaTheme="majorEastAsia" w:cstheme="majorBidi"/>
          <w:b/>
          <w:bCs/>
          <w:color w:val="000000" w:themeColor="text1"/>
          <w:sz w:val="26"/>
          <w:szCs w:val="26"/>
        </w:rPr>
      </w:pPr>
      <w:bookmarkStart w:id="356" w:name="_Toc427219400"/>
      <w:bookmarkStart w:id="357" w:name="_Toc437424433"/>
      <w:bookmarkStart w:id="358" w:name="_Toc437424557"/>
      <w:bookmarkStart w:id="359" w:name="_Toc437432488"/>
      <w:bookmarkStart w:id="360" w:name="_Toc437432561"/>
      <w:r>
        <w:br w:type="page"/>
      </w:r>
    </w:p>
    <w:p w14:paraId="384480EE" w14:textId="77777777" w:rsidR="007372D2" w:rsidRDefault="00D44891" w:rsidP="00B3738D">
      <w:pPr>
        <w:pStyle w:val="Heading2"/>
      </w:pPr>
      <w:bookmarkStart w:id="361" w:name="_Toc460490673"/>
      <w:r>
        <w:lastRenderedPageBreak/>
        <w:t>6</w:t>
      </w:r>
      <w:r w:rsidR="00B3738D">
        <w:t>.</w:t>
      </w:r>
      <w:r w:rsidR="008E6308">
        <w:t xml:space="preserve">6 </w:t>
      </w:r>
      <w:r w:rsidR="00AD61CD">
        <w:t xml:space="preserve">Metric 5: </w:t>
      </w:r>
      <w:r w:rsidR="007372D2">
        <w:t>Changes in community composition of hard corals</w:t>
      </w:r>
      <w:bookmarkEnd w:id="356"/>
      <w:bookmarkEnd w:id="357"/>
      <w:bookmarkEnd w:id="358"/>
      <w:bookmarkEnd w:id="359"/>
      <w:bookmarkEnd w:id="360"/>
      <w:bookmarkEnd w:id="361"/>
    </w:p>
    <w:p w14:paraId="37130CEB" w14:textId="77777777" w:rsidR="00B3738D" w:rsidRDefault="00B3738D" w:rsidP="00163853">
      <w:pPr>
        <w:rPr>
          <w:rFonts w:cs="Arial"/>
        </w:rPr>
      </w:pPr>
      <w:r>
        <w:rPr>
          <w:rFonts w:cs="Arial"/>
        </w:rPr>
        <w:t xml:space="preserve">The coral communities monitored by the Marine Monitoring Program (MMP) vary considerably in the relative composition of coral species (Uthicke </w:t>
      </w:r>
      <w:r>
        <w:rPr>
          <w:rFonts w:cs="Arial"/>
          <w:i/>
        </w:rPr>
        <w:t>et al</w:t>
      </w:r>
      <w:r>
        <w:rPr>
          <w:rFonts w:cs="Arial"/>
        </w:rPr>
        <w:t>. 2010</w:t>
      </w:r>
      <w:r w:rsidR="00AD61CD">
        <w:rPr>
          <w:rFonts w:cs="Arial"/>
        </w:rPr>
        <w:t xml:space="preserve">, </w:t>
      </w:r>
      <w:r w:rsidR="00F81AB9">
        <w:rPr>
          <w:rFonts w:cs="Arial"/>
        </w:rPr>
        <w:t xml:space="preserve">Thompson </w:t>
      </w:r>
      <w:r w:rsidR="00F81AB9" w:rsidRPr="00F81AB9">
        <w:rPr>
          <w:rFonts w:cs="Arial"/>
          <w:i/>
        </w:rPr>
        <w:t>et al.</w:t>
      </w:r>
      <w:r w:rsidR="00F81AB9">
        <w:rPr>
          <w:rFonts w:cs="Arial"/>
        </w:rPr>
        <w:t xml:space="preserve"> 2014a, </w:t>
      </w:r>
      <w:r w:rsidR="00AD61CD">
        <w:rPr>
          <w:rFonts w:cs="Arial"/>
        </w:rPr>
        <w:t xml:space="preserve">Section </w:t>
      </w:r>
      <w:proofErr w:type="gramStart"/>
      <w:r w:rsidR="00AD61CD">
        <w:rPr>
          <w:rFonts w:cs="Arial"/>
        </w:rPr>
        <w:t>A</w:t>
      </w:r>
      <w:proofErr w:type="gramEnd"/>
      <w:r w:rsidR="004304DE">
        <w:rPr>
          <w:rFonts w:cs="Arial"/>
        </w:rPr>
        <w:t xml:space="preserve"> 1</w:t>
      </w:r>
      <w:r w:rsidR="00AD61CD">
        <w:rPr>
          <w:rFonts w:cs="Arial"/>
        </w:rPr>
        <w:t xml:space="preserve"> of this report). </w:t>
      </w:r>
      <w:r>
        <w:rPr>
          <w:rFonts w:cs="Arial"/>
        </w:rPr>
        <w:t xml:space="preserve">As demonstrated by Uthicke </w:t>
      </w:r>
      <w:r>
        <w:rPr>
          <w:rFonts w:cs="Arial"/>
          <w:i/>
        </w:rPr>
        <w:t>et al</w:t>
      </w:r>
      <w:r>
        <w:rPr>
          <w:rFonts w:cs="Arial"/>
        </w:rPr>
        <w:t>. (2010)</w:t>
      </w:r>
      <w:r w:rsidR="0088572E">
        <w:rPr>
          <w:rFonts w:cs="Arial"/>
        </w:rPr>
        <w:t xml:space="preserve"> and Fabricius </w:t>
      </w:r>
      <w:r w:rsidR="0088572E" w:rsidRPr="00FA06C2">
        <w:rPr>
          <w:rFonts w:cs="Arial"/>
          <w:i/>
        </w:rPr>
        <w:t>et al.</w:t>
      </w:r>
      <w:r w:rsidR="0088572E">
        <w:rPr>
          <w:rFonts w:cs="Arial"/>
        </w:rPr>
        <w:t xml:space="preserve"> (2012)</w:t>
      </w:r>
      <w:r w:rsidR="00AD61CD">
        <w:rPr>
          <w:rFonts w:cs="Arial"/>
        </w:rPr>
        <w:t>,</w:t>
      </w:r>
      <w:r>
        <w:rPr>
          <w:rFonts w:cs="Arial"/>
        </w:rPr>
        <w:t xml:space="preserve"> some of this variability can be attributed to differences in environmental conditions between locations</w:t>
      </w:r>
      <w:r w:rsidR="00AD61CD">
        <w:rPr>
          <w:rFonts w:cs="Arial"/>
        </w:rPr>
        <w:t xml:space="preserve">, which </w:t>
      </w:r>
      <w:r>
        <w:rPr>
          <w:rFonts w:cs="Arial"/>
        </w:rPr>
        <w:t xml:space="preserve">implies selection for certain species based on the environmental conditions experienced. Coral communities respond to environmental conditions in </w:t>
      </w:r>
      <w:r w:rsidR="0088572E">
        <w:rPr>
          <w:rFonts w:cs="Arial"/>
        </w:rPr>
        <w:t>a variety of</w:t>
      </w:r>
      <w:r>
        <w:rPr>
          <w:rFonts w:cs="Arial"/>
        </w:rPr>
        <w:t xml:space="preserve"> ways. Most noticeably they respond to acute shifts in conditions such as exposure to substantially reduced salinity (van Woesik 1991, Berkelmans </w:t>
      </w:r>
      <w:r>
        <w:rPr>
          <w:rFonts w:cs="Arial"/>
          <w:i/>
        </w:rPr>
        <w:t>et al</w:t>
      </w:r>
      <w:r>
        <w:rPr>
          <w:rFonts w:cs="Arial"/>
        </w:rPr>
        <w:t xml:space="preserve">. 2012), deviations from normal temperature (Hoegh-Guldberg 1999) or hydrodynamic conditions (cyclones); all of which result in reductions in coral cover as susceptible species are killed. In contrast, the increased loads of sediments and nutrients entering the Reef as a result of land use practices in the adjacent catchments (Waters </w:t>
      </w:r>
      <w:r>
        <w:rPr>
          <w:rFonts w:cs="Arial"/>
          <w:i/>
        </w:rPr>
        <w:t>et al</w:t>
      </w:r>
      <w:r>
        <w:rPr>
          <w:rFonts w:cs="Arial"/>
        </w:rPr>
        <w:t xml:space="preserve">. 2014) may include a combination of acute conditions associated with flood events and then chronic change in conditions as pollutants are cycled through the system. Chronic change in conditions could provide a longer period of selective pressures as environmental conditions disproportionately favour </w:t>
      </w:r>
      <w:r w:rsidR="0088572E">
        <w:rPr>
          <w:rFonts w:cs="Arial"/>
        </w:rPr>
        <w:t xml:space="preserve">recruitment and survival of </w:t>
      </w:r>
      <w:r>
        <w:rPr>
          <w:rFonts w:cs="Arial"/>
        </w:rPr>
        <w:t>species</w:t>
      </w:r>
      <w:r w:rsidR="0088572E">
        <w:rPr>
          <w:rFonts w:cs="Arial"/>
        </w:rPr>
        <w:t xml:space="preserve"> tolerant to those conditions</w:t>
      </w:r>
      <w:r>
        <w:rPr>
          <w:rFonts w:cs="Arial"/>
        </w:rPr>
        <w:t>.</w:t>
      </w:r>
    </w:p>
    <w:p w14:paraId="70E360C5" w14:textId="77777777" w:rsidR="00B3738D" w:rsidRDefault="00B3738D" w:rsidP="00163853">
      <w:pPr>
        <w:rPr>
          <w:color w:val="000000" w:themeColor="text1"/>
        </w:rPr>
      </w:pPr>
      <w:r>
        <w:rPr>
          <w:color w:val="000000" w:themeColor="text1"/>
        </w:rPr>
        <w:t>A new indicator added to the MMP in 2015 assess</w:t>
      </w:r>
      <w:r w:rsidR="00AD61CD">
        <w:rPr>
          <w:color w:val="000000" w:themeColor="text1"/>
        </w:rPr>
        <w:t>es</w:t>
      </w:r>
      <w:r>
        <w:rPr>
          <w:color w:val="000000" w:themeColor="text1"/>
        </w:rPr>
        <w:t xml:space="preserve"> change in the composition of coral communities in terms of the changing balance between genera with varying susceptibilities to poor water quality. The underling concept for this indicator is that the environmental conditions of a location impose selective pressure on the communities and changes in community composition through time can be assessed as reflecting a shift toward communities that are typical of either better or worse water quality than those originally observed.</w:t>
      </w:r>
    </w:p>
    <w:p w14:paraId="5E0457C1" w14:textId="77777777" w:rsidR="00F81AB9" w:rsidRDefault="00F81AB9" w:rsidP="009139A2">
      <w:pPr>
        <w:pStyle w:val="Heading3"/>
      </w:pPr>
      <w:r>
        <w:t>6.</w:t>
      </w:r>
      <w:r w:rsidR="008E6308">
        <w:t>6</w:t>
      </w:r>
      <w:r>
        <w:t>.1 The response variable</w:t>
      </w:r>
    </w:p>
    <w:p w14:paraId="67A7806C" w14:textId="77777777" w:rsidR="00B3738D" w:rsidRDefault="00B3738D" w:rsidP="00163853">
      <w:pPr>
        <w:rPr>
          <w:rFonts w:cs="Arial"/>
        </w:rPr>
      </w:pPr>
      <w:r>
        <w:rPr>
          <w:rFonts w:cs="Arial"/>
        </w:rPr>
        <w:t>The metric for assessing change in coral community composition is enabled by estimating the differential representation of genera along a water quality gradient (</w:t>
      </w:r>
      <w:r w:rsidR="00553772">
        <w:rPr>
          <w:rFonts w:cs="Arial"/>
        </w:rPr>
        <w:fldChar w:fldCharType="begin"/>
      </w:r>
      <w:r w:rsidR="00553772">
        <w:rPr>
          <w:rFonts w:cs="Arial"/>
        </w:rPr>
        <w:instrText xml:space="preserve"> REF _Ref438122285 \h </w:instrText>
      </w:r>
      <w:r w:rsidR="00553772">
        <w:rPr>
          <w:rFonts w:cs="Arial"/>
        </w:rPr>
      </w:r>
      <w:r w:rsidR="00553772">
        <w:rPr>
          <w:rFonts w:cs="Arial"/>
        </w:rPr>
        <w:fldChar w:fldCharType="separate"/>
      </w:r>
      <w:r w:rsidR="00B61881" w:rsidRPr="0026052F">
        <w:t xml:space="preserve">Table </w:t>
      </w:r>
      <w:r w:rsidR="00B61881">
        <w:rPr>
          <w:noProof/>
        </w:rPr>
        <w:t>6</w:t>
      </w:r>
      <w:r w:rsidR="00553772">
        <w:rPr>
          <w:rFonts w:cs="Arial"/>
        </w:rPr>
        <w:fldChar w:fldCharType="end"/>
      </w:r>
      <w:r w:rsidR="00AD61CD">
        <w:rPr>
          <w:rFonts w:cs="Arial"/>
        </w:rPr>
        <w:t xml:space="preserve">). </w:t>
      </w:r>
      <w:r>
        <w:rPr>
          <w:rFonts w:cs="Arial"/>
        </w:rPr>
        <w:t xml:space="preserve">The scores presented in Table </w:t>
      </w:r>
      <w:r w:rsidR="000450F4">
        <w:rPr>
          <w:rFonts w:cs="Arial"/>
        </w:rPr>
        <w:t>6</w:t>
      </w:r>
      <w:r>
        <w:rPr>
          <w:rFonts w:cs="Arial"/>
        </w:rPr>
        <w:t xml:space="preserve"> were derived by Thompson </w:t>
      </w:r>
      <w:r>
        <w:rPr>
          <w:rFonts w:cs="Arial"/>
          <w:i/>
        </w:rPr>
        <w:t>et al.</w:t>
      </w:r>
      <w:r>
        <w:rPr>
          <w:rFonts w:cs="Arial"/>
        </w:rPr>
        <w:t xml:space="preserve"> 2014</w:t>
      </w:r>
      <w:r w:rsidR="007F7841">
        <w:rPr>
          <w:rFonts w:cs="Arial"/>
        </w:rPr>
        <w:t>b</w:t>
      </w:r>
      <w:r>
        <w:rPr>
          <w:rFonts w:cs="Arial"/>
        </w:rPr>
        <w:t>, following the procedure outlined below:</w:t>
      </w:r>
    </w:p>
    <w:p w14:paraId="1FF68BFF" w14:textId="77777777" w:rsidR="00B3738D" w:rsidRDefault="00B3738D" w:rsidP="00163853">
      <w:pPr>
        <w:pStyle w:val="ListParagraph"/>
        <w:numPr>
          <w:ilvl w:val="0"/>
          <w:numId w:val="25"/>
        </w:numPr>
        <w:ind w:left="714" w:hanging="357"/>
        <w:rPr>
          <w:rFonts w:cs="Arial"/>
        </w:rPr>
      </w:pPr>
      <w:r>
        <w:rPr>
          <w:rFonts w:cs="Arial"/>
        </w:rPr>
        <w:t xml:space="preserve">For each MMP reef and depth the mean cover of coral genera (split additionally into lifeforms for the genus </w:t>
      </w:r>
      <w:r>
        <w:rPr>
          <w:rFonts w:cs="Arial"/>
          <w:i/>
        </w:rPr>
        <w:t>Acropora</w:t>
      </w:r>
      <w:r>
        <w:rPr>
          <w:rFonts w:cs="Arial"/>
        </w:rPr>
        <w:t xml:space="preserve"> and </w:t>
      </w:r>
      <w:r>
        <w:rPr>
          <w:rFonts w:cs="Arial"/>
          <w:i/>
        </w:rPr>
        <w:t>Porites</w:t>
      </w:r>
      <w:r>
        <w:rPr>
          <w:rFonts w:cs="Arial"/>
        </w:rPr>
        <w:t>) over the period 2005 to 2014 was calculated.</w:t>
      </w:r>
    </w:p>
    <w:p w14:paraId="50658A88" w14:textId="77777777" w:rsidR="00163853" w:rsidRDefault="00B3738D" w:rsidP="00163853">
      <w:pPr>
        <w:pStyle w:val="ListParagraph"/>
        <w:numPr>
          <w:ilvl w:val="0"/>
          <w:numId w:val="25"/>
        </w:numPr>
        <w:spacing w:after="100" w:afterAutospacing="1"/>
        <w:ind w:left="714" w:hanging="357"/>
        <w:rPr>
          <w:rFonts w:cs="Arial"/>
        </w:rPr>
      </w:pPr>
      <w:r>
        <w:rPr>
          <w:rFonts w:cs="Arial"/>
        </w:rPr>
        <w:t xml:space="preserve">A regionally-adapted, physics-based ocean colour algorithm (Brando </w:t>
      </w:r>
      <w:r>
        <w:rPr>
          <w:rFonts w:cs="Arial"/>
          <w:i/>
        </w:rPr>
        <w:t>et al</w:t>
      </w:r>
      <w:r w:rsidR="009F400E">
        <w:rPr>
          <w:rFonts w:cs="Arial"/>
        </w:rPr>
        <w:t>. 2012,</w:t>
      </w:r>
      <w:r>
        <w:rPr>
          <w:rFonts w:cs="Arial"/>
        </w:rPr>
        <w:t xml:space="preserve"> Schroeder </w:t>
      </w:r>
      <w:r>
        <w:rPr>
          <w:rFonts w:cs="Arial"/>
          <w:i/>
        </w:rPr>
        <w:t>et al</w:t>
      </w:r>
      <w:r>
        <w:rPr>
          <w:rFonts w:cs="Arial"/>
        </w:rPr>
        <w:t>. 2007, 2012) was used to derive daily means of chlorophyll and total suspended solids concentration for a grid of nine, 1 km</w:t>
      </w:r>
      <w:r>
        <w:rPr>
          <w:rFonts w:cs="Arial"/>
          <w:vertAlign w:val="superscript"/>
        </w:rPr>
        <w:t>2</w:t>
      </w:r>
      <w:r>
        <w:rPr>
          <w:rFonts w:cs="Arial"/>
        </w:rPr>
        <w:t xml:space="preserve"> pixels adjacent to each coral monitoring s</w:t>
      </w:r>
      <w:r w:rsidR="00AD61CD">
        <w:rPr>
          <w:rFonts w:cs="Arial"/>
        </w:rPr>
        <w:t xml:space="preserve">ite over the period 2002-2012. </w:t>
      </w:r>
      <w:r>
        <w:rPr>
          <w:rFonts w:cs="Arial"/>
        </w:rPr>
        <w:t>For each reef the median and 90</w:t>
      </w:r>
      <w:r>
        <w:rPr>
          <w:rFonts w:cs="Arial"/>
          <w:vertAlign w:val="superscript"/>
        </w:rPr>
        <w:t>th</w:t>
      </w:r>
      <w:r>
        <w:rPr>
          <w:rFonts w:cs="Arial"/>
        </w:rPr>
        <w:t xml:space="preserve"> percentiles of all observations of chlorophyll and total suspended solids from each reef were calculated and a principle components analysis used estimate a single water quality score (the scores along the first principle component) for each reef. </w:t>
      </w:r>
    </w:p>
    <w:p w14:paraId="62805587" w14:textId="77777777" w:rsidR="00B3738D" w:rsidRDefault="00B3738D" w:rsidP="00163853">
      <w:pPr>
        <w:pStyle w:val="ListParagraph"/>
        <w:numPr>
          <w:ilvl w:val="0"/>
          <w:numId w:val="25"/>
        </w:numPr>
        <w:ind w:left="714" w:hanging="357"/>
        <w:rPr>
          <w:rFonts w:cs="Arial"/>
        </w:rPr>
      </w:pPr>
      <w:r>
        <w:rPr>
          <w:rFonts w:cs="Arial"/>
        </w:rPr>
        <w:t xml:space="preserve">The sediment composition at each reef was similarly reduced to a single score by extracting the site scores along the first principle component run on sediment variables: organic carbon and nitrogen content along with the proportion of grain-size less than 63 µm (clays and silts) averaged over samples collected between 2007 and 2013. </w:t>
      </w:r>
    </w:p>
    <w:p w14:paraId="705DF8E0" w14:textId="77777777" w:rsidR="00B3738D" w:rsidRDefault="00B3738D" w:rsidP="00163853">
      <w:pPr>
        <w:pStyle w:val="ListParagraph"/>
        <w:numPr>
          <w:ilvl w:val="0"/>
          <w:numId w:val="25"/>
        </w:numPr>
        <w:ind w:left="714" w:hanging="357"/>
        <w:rPr>
          <w:rFonts w:cs="Arial"/>
        </w:rPr>
      </w:pPr>
      <w:r>
        <w:rPr>
          <w:rFonts w:cs="Arial"/>
        </w:rPr>
        <w:t>Prior to analysis, the coral community data was Hellinger-standardised. This standardisation divides the square root of the cover for each genus by the sum of square root covers for all genera at that reef (</w:t>
      </w:r>
      <w:r>
        <w:rPr>
          <w:rStyle w:val="apple-style-span"/>
          <w:rFonts w:cs="Arial"/>
          <w:color w:val="000000"/>
        </w:rPr>
        <w:t xml:space="preserve">Legendre </w:t>
      </w:r>
      <w:r w:rsidR="00522D23">
        <w:rPr>
          <w:rStyle w:val="apple-style-span"/>
          <w:rFonts w:cs="Arial"/>
          <w:color w:val="000000"/>
        </w:rPr>
        <w:t>&amp;</w:t>
      </w:r>
      <w:r>
        <w:rPr>
          <w:rStyle w:val="apple-style-span"/>
          <w:rFonts w:cs="Arial"/>
          <w:color w:val="000000"/>
        </w:rPr>
        <w:t xml:space="preserve"> Gallagher 2001)</w:t>
      </w:r>
      <w:r>
        <w:rPr>
          <w:rFonts w:cs="Arial"/>
        </w:rPr>
        <w:t>. Hellinger-standardisation has the dual effect of down-weighting the influence of abundant species and focusing the analysis on relative cover (c</w:t>
      </w:r>
      <w:r w:rsidR="00AD61CD">
        <w:rPr>
          <w:rFonts w:cs="Arial"/>
        </w:rPr>
        <w:t xml:space="preserve">omposition) rather than cover. </w:t>
      </w:r>
      <w:r w:rsidR="00F81AB9">
        <w:rPr>
          <w:rFonts w:cs="Arial"/>
        </w:rPr>
        <w:t>The</w:t>
      </w:r>
      <w:r>
        <w:rPr>
          <w:rFonts w:cs="Arial"/>
        </w:rPr>
        <w:t xml:space="preserve"> focus on </w:t>
      </w:r>
      <w:r w:rsidR="00F81AB9">
        <w:rPr>
          <w:rFonts w:cs="Arial"/>
        </w:rPr>
        <w:t xml:space="preserve">compositional </w:t>
      </w:r>
      <w:r>
        <w:rPr>
          <w:rFonts w:cs="Arial"/>
        </w:rPr>
        <w:t xml:space="preserve">cover has a particular advantage </w:t>
      </w:r>
      <w:r w:rsidR="0049629B" w:rsidRPr="007E666A">
        <w:rPr>
          <w:rFonts w:cs="Arial"/>
        </w:rPr>
        <w:t>for analyses of time-series of community composition as</w:t>
      </w:r>
      <w:r w:rsidRPr="007E666A">
        <w:rPr>
          <w:rFonts w:cs="Arial"/>
        </w:rPr>
        <w:t xml:space="preserve"> fluctuations in cover due to distur</w:t>
      </w:r>
      <w:r>
        <w:rPr>
          <w:rFonts w:cs="Arial"/>
        </w:rPr>
        <w:t>bance events bear less weight than shifts in comparative abundance among the groups present.</w:t>
      </w:r>
    </w:p>
    <w:p w14:paraId="6021AB99" w14:textId="77777777" w:rsidR="00B3738D" w:rsidRDefault="00B3738D" w:rsidP="00163853">
      <w:pPr>
        <w:pStyle w:val="ListParagraph"/>
        <w:numPr>
          <w:ilvl w:val="0"/>
          <w:numId w:val="25"/>
        </w:numPr>
        <w:rPr>
          <w:rFonts w:cs="Arial"/>
        </w:rPr>
      </w:pPr>
      <w:r>
        <w:rPr>
          <w:rFonts w:cs="Arial"/>
        </w:rPr>
        <w:t xml:space="preserve">The water quality gradient described by the scores along the first principal component of the water quality variables </w:t>
      </w:r>
      <w:r w:rsidR="0049629B">
        <w:rPr>
          <w:rFonts w:cs="Arial"/>
        </w:rPr>
        <w:t>(from 2.) was</w:t>
      </w:r>
      <w:r>
        <w:rPr>
          <w:rFonts w:cs="Arial"/>
        </w:rPr>
        <w:t xml:space="preserve"> used as the explanatory variable </w:t>
      </w:r>
      <w:r w:rsidR="005B2E4D">
        <w:rPr>
          <w:rFonts w:cs="Arial"/>
        </w:rPr>
        <w:t>in a partial Canonical Analysis</w:t>
      </w:r>
      <w:r>
        <w:rPr>
          <w:rFonts w:cs="Arial"/>
        </w:rPr>
        <w:t xml:space="preserve"> of Principal Coordinates (partial CAP; Anderson </w:t>
      </w:r>
      <w:r w:rsidR="00522D23">
        <w:rPr>
          <w:rFonts w:cs="Arial"/>
        </w:rPr>
        <w:t>&amp;</w:t>
      </w:r>
      <w:r>
        <w:rPr>
          <w:rFonts w:cs="Arial"/>
        </w:rPr>
        <w:t xml:space="preserve"> Willis 2003). From this partial CAP analysis, the magnitude and direction of response for each genus group to the water quality gradient was extracted as the genus group scores along the constrained </w:t>
      </w:r>
      <w:r>
        <w:rPr>
          <w:rFonts w:cs="Arial"/>
        </w:rPr>
        <w:lastRenderedPageBreak/>
        <w:t xml:space="preserve">axis (Table </w:t>
      </w:r>
      <w:r w:rsidR="000450F4">
        <w:rPr>
          <w:rFonts w:cs="Arial"/>
        </w:rPr>
        <w:t>6</w:t>
      </w:r>
      <w:r>
        <w:rPr>
          <w:rFonts w:cs="Arial"/>
        </w:rPr>
        <w:t xml:space="preserve">, Oksanen </w:t>
      </w:r>
      <w:r>
        <w:rPr>
          <w:rFonts w:cs="Arial"/>
          <w:i/>
        </w:rPr>
        <w:t>et al</w:t>
      </w:r>
      <w:r w:rsidR="009F400E">
        <w:rPr>
          <w:rFonts w:cs="Arial"/>
          <w:i/>
        </w:rPr>
        <w:t>.</w:t>
      </w:r>
      <w:r>
        <w:rPr>
          <w:rFonts w:cs="Arial"/>
        </w:rPr>
        <w:t xml:space="preserve"> 2013). For the 2 m depth, the constrained axis of the partial CAP explained 13.3% of the variation in community compositions once the effects of Region and sediment composition had been accounted for, compared to the 19% explained at 5 m depth where only regional effects were first removed. </w:t>
      </w:r>
    </w:p>
    <w:p w14:paraId="06C10119" w14:textId="77777777" w:rsidR="009139A2" w:rsidRDefault="009139A2" w:rsidP="00074884">
      <w:pPr>
        <w:rPr>
          <w:rFonts w:cs="Arial"/>
        </w:rPr>
      </w:pPr>
    </w:p>
    <w:p w14:paraId="3553E0DE" w14:textId="77777777" w:rsidR="004F0242" w:rsidRPr="0026052F" w:rsidRDefault="0026052F" w:rsidP="0026052F">
      <w:pPr>
        <w:pStyle w:val="Caption"/>
        <w:rPr>
          <w:rStyle w:val="Heading7Char"/>
          <w:rFonts w:eastAsia="SimSun"/>
        </w:rPr>
      </w:pPr>
      <w:bookmarkStart w:id="362" w:name="_Ref438122285"/>
      <w:bookmarkStart w:id="363" w:name="_Toc437424434"/>
      <w:bookmarkStart w:id="364" w:name="_Toc437424558"/>
      <w:bookmarkStart w:id="365" w:name="_Toc453855053"/>
      <w:bookmarkStart w:id="366" w:name="_Toc437424321"/>
      <w:bookmarkStart w:id="367" w:name="_Toc437597658"/>
      <w:r w:rsidRPr="0026052F">
        <w:t xml:space="preserve">Table </w:t>
      </w:r>
      <w:r w:rsidR="005D2F9F">
        <w:fldChar w:fldCharType="begin"/>
      </w:r>
      <w:r w:rsidR="005D2F9F">
        <w:instrText xml:space="preserve"> SEQ Table \* ARABIC </w:instrText>
      </w:r>
      <w:r w:rsidR="005D2F9F">
        <w:fldChar w:fldCharType="separate"/>
      </w:r>
      <w:r w:rsidR="00B61881">
        <w:rPr>
          <w:noProof/>
        </w:rPr>
        <w:t>6</w:t>
      </w:r>
      <w:r w:rsidR="005D2F9F">
        <w:rPr>
          <w:noProof/>
        </w:rPr>
        <w:fldChar w:fldCharType="end"/>
      </w:r>
      <w:bookmarkEnd w:id="362"/>
      <w:r>
        <w:t>:</w:t>
      </w:r>
      <w:r w:rsidR="004F0242" w:rsidRPr="0026052F">
        <w:t xml:space="preserve"> </w:t>
      </w:r>
      <w:r w:rsidR="00B3738D" w:rsidRPr="0026052F">
        <w:rPr>
          <w:rStyle w:val="Heading7Char"/>
          <w:rFonts w:eastAsia="SimSun"/>
        </w:rPr>
        <w:t>Genus group scores along constrained water quality axis at each depth</w:t>
      </w:r>
      <w:bookmarkEnd w:id="363"/>
      <w:bookmarkEnd w:id="364"/>
      <w:bookmarkEnd w:id="365"/>
    </w:p>
    <w:p w14:paraId="6DE674BF" w14:textId="77777777" w:rsidR="00B3738D" w:rsidRDefault="00B3738D" w:rsidP="00E56CF1">
      <w:pPr>
        <w:pStyle w:val="Caption"/>
        <w:rPr>
          <w:rStyle w:val="IntenseReference"/>
          <w:rFonts w:eastAsia="SimSun"/>
        </w:rPr>
      </w:pPr>
      <w:r>
        <w:rPr>
          <w:rStyle w:val="IntenseReference"/>
          <w:rFonts w:eastAsia="SimSun"/>
        </w:rPr>
        <w:t xml:space="preserve"> * indicates genus group with both low cover (maximum &lt; 0.5% on any reef) and limited distribution (present on &lt; 25% of reefs).</w:t>
      </w:r>
      <w:bookmarkEnd w:id="366"/>
      <w:bookmarkEnd w:id="367"/>
    </w:p>
    <w:tbl>
      <w:tblPr>
        <w:tblStyle w:val="TableGrid"/>
        <w:tblW w:w="0" w:type="auto"/>
        <w:tblInd w:w="392" w:type="dxa"/>
        <w:tblLayout w:type="fixed"/>
        <w:tblLook w:val="04A0" w:firstRow="1" w:lastRow="0" w:firstColumn="1" w:lastColumn="0" w:noHBand="0" w:noVBand="1"/>
        <w:tblCaption w:val="Table 6 Genus group scores along constrained water quality axis at each depth"/>
        <w:tblDescription w:val="Table 6 Genus group scores along constrained water quality axis at each depth. * indicates genus group with both low cover (maximum &lt; 0.5% on any reef) and limited distribution (present on &lt; 25% of reefs)."/>
      </w:tblPr>
      <w:tblGrid>
        <w:gridCol w:w="2268"/>
        <w:gridCol w:w="992"/>
        <w:gridCol w:w="992"/>
        <w:gridCol w:w="2410"/>
        <w:gridCol w:w="992"/>
        <w:gridCol w:w="993"/>
      </w:tblGrid>
      <w:tr w:rsidR="004D6D04" w14:paraId="12B49A6C" w14:textId="77777777" w:rsidTr="00C32638">
        <w:trPr>
          <w:trHeight w:val="300"/>
          <w:tblHeader/>
        </w:trPr>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3D19A3E5" w14:textId="77777777" w:rsidR="004D6D04" w:rsidRDefault="004D6D04" w:rsidP="008016B6">
            <w:pPr>
              <w:jc w:val="center"/>
              <w:rPr>
                <w:rFonts w:ascii="Arial Narrow" w:hAnsi="Arial Narrow"/>
                <w:b/>
              </w:rPr>
            </w:pPr>
            <w:r>
              <w:rPr>
                <w:rFonts w:ascii="Arial Narrow" w:hAnsi="Arial Narrow"/>
                <w:b/>
              </w:rPr>
              <w:t>Genus</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1BB1603C" w14:textId="77777777" w:rsidR="004D6D04" w:rsidRDefault="004D6D04" w:rsidP="008016B6">
            <w:pPr>
              <w:jc w:val="center"/>
              <w:rPr>
                <w:rFonts w:ascii="Arial Narrow" w:hAnsi="Arial Narrow"/>
                <w:b/>
              </w:rPr>
            </w:pPr>
            <w:r>
              <w:rPr>
                <w:rFonts w:ascii="Arial Narrow" w:hAnsi="Arial Narrow"/>
                <w:b/>
              </w:rPr>
              <w:t>2 m</w:t>
            </w:r>
          </w:p>
        </w:tc>
        <w:tc>
          <w:tcPr>
            <w:tcW w:w="992" w:type="dxa"/>
            <w:tcBorders>
              <w:top w:val="single" w:sz="4" w:space="0" w:color="auto"/>
              <w:left w:val="single" w:sz="4" w:space="0" w:color="auto"/>
              <w:bottom w:val="single" w:sz="4" w:space="0" w:color="auto"/>
              <w:right w:val="thinThickThinLargeGap" w:sz="24" w:space="0" w:color="auto"/>
            </w:tcBorders>
            <w:shd w:val="clear" w:color="auto" w:fill="D9D9D9" w:themeFill="background1" w:themeFillShade="D9"/>
            <w:noWrap/>
            <w:vAlign w:val="bottom"/>
            <w:hideMark/>
          </w:tcPr>
          <w:p w14:paraId="7EC5A1AE" w14:textId="77777777" w:rsidR="004D6D04" w:rsidRDefault="004D6D04" w:rsidP="008016B6">
            <w:pPr>
              <w:jc w:val="center"/>
              <w:rPr>
                <w:rFonts w:ascii="Arial Narrow" w:hAnsi="Arial Narrow"/>
                <w:b/>
              </w:rPr>
            </w:pPr>
            <w:r>
              <w:rPr>
                <w:rFonts w:ascii="Arial Narrow" w:hAnsi="Arial Narrow"/>
                <w:b/>
              </w:rPr>
              <w:t>5 m</w:t>
            </w:r>
          </w:p>
        </w:tc>
        <w:tc>
          <w:tcPr>
            <w:tcW w:w="2410" w:type="dxa"/>
            <w:tcBorders>
              <w:top w:val="single" w:sz="4" w:space="0" w:color="auto"/>
              <w:left w:val="thinThickThinLargeGap" w:sz="24" w:space="0" w:color="auto"/>
              <w:bottom w:val="single" w:sz="4" w:space="0" w:color="auto"/>
              <w:right w:val="single" w:sz="4" w:space="0" w:color="auto"/>
            </w:tcBorders>
            <w:shd w:val="clear" w:color="auto" w:fill="D9D9D9" w:themeFill="background1" w:themeFillShade="D9"/>
            <w:vAlign w:val="bottom"/>
            <w:hideMark/>
          </w:tcPr>
          <w:p w14:paraId="7ED87FC7" w14:textId="77777777" w:rsidR="004D6D04" w:rsidRDefault="004D6D04" w:rsidP="008016B6">
            <w:pPr>
              <w:jc w:val="center"/>
              <w:rPr>
                <w:rFonts w:ascii="Arial Narrow" w:hAnsi="Arial Narrow"/>
                <w:b/>
              </w:rPr>
            </w:pPr>
            <w:r>
              <w:rPr>
                <w:rFonts w:ascii="Arial Narrow" w:hAnsi="Arial Narrow"/>
                <w:b/>
              </w:rPr>
              <w:t>Genus</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52AAE0F7" w14:textId="77777777" w:rsidR="004D6D04" w:rsidRDefault="004D6D04" w:rsidP="008016B6">
            <w:pPr>
              <w:jc w:val="center"/>
              <w:rPr>
                <w:rFonts w:ascii="Arial Narrow" w:hAnsi="Arial Narrow"/>
                <w:b/>
              </w:rPr>
            </w:pPr>
            <w:r>
              <w:rPr>
                <w:rFonts w:ascii="Arial Narrow" w:hAnsi="Arial Narrow"/>
                <w:b/>
              </w:rPr>
              <w:t>2 m</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00853E53" w14:textId="77777777" w:rsidR="004D6D04" w:rsidRDefault="004D6D04" w:rsidP="008016B6">
            <w:pPr>
              <w:jc w:val="center"/>
              <w:rPr>
                <w:rFonts w:ascii="Arial Narrow" w:hAnsi="Arial Narrow"/>
                <w:b/>
              </w:rPr>
            </w:pPr>
            <w:r>
              <w:rPr>
                <w:rFonts w:ascii="Arial Narrow" w:hAnsi="Arial Narrow"/>
                <w:b/>
              </w:rPr>
              <w:t>5 m</w:t>
            </w:r>
          </w:p>
        </w:tc>
      </w:tr>
      <w:tr w:rsidR="004D6D04" w14:paraId="1D2D59AE"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3594D16A" w14:textId="77777777" w:rsidR="004D6D04" w:rsidRDefault="004D6D04" w:rsidP="008016B6">
            <w:pPr>
              <w:rPr>
                <w:rFonts w:ascii="Arial Narrow" w:hAnsi="Arial Narrow"/>
                <w:i/>
              </w:rPr>
            </w:pPr>
            <w:r>
              <w:rPr>
                <w:rFonts w:ascii="Arial Narrow" w:hAnsi="Arial Narrow"/>
                <w:i/>
              </w:rPr>
              <w:t>Psammocora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2932ACFC" w14:textId="77777777" w:rsidR="004D6D04" w:rsidRDefault="004D6D04" w:rsidP="008016B6">
            <w:pPr>
              <w:jc w:val="center"/>
              <w:rPr>
                <w:rFonts w:ascii="Arial Narrow" w:hAnsi="Arial Narrow"/>
              </w:rPr>
            </w:pPr>
            <w:r>
              <w:rPr>
                <w:rFonts w:ascii="Arial Narrow" w:hAnsi="Arial Narrow"/>
              </w:rPr>
              <w:t>-0.194</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1822F6B2" w14:textId="77777777" w:rsidR="004D6D04" w:rsidRDefault="004D6D04" w:rsidP="008016B6">
            <w:pPr>
              <w:jc w:val="center"/>
              <w:rPr>
                <w:rFonts w:ascii="Arial Narrow" w:hAnsi="Arial Narrow"/>
              </w:rPr>
            </w:pPr>
            <w:r>
              <w:rPr>
                <w:rFonts w:ascii="Arial Narrow" w:hAnsi="Arial Narrow"/>
              </w:rPr>
              <w:t>-0.366</w:t>
            </w:r>
          </w:p>
        </w:tc>
        <w:tc>
          <w:tcPr>
            <w:tcW w:w="2410" w:type="dxa"/>
            <w:tcBorders>
              <w:top w:val="single" w:sz="4" w:space="0" w:color="auto"/>
              <w:left w:val="thinThickThinLargeGap" w:sz="24" w:space="0" w:color="auto"/>
              <w:bottom w:val="single" w:sz="4" w:space="0" w:color="auto"/>
              <w:right w:val="single" w:sz="4" w:space="0" w:color="auto"/>
            </w:tcBorders>
          </w:tcPr>
          <w:p w14:paraId="105ED885" w14:textId="77777777" w:rsidR="004D6D04" w:rsidRDefault="004D6D04" w:rsidP="008016B6">
            <w:pPr>
              <w:rPr>
                <w:rFonts w:ascii="Arial Narrow" w:hAnsi="Arial Narrow"/>
                <w:i/>
              </w:rPr>
            </w:pPr>
            <w:r>
              <w:rPr>
                <w:rFonts w:ascii="Arial Narrow" w:hAnsi="Arial Narrow"/>
              </w:rPr>
              <w:t xml:space="preserve">Submassive </w:t>
            </w:r>
            <w:r>
              <w:rPr>
                <w:rFonts w:ascii="Arial Narrow" w:hAnsi="Arial Narrow"/>
                <w:i/>
              </w:rPr>
              <w:t>Porites</w:t>
            </w:r>
          </w:p>
        </w:tc>
        <w:tc>
          <w:tcPr>
            <w:tcW w:w="992" w:type="dxa"/>
            <w:tcBorders>
              <w:top w:val="single" w:sz="4" w:space="0" w:color="auto"/>
              <w:left w:val="single" w:sz="4" w:space="0" w:color="auto"/>
              <w:bottom w:val="single" w:sz="4" w:space="0" w:color="auto"/>
              <w:right w:val="single" w:sz="4" w:space="0" w:color="auto"/>
            </w:tcBorders>
            <w:vAlign w:val="center"/>
          </w:tcPr>
          <w:p w14:paraId="21A50F3B" w14:textId="77777777" w:rsidR="004D6D04" w:rsidRDefault="004D6D04" w:rsidP="008016B6">
            <w:pPr>
              <w:jc w:val="center"/>
              <w:rPr>
                <w:rFonts w:ascii="Arial Narrow" w:hAnsi="Arial Narrow"/>
              </w:rPr>
            </w:pPr>
            <w:r>
              <w:rPr>
                <w:rFonts w:ascii="Arial Narrow" w:hAnsi="Arial Narrow"/>
              </w:rPr>
              <w:t>-0.047</w:t>
            </w:r>
          </w:p>
        </w:tc>
        <w:tc>
          <w:tcPr>
            <w:tcW w:w="993" w:type="dxa"/>
            <w:tcBorders>
              <w:top w:val="single" w:sz="4" w:space="0" w:color="auto"/>
              <w:left w:val="single" w:sz="4" w:space="0" w:color="auto"/>
              <w:bottom w:val="single" w:sz="4" w:space="0" w:color="auto"/>
              <w:right w:val="single" w:sz="4" w:space="0" w:color="auto"/>
            </w:tcBorders>
            <w:vAlign w:val="center"/>
          </w:tcPr>
          <w:p w14:paraId="544604A7" w14:textId="77777777" w:rsidR="004D6D04" w:rsidRDefault="004D6D04" w:rsidP="008016B6">
            <w:pPr>
              <w:jc w:val="center"/>
              <w:rPr>
                <w:rFonts w:ascii="Arial Narrow" w:hAnsi="Arial Narrow"/>
              </w:rPr>
            </w:pPr>
            <w:r>
              <w:rPr>
                <w:rFonts w:ascii="Arial Narrow" w:hAnsi="Arial Narrow"/>
              </w:rPr>
              <w:t>-0.005</w:t>
            </w:r>
          </w:p>
        </w:tc>
      </w:tr>
      <w:tr w:rsidR="004D6D04" w14:paraId="73C7383A"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6FD627F9" w14:textId="77777777" w:rsidR="004D6D04" w:rsidRDefault="004D6D04" w:rsidP="008016B6">
            <w:pPr>
              <w:rPr>
                <w:rFonts w:ascii="Arial Narrow" w:hAnsi="Arial Narrow"/>
                <w:i/>
              </w:rPr>
            </w:pPr>
            <w:r>
              <w:rPr>
                <w:rFonts w:ascii="Arial Narrow" w:hAnsi="Arial Narrow"/>
                <w:i/>
              </w:rPr>
              <w:t>Turbinaria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05C86B67" w14:textId="77777777" w:rsidR="004D6D04" w:rsidRDefault="004D6D04" w:rsidP="008016B6">
            <w:pPr>
              <w:jc w:val="center"/>
              <w:rPr>
                <w:rFonts w:ascii="Arial Narrow" w:hAnsi="Arial Narrow"/>
              </w:rPr>
            </w:pPr>
            <w:r>
              <w:rPr>
                <w:rFonts w:ascii="Arial Narrow" w:hAnsi="Arial Narrow"/>
              </w:rPr>
              <w:t>-0.279</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74CD1047" w14:textId="77777777" w:rsidR="004D6D04" w:rsidRDefault="004D6D04" w:rsidP="008016B6">
            <w:pPr>
              <w:jc w:val="center"/>
              <w:rPr>
                <w:rFonts w:ascii="Arial Narrow" w:hAnsi="Arial Narrow"/>
              </w:rPr>
            </w:pPr>
            <w:r>
              <w:rPr>
                <w:rFonts w:ascii="Arial Narrow" w:hAnsi="Arial Narrow"/>
              </w:rPr>
              <w:t>-0.307</w:t>
            </w:r>
          </w:p>
        </w:tc>
        <w:tc>
          <w:tcPr>
            <w:tcW w:w="2410" w:type="dxa"/>
            <w:tcBorders>
              <w:top w:val="single" w:sz="4" w:space="0" w:color="auto"/>
              <w:left w:val="thinThickThinLargeGap" w:sz="24" w:space="0" w:color="auto"/>
              <w:bottom w:val="single" w:sz="4" w:space="0" w:color="auto"/>
              <w:right w:val="single" w:sz="4" w:space="0" w:color="auto"/>
            </w:tcBorders>
          </w:tcPr>
          <w:p w14:paraId="79F66708" w14:textId="77777777" w:rsidR="004D6D04" w:rsidRDefault="004D6D04" w:rsidP="008016B6">
            <w:pPr>
              <w:rPr>
                <w:rFonts w:ascii="Arial Narrow" w:hAnsi="Arial Narrow"/>
                <w:i/>
              </w:rPr>
            </w:pPr>
            <w:r>
              <w:rPr>
                <w:rFonts w:ascii="Arial Narrow" w:hAnsi="Arial Narrow"/>
              </w:rPr>
              <w:t xml:space="preserve">Submassive </w:t>
            </w:r>
            <w:r>
              <w:rPr>
                <w:rFonts w:ascii="Arial Narrow" w:hAnsi="Arial Narrow"/>
                <w:i/>
              </w:rPr>
              <w:t>Acropora</w:t>
            </w:r>
          </w:p>
        </w:tc>
        <w:tc>
          <w:tcPr>
            <w:tcW w:w="992" w:type="dxa"/>
            <w:tcBorders>
              <w:top w:val="single" w:sz="4" w:space="0" w:color="auto"/>
              <w:left w:val="single" w:sz="4" w:space="0" w:color="auto"/>
              <w:bottom w:val="single" w:sz="4" w:space="0" w:color="auto"/>
              <w:right w:val="single" w:sz="4" w:space="0" w:color="auto"/>
            </w:tcBorders>
            <w:vAlign w:val="center"/>
          </w:tcPr>
          <w:p w14:paraId="7CDB85D4" w14:textId="77777777" w:rsidR="004D6D04" w:rsidRDefault="004D6D04" w:rsidP="008016B6">
            <w:pPr>
              <w:jc w:val="center"/>
              <w:rPr>
                <w:rFonts w:ascii="Arial Narrow" w:hAnsi="Arial Narrow"/>
              </w:rPr>
            </w:pPr>
            <w:r>
              <w:rPr>
                <w:rFonts w:ascii="Arial Narrow" w:hAnsi="Arial Narrow"/>
              </w:rPr>
              <w:t>0.043</w:t>
            </w:r>
          </w:p>
        </w:tc>
        <w:tc>
          <w:tcPr>
            <w:tcW w:w="993" w:type="dxa"/>
            <w:tcBorders>
              <w:top w:val="single" w:sz="4" w:space="0" w:color="auto"/>
              <w:left w:val="single" w:sz="4" w:space="0" w:color="auto"/>
              <w:bottom w:val="single" w:sz="4" w:space="0" w:color="auto"/>
              <w:right w:val="single" w:sz="4" w:space="0" w:color="auto"/>
            </w:tcBorders>
            <w:vAlign w:val="center"/>
          </w:tcPr>
          <w:p w14:paraId="0CAA13D3" w14:textId="77777777" w:rsidR="004D6D04" w:rsidRDefault="004D6D04" w:rsidP="008016B6">
            <w:pPr>
              <w:jc w:val="center"/>
              <w:rPr>
                <w:rFonts w:ascii="Arial Narrow" w:hAnsi="Arial Narrow"/>
              </w:rPr>
            </w:pPr>
            <w:r>
              <w:rPr>
                <w:rFonts w:ascii="Arial Narrow" w:hAnsi="Arial Narrow"/>
              </w:rPr>
              <w:t>-0.004</w:t>
            </w:r>
          </w:p>
        </w:tc>
      </w:tr>
      <w:tr w:rsidR="004D6D04" w14:paraId="40121741"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3CC4FA36" w14:textId="77777777" w:rsidR="004D6D04" w:rsidRDefault="004D6D04" w:rsidP="008016B6">
            <w:pPr>
              <w:rPr>
                <w:rFonts w:ascii="Arial Narrow" w:hAnsi="Arial Narrow"/>
                <w:i/>
              </w:rPr>
            </w:pPr>
            <w:r>
              <w:rPr>
                <w:rFonts w:ascii="Arial Narrow" w:hAnsi="Arial Narrow"/>
                <w:i/>
              </w:rPr>
              <w:t>Goniopora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6BBFCE3E" w14:textId="77777777" w:rsidR="004D6D04" w:rsidRDefault="004D6D04" w:rsidP="008016B6">
            <w:pPr>
              <w:jc w:val="center"/>
              <w:rPr>
                <w:rFonts w:ascii="Arial Narrow" w:hAnsi="Arial Narrow"/>
              </w:rPr>
            </w:pPr>
            <w:r>
              <w:rPr>
                <w:rFonts w:ascii="Arial Narrow" w:hAnsi="Arial Narrow"/>
              </w:rPr>
              <w:t>-0.320</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38581E8E" w14:textId="77777777" w:rsidR="004D6D04" w:rsidRDefault="004D6D04" w:rsidP="008016B6">
            <w:pPr>
              <w:jc w:val="center"/>
              <w:rPr>
                <w:rFonts w:ascii="Arial Narrow" w:hAnsi="Arial Narrow"/>
              </w:rPr>
            </w:pPr>
            <w:r>
              <w:rPr>
                <w:rFonts w:ascii="Arial Narrow" w:hAnsi="Arial Narrow"/>
              </w:rPr>
              <w:t>-0.304</w:t>
            </w:r>
          </w:p>
        </w:tc>
        <w:tc>
          <w:tcPr>
            <w:tcW w:w="2410" w:type="dxa"/>
            <w:tcBorders>
              <w:top w:val="single" w:sz="4" w:space="0" w:color="auto"/>
              <w:left w:val="thinThickThinLargeGap" w:sz="24" w:space="0" w:color="auto"/>
              <w:bottom w:val="single" w:sz="4" w:space="0" w:color="auto"/>
              <w:right w:val="single" w:sz="4" w:space="0" w:color="auto"/>
            </w:tcBorders>
          </w:tcPr>
          <w:p w14:paraId="2798F525" w14:textId="77777777" w:rsidR="004D6D04" w:rsidRDefault="004D6D04" w:rsidP="008016B6">
            <w:pPr>
              <w:rPr>
                <w:rFonts w:ascii="Arial Narrow" w:hAnsi="Arial Narrow"/>
                <w:i/>
              </w:rPr>
            </w:pPr>
            <w:r>
              <w:rPr>
                <w:rFonts w:ascii="Arial Narrow" w:hAnsi="Arial Narrow"/>
                <w:i/>
              </w:rPr>
              <w:t>Halomitra *</w:t>
            </w:r>
          </w:p>
        </w:tc>
        <w:tc>
          <w:tcPr>
            <w:tcW w:w="992" w:type="dxa"/>
            <w:tcBorders>
              <w:top w:val="single" w:sz="4" w:space="0" w:color="auto"/>
              <w:left w:val="single" w:sz="4" w:space="0" w:color="auto"/>
              <w:bottom w:val="single" w:sz="4" w:space="0" w:color="auto"/>
              <w:right w:val="single" w:sz="4" w:space="0" w:color="auto"/>
            </w:tcBorders>
            <w:vAlign w:val="center"/>
          </w:tcPr>
          <w:p w14:paraId="320151D4" w14:textId="77777777" w:rsidR="004D6D04" w:rsidRDefault="004D6D04" w:rsidP="008016B6">
            <w:pPr>
              <w:jc w:val="center"/>
              <w:rPr>
                <w:rFonts w:ascii="Arial Narrow" w:hAnsi="Arial Narrow"/>
              </w:rPr>
            </w:pPr>
          </w:p>
        </w:tc>
        <w:tc>
          <w:tcPr>
            <w:tcW w:w="993" w:type="dxa"/>
            <w:tcBorders>
              <w:top w:val="single" w:sz="4" w:space="0" w:color="auto"/>
              <w:left w:val="single" w:sz="4" w:space="0" w:color="auto"/>
              <w:bottom w:val="single" w:sz="4" w:space="0" w:color="auto"/>
              <w:right w:val="single" w:sz="4" w:space="0" w:color="auto"/>
            </w:tcBorders>
            <w:vAlign w:val="center"/>
          </w:tcPr>
          <w:p w14:paraId="77ACED22" w14:textId="77777777" w:rsidR="004D6D04" w:rsidRDefault="004D6D04" w:rsidP="008016B6">
            <w:pPr>
              <w:jc w:val="center"/>
              <w:rPr>
                <w:rFonts w:ascii="Arial Narrow" w:hAnsi="Arial Narrow"/>
              </w:rPr>
            </w:pPr>
            <w:r>
              <w:rPr>
                <w:rFonts w:ascii="Arial Narrow" w:hAnsi="Arial Narrow"/>
              </w:rPr>
              <w:t>-0.002</w:t>
            </w:r>
          </w:p>
        </w:tc>
      </w:tr>
      <w:tr w:rsidR="004D6D04" w14:paraId="533DD7EB"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1112F3A8" w14:textId="77777777" w:rsidR="004D6D04" w:rsidRDefault="004D6D04" w:rsidP="008016B6">
            <w:pPr>
              <w:rPr>
                <w:rFonts w:ascii="Arial Narrow" w:hAnsi="Arial Narrow"/>
                <w:i/>
              </w:rPr>
            </w:pPr>
            <w:r>
              <w:rPr>
                <w:rFonts w:ascii="Arial Narrow" w:hAnsi="Arial Narrow"/>
                <w:i/>
              </w:rPr>
              <w:t>Goniastrea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1F1A1BBF" w14:textId="77777777" w:rsidR="004D6D04" w:rsidRDefault="004D6D04" w:rsidP="008016B6">
            <w:pPr>
              <w:jc w:val="center"/>
              <w:rPr>
                <w:rFonts w:ascii="Arial Narrow" w:hAnsi="Arial Narrow"/>
              </w:rPr>
            </w:pPr>
            <w:r>
              <w:rPr>
                <w:rFonts w:ascii="Arial Narrow" w:hAnsi="Arial Narrow"/>
              </w:rPr>
              <w:t>-0.115</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47A72C34" w14:textId="77777777" w:rsidR="004D6D04" w:rsidRDefault="004D6D04" w:rsidP="008016B6">
            <w:pPr>
              <w:jc w:val="center"/>
              <w:rPr>
                <w:rFonts w:ascii="Arial Narrow" w:hAnsi="Arial Narrow"/>
              </w:rPr>
            </w:pPr>
            <w:r>
              <w:rPr>
                <w:rFonts w:ascii="Arial Narrow" w:hAnsi="Arial Narrow"/>
              </w:rPr>
              <w:t>-0.278</w:t>
            </w:r>
          </w:p>
        </w:tc>
        <w:tc>
          <w:tcPr>
            <w:tcW w:w="2410" w:type="dxa"/>
            <w:tcBorders>
              <w:top w:val="single" w:sz="4" w:space="0" w:color="auto"/>
              <w:left w:val="thinThickThinLargeGap" w:sz="24" w:space="0" w:color="auto"/>
              <w:bottom w:val="single" w:sz="4" w:space="0" w:color="auto"/>
              <w:right w:val="single" w:sz="4" w:space="0" w:color="auto"/>
            </w:tcBorders>
          </w:tcPr>
          <w:p w14:paraId="73579B1B" w14:textId="77777777" w:rsidR="004D6D04" w:rsidRDefault="004D6D04" w:rsidP="008016B6">
            <w:pPr>
              <w:rPr>
                <w:rFonts w:ascii="Arial Narrow" w:hAnsi="Arial Narrow"/>
                <w:i/>
              </w:rPr>
            </w:pPr>
            <w:r>
              <w:rPr>
                <w:rFonts w:ascii="Arial Narrow" w:hAnsi="Arial Narrow"/>
                <w:i/>
              </w:rPr>
              <w:t>Plerogyra</w:t>
            </w:r>
          </w:p>
        </w:tc>
        <w:tc>
          <w:tcPr>
            <w:tcW w:w="992" w:type="dxa"/>
            <w:tcBorders>
              <w:top w:val="single" w:sz="4" w:space="0" w:color="auto"/>
              <w:left w:val="single" w:sz="4" w:space="0" w:color="auto"/>
              <w:bottom w:val="single" w:sz="4" w:space="0" w:color="auto"/>
              <w:right w:val="single" w:sz="4" w:space="0" w:color="auto"/>
            </w:tcBorders>
            <w:vAlign w:val="center"/>
          </w:tcPr>
          <w:p w14:paraId="02E6614F" w14:textId="77777777" w:rsidR="004D6D04" w:rsidRDefault="004D6D04" w:rsidP="008016B6">
            <w:pPr>
              <w:jc w:val="center"/>
              <w:rPr>
                <w:rFonts w:ascii="Arial Narrow" w:hAnsi="Arial Narrow"/>
              </w:rPr>
            </w:pPr>
            <w:r>
              <w:rPr>
                <w:rFonts w:ascii="Arial Narrow" w:hAnsi="Arial Narrow"/>
              </w:rPr>
              <w:t>0.002</w:t>
            </w:r>
          </w:p>
        </w:tc>
        <w:tc>
          <w:tcPr>
            <w:tcW w:w="993" w:type="dxa"/>
            <w:tcBorders>
              <w:top w:val="single" w:sz="4" w:space="0" w:color="auto"/>
              <w:left w:val="single" w:sz="4" w:space="0" w:color="auto"/>
              <w:bottom w:val="single" w:sz="4" w:space="0" w:color="auto"/>
              <w:right w:val="single" w:sz="4" w:space="0" w:color="auto"/>
            </w:tcBorders>
            <w:vAlign w:val="center"/>
          </w:tcPr>
          <w:p w14:paraId="5B2FC8F9" w14:textId="77777777" w:rsidR="004D6D04" w:rsidRDefault="004D6D04" w:rsidP="008016B6">
            <w:pPr>
              <w:jc w:val="center"/>
              <w:rPr>
                <w:rFonts w:ascii="Arial Narrow" w:hAnsi="Arial Narrow"/>
              </w:rPr>
            </w:pPr>
            <w:r>
              <w:rPr>
                <w:rFonts w:ascii="Arial Narrow" w:hAnsi="Arial Narrow"/>
              </w:rPr>
              <w:t>-0.001</w:t>
            </w:r>
          </w:p>
        </w:tc>
      </w:tr>
      <w:tr w:rsidR="004D6D04" w14:paraId="2B61FA4B"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06912C97" w14:textId="77777777" w:rsidR="004D6D04" w:rsidRDefault="004D6D04" w:rsidP="008016B6">
            <w:pPr>
              <w:rPr>
                <w:rFonts w:ascii="Arial Narrow" w:hAnsi="Arial Narrow"/>
                <w:i/>
              </w:rPr>
            </w:pPr>
            <w:r>
              <w:rPr>
                <w:rFonts w:ascii="Arial Narrow" w:hAnsi="Arial Narrow"/>
                <w:i/>
              </w:rPr>
              <w:t>Pachyseris</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0A6844A5" w14:textId="77777777" w:rsidR="004D6D04" w:rsidRDefault="004D6D04" w:rsidP="008016B6">
            <w:pPr>
              <w:jc w:val="center"/>
              <w:rPr>
                <w:rFonts w:ascii="Arial Narrow" w:hAnsi="Arial Narrow"/>
              </w:rPr>
            </w:pPr>
            <w:r>
              <w:rPr>
                <w:rFonts w:ascii="Arial Narrow" w:hAnsi="Arial Narrow"/>
              </w:rPr>
              <w:t>-0.077</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5D1E32B9" w14:textId="77777777" w:rsidR="004D6D04" w:rsidRDefault="004D6D04" w:rsidP="008016B6">
            <w:pPr>
              <w:jc w:val="center"/>
              <w:rPr>
                <w:rFonts w:ascii="Arial Narrow" w:hAnsi="Arial Narrow"/>
              </w:rPr>
            </w:pPr>
            <w:r>
              <w:rPr>
                <w:rFonts w:ascii="Arial Narrow" w:hAnsi="Arial Narrow"/>
              </w:rPr>
              <w:t>-0.235</w:t>
            </w:r>
          </w:p>
        </w:tc>
        <w:tc>
          <w:tcPr>
            <w:tcW w:w="2410" w:type="dxa"/>
            <w:tcBorders>
              <w:top w:val="single" w:sz="4" w:space="0" w:color="auto"/>
              <w:left w:val="thinThickThinLargeGap" w:sz="24" w:space="0" w:color="auto"/>
              <w:bottom w:val="single" w:sz="4" w:space="0" w:color="auto"/>
              <w:right w:val="single" w:sz="4" w:space="0" w:color="auto"/>
            </w:tcBorders>
          </w:tcPr>
          <w:p w14:paraId="6A8CD9AB" w14:textId="77777777" w:rsidR="004D6D04" w:rsidRDefault="004D6D04" w:rsidP="008016B6">
            <w:pPr>
              <w:rPr>
                <w:rFonts w:ascii="Arial Narrow" w:hAnsi="Arial Narrow"/>
                <w:i/>
              </w:rPr>
            </w:pPr>
            <w:r>
              <w:rPr>
                <w:rFonts w:ascii="Arial Narrow" w:hAnsi="Arial Narrow"/>
                <w:i/>
              </w:rPr>
              <w:t>Lithophyllon*</w:t>
            </w:r>
          </w:p>
        </w:tc>
        <w:tc>
          <w:tcPr>
            <w:tcW w:w="992" w:type="dxa"/>
            <w:tcBorders>
              <w:top w:val="single" w:sz="4" w:space="0" w:color="auto"/>
              <w:left w:val="single" w:sz="4" w:space="0" w:color="auto"/>
              <w:bottom w:val="single" w:sz="4" w:space="0" w:color="auto"/>
              <w:right w:val="single" w:sz="4" w:space="0" w:color="auto"/>
            </w:tcBorders>
            <w:vAlign w:val="center"/>
          </w:tcPr>
          <w:p w14:paraId="388755A1" w14:textId="77777777" w:rsidR="004D6D04" w:rsidRDefault="004D6D04" w:rsidP="008016B6">
            <w:pPr>
              <w:jc w:val="center"/>
              <w:rPr>
                <w:rFonts w:ascii="Arial Narrow" w:hAnsi="Arial Narrow"/>
              </w:rPr>
            </w:pPr>
          </w:p>
        </w:tc>
        <w:tc>
          <w:tcPr>
            <w:tcW w:w="993" w:type="dxa"/>
            <w:tcBorders>
              <w:top w:val="single" w:sz="4" w:space="0" w:color="auto"/>
              <w:left w:val="single" w:sz="4" w:space="0" w:color="auto"/>
              <w:bottom w:val="single" w:sz="4" w:space="0" w:color="auto"/>
              <w:right w:val="single" w:sz="4" w:space="0" w:color="auto"/>
            </w:tcBorders>
            <w:vAlign w:val="center"/>
          </w:tcPr>
          <w:p w14:paraId="3AECD988" w14:textId="77777777" w:rsidR="004D6D04" w:rsidRDefault="004D6D04" w:rsidP="008016B6">
            <w:pPr>
              <w:jc w:val="center"/>
              <w:rPr>
                <w:rFonts w:ascii="Arial Narrow" w:hAnsi="Arial Narrow"/>
              </w:rPr>
            </w:pPr>
            <w:r>
              <w:rPr>
                <w:rFonts w:ascii="Arial Narrow" w:hAnsi="Arial Narrow"/>
              </w:rPr>
              <w:t>-0.001</w:t>
            </w:r>
          </w:p>
        </w:tc>
      </w:tr>
      <w:tr w:rsidR="004D6D04" w14:paraId="7CE0190C"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68CBD873" w14:textId="77777777" w:rsidR="004D6D04" w:rsidRDefault="004D6D04" w:rsidP="008016B6">
            <w:pPr>
              <w:rPr>
                <w:rFonts w:ascii="Arial Narrow" w:hAnsi="Arial Narrow"/>
                <w:i/>
              </w:rPr>
            </w:pPr>
            <w:r>
              <w:rPr>
                <w:rFonts w:ascii="Arial Narrow" w:hAnsi="Arial Narrow"/>
                <w:i/>
              </w:rPr>
              <w:t>Favites</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6F3B9F5F" w14:textId="77777777" w:rsidR="004D6D04" w:rsidRDefault="004D6D04" w:rsidP="008016B6">
            <w:pPr>
              <w:jc w:val="center"/>
              <w:rPr>
                <w:rFonts w:ascii="Arial Narrow" w:hAnsi="Arial Narrow"/>
              </w:rPr>
            </w:pPr>
            <w:r>
              <w:rPr>
                <w:rFonts w:ascii="Arial Narrow" w:hAnsi="Arial Narrow"/>
              </w:rPr>
              <w:t>-0.096</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5D5DF96B" w14:textId="77777777" w:rsidR="004D6D04" w:rsidRDefault="004D6D04" w:rsidP="008016B6">
            <w:pPr>
              <w:jc w:val="center"/>
              <w:rPr>
                <w:rFonts w:ascii="Arial Narrow" w:hAnsi="Arial Narrow"/>
              </w:rPr>
            </w:pPr>
            <w:r>
              <w:rPr>
                <w:rFonts w:ascii="Arial Narrow" w:hAnsi="Arial Narrow"/>
              </w:rPr>
              <w:t>-0.230</w:t>
            </w:r>
          </w:p>
        </w:tc>
        <w:tc>
          <w:tcPr>
            <w:tcW w:w="2410" w:type="dxa"/>
            <w:tcBorders>
              <w:top w:val="single" w:sz="4" w:space="0" w:color="auto"/>
              <w:left w:val="thinThickThinLargeGap" w:sz="24" w:space="0" w:color="auto"/>
              <w:bottom w:val="single" w:sz="4" w:space="0" w:color="auto"/>
              <w:right w:val="single" w:sz="4" w:space="0" w:color="auto"/>
            </w:tcBorders>
          </w:tcPr>
          <w:p w14:paraId="79366C16" w14:textId="77777777" w:rsidR="004D6D04" w:rsidRDefault="004D6D04" w:rsidP="008016B6">
            <w:pPr>
              <w:rPr>
                <w:rFonts w:ascii="Arial Narrow" w:hAnsi="Arial Narrow"/>
                <w:i/>
              </w:rPr>
            </w:pPr>
            <w:r>
              <w:rPr>
                <w:rFonts w:ascii="Arial Narrow" w:hAnsi="Arial Narrow"/>
                <w:i/>
              </w:rPr>
              <w:t>Tubastrea*</w:t>
            </w:r>
          </w:p>
        </w:tc>
        <w:tc>
          <w:tcPr>
            <w:tcW w:w="992" w:type="dxa"/>
            <w:tcBorders>
              <w:top w:val="single" w:sz="4" w:space="0" w:color="auto"/>
              <w:left w:val="single" w:sz="4" w:space="0" w:color="auto"/>
              <w:bottom w:val="single" w:sz="4" w:space="0" w:color="auto"/>
              <w:right w:val="single" w:sz="4" w:space="0" w:color="auto"/>
            </w:tcBorders>
            <w:vAlign w:val="center"/>
          </w:tcPr>
          <w:p w14:paraId="37DD8F9D" w14:textId="77777777" w:rsidR="004D6D04" w:rsidRDefault="004D6D04" w:rsidP="008016B6">
            <w:pPr>
              <w:jc w:val="center"/>
              <w:rPr>
                <w:rFonts w:ascii="Arial Narrow" w:hAnsi="Arial Narrow"/>
              </w:rPr>
            </w:pPr>
            <w:r>
              <w:rPr>
                <w:rFonts w:ascii="Arial Narrow" w:hAnsi="Arial Narrow"/>
              </w:rPr>
              <w:t>0.005</w:t>
            </w:r>
          </w:p>
        </w:tc>
        <w:tc>
          <w:tcPr>
            <w:tcW w:w="993" w:type="dxa"/>
            <w:tcBorders>
              <w:top w:val="single" w:sz="4" w:space="0" w:color="auto"/>
              <w:left w:val="single" w:sz="4" w:space="0" w:color="auto"/>
              <w:bottom w:val="single" w:sz="4" w:space="0" w:color="auto"/>
              <w:right w:val="single" w:sz="4" w:space="0" w:color="auto"/>
            </w:tcBorders>
            <w:vAlign w:val="center"/>
          </w:tcPr>
          <w:p w14:paraId="49DB4B2F" w14:textId="77777777" w:rsidR="004D6D04" w:rsidRDefault="004D6D04" w:rsidP="008016B6">
            <w:pPr>
              <w:jc w:val="center"/>
              <w:rPr>
                <w:rFonts w:ascii="Arial Narrow" w:hAnsi="Arial Narrow"/>
              </w:rPr>
            </w:pPr>
            <w:r>
              <w:rPr>
                <w:rFonts w:ascii="Arial Narrow" w:hAnsi="Arial Narrow"/>
              </w:rPr>
              <w:t>-0.000</w:t>
            </w:r>
          </w:p>
        </w:tc>
      </w:tr>
      <w:tr w:rsidR="004D6D04" w14:paraId="76EDA6A8"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3C2DCC6F" w14:textId="77777777" w:rsidR="004D6D04" w:rsidRDefault="004D6D04" w:rsidP="008016B6">
            <w:pPr>
              <w:rPr>
                <w:rFonts w:ascii="Arial Narrow" w:hAnsi="Arial Narrow"/>
                <w:i/>
              </w:rPr>
            </w:pPr>
            <w:r>
              <w:rPr>
                <w:rFonts w:ascii="Arial Narrow" w:hAnsi="Arial Narrow"/>
                <w:i/>
              </w:rPr>
              <w:t xml:space="preserve">Alveopora </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44088787" w14:textId="77777777" w:rsidR="004D6D04" w:rsidRDefault="004D6D04" w:rsidP="008016B6">
            <w:pPr>
              <w:jc w:val="center"/>
              <w:rPr>
                <w:rFonts w:ascii="Arial Narrow" w:hAnsi="Arial Narrow"/>
              </w:rPr>
            </w:pPr>
            <w:r>
              <w:rPr>
                <w:rFonts w:ascii="Arial Narrow" w:hAnsi="Arial Narrow"/>
              </w:rPr>
              <w:t>-0.076</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164431A5" w14:textId="77777777" w:rsidR="004D6D04" w:rsidRDefault="004D6D04" w:rsidP="008016B6">
            <w:pPr>
              <w:jc w:val="center"/>
              <w:rPr>
                <w:rFonts w:ascii="Arial Narrow" w:hAnsi="Arial Narrow"/>
              </w:rPr>
            </w:pPr>
            <w:r>
              <w:rPr>
                <w:rFonts w:ascii="Arial Narrow" w:hAnsi="Arial Narrow"/>
              </w:rPr>
              <w:t>-0.221</w:t>
            </w:r>
          </w:p>
        </w:tc>
        <w:tc>
          <w:tcPr>
            <w:tcW w:w="2410" w:type="dxa"/>
            <w:tcBorders>
              <w:top w:val="single" w:sz="4" w:space="0" w:color="auto"/>
              <w:left w:val="thinThickThinLargeGap" w:sz="24" w:space="0" w:color="auto"/>
              <w:bottom w:val="single" w:sz="4" w:space="0" w:color="auto"/>
              <w:right w:val="single" w:sz="4" w:space="0" w:color="auto"/>
            </w:tcBorders>
          </w:tcPr>
          <w:p w14:paraId="5131341F" w14:textId="77777777" w:rsidR="004D6D04" w:rsidRDefault="004D6D04" w:rsidP="008016B6">
            <w:pPr>
              <w:rPr>
                <w:rFonts w:ascii="Arial Narrow" w:hAnsi="Arial Narrow"/>
                <w:i/>
              </w:rPr>
            </w:pPr>
            <w:r>
              <w:rPr>
                <w:rFonts w:ascii="Arial Narrow" w:hAnsi="Arial Narrow"/>
                <w:i/>
              </w:rPr>
              <w:t>Scolymia *</w:t>
            </w:r>
          </w:p>
        </w:tc>
        <w:tc>
          <w:tcPr>
            <w:tcW w:w="992" w:type="dxa"/>
            <w:tcBorders>
              <w:top w:val="single" w:sz="4" w:space="0" w:color="auto"/>
              <w:left w:val="single" w:sz="4" w:space="0" w:color="auto"/>
              <w:bottom w:val="single" w:sz="4" w:space="0" w:color="auto"/>
              <w:right w:val="single" w:sz="4" w:space="0" w:color="auto"/>
            </w:tcBorders>
            <w:vAlign w:val="center"/>
          </w:tcPr>
          <w:p w14:paraId="67A97767" w14:textId="77777777" w:rsidR="004D6D04" w:rsidRDefault="004D6D04" w:rsidP="008016B6">
            <w:pPr>
              <w:jc w:val="center"/>
              <w:rPr>
                <w:rFonts w:ascii="Arial Narrow" w:hAnsi="Arial Narrow"/>
              </w:rPr>
            </w:pPr>
            <w:r>
              <w:rPr>
                <w:rFonts w:ascii="Arial Narrow" w:hAnsi="Arial Narrow"/>
              </w:rPr>
              <w:t>0.001</w:t>
            </w:r>
          </w:p>
        </w:tc>
        <w:tc>
          <w:tcPr>
            <w:tcW w:w="993" w:type="dxa"/>
            <w:tcBorders>
              <w:top w:val="single" w:sz="4" w:space="0" w:color="auto"/>
              <w:left w:val="single" w:sz="4" w:space="0" w:color="auto"/>
              <w:bottom w:val="single" w:sz="4" w:space="0" w:color="auto"/>
              <w:right w:val="single" w:sz="4" w:space="0" w:color="auto"/>
            </w:tcBorders>
            <w:vAlign w:val="center"/>
          </w:tcPr>
          <w:p w14:paraId="6B56AB11" w14:textId="77777777" w:rsidR="004D6D04" w:rsidRDefault="004D6D04" w:rsidP="008016B6">
            <w:pPr>
              <w:jc w:val="center"/>
              <w:rPr>
                <w:rFonts w:ascii="Arial Narrow" w:hAnsi="Arial Narrow"/>
              </w:rPr>
            </w:pPr>
            <w:r>
              <w:rPr>
                <w:rFonts w:ascii="Arial Narrow" w:hAnsi="Arial Narrow"/>
              </w:rPr>
              <w:t>0.000</w:t>
            </w:r>
          </w:p>
        </w:tc>
      </w:tr>
      <w:tr w:rsidR="004D6D04" w14:paraId="7C5CE01C"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161F620F" w14:textId="77777777" w:rsidR="004D6D04" w:rsidRDefault="004D6D04" w:rsidP="008016B6">
            <w:pPr>
              <w:rPr>
                <w:rFonts w:ascii="Arial Narrow" w:hAnsi="Arial Narrow"/>
                <w:i/>
              </w:rPr>
            </w:pPr>
            <w:r>
              <w:rPr>
                <w:rFonts w:ascii="Arial Narrow" w:hAnsi="Arial Narrow"/>
                <w:i/>
              </w:rPr>
              <w:t>Hydnophora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4D01A9FF" w14:textId="77777777" w:rsidR="004D6D04" w:rsidRDefault="004D6D04" w:rsidP="008016B6">
            <w:pPr>
              <w:jc w:val="center"/>
              <w:rPr>
                <w:rFonts w:ascii="Arial Narrow" w:hAnsi="Arial Narrow"/>
              </w:rPr>
            </w:pPr>
            <w:r>
              <w:rPr>
                <w:rFonts w:ascii="Arial Narrow" w:hAnsi="Arial Narrow"/>
              </w:rPr>
              <w:t>-0.047</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53E37F97" w14:textId="77777777" w:rsidR="004D6D04" w:rsidRDefault="004D6D04" w:rsidP="008016B6">
            <w:pPr>
              <w:jc w:val="center"/>
              <w:rPr>
                <w:rFonts w:ascii="Arial Narrow" w:hAnsi="Arial Narrow"/>
              </w:rPr>
            </w:pPr>
            <w:r>
              <w:rPr>
                <w:rFonts w:ascii="Arial Narrow" w:hAnsi="Arial Narrow"/>
              </w:rPr>
              <w:t>-0.213</w:t>
            </w:r>
          </w:p>
        </w:tc>
        <w:tc>
          <w:tcPr>
            <w:tcW w:w="2410" w:type="dxa"/>
            <w:tcBorders>
              <w:top w:val="single" w:sz="4" w:space="0" w:color="auto"/>
              <w:left w:val="thinThickThinLargeGap" w:sz="24" w:space="0" w:color="auto"/>
              <w:bottom w:val="single" w:sz="4" w:space="0" w:color="auto"/>
              <w:right w:val="single" w:sz="4" w:space="0" w:color="auto"/>
            </w:tcBorders>
          </w:tcPr>
          <w:p w14:paraId="59A2A988" w14:textId="77777777" w:rsidR="004D6D04" w:rsidRDefault="004D6D04" w:rsidP="008016B6">
            <w:pPr>
              <w:rPr>
                <w:rFonts w:ascii="Arial Narrow" w:hAnsi="Arial Narrow"/>
                <w:i/>
              </w:rPr>
            </w:pPr>
            <w:r>
              <w:rPr>
                <w:rFonts w:ascii="Arial Narrow" w:hAnsi="Arial Narrow"/>
                <w:i/>
              </w:rPr>
              <w:t>Ctenactis *</w:t>
            </w:r>
          </w:p>
        </w:tc>
        <w:tc>
          <w:tcPr>
            <w:tcW w:w="992" w:type="dxa"/>
            <w:tcBorders>
              <w:top w:val="single" w:sz="4" w:space="0" w:color="auto"/>
              <w:left w:val="single" w:sz="4" w:space="0" w:color="auto"/>
              <w:bottom w:val="single" w:sz="4" w:space="0" w:color="auto"/>
              <w:right w:val="single" w:sz="4" w:space="0" w:color="auto"/>
            </w:tcBorders>
            <w:vAlign w:val="center"/>
          </w:tcPr>
          <w:p w14:paraId="504EB2E7" w14:textId="77777777" w:rsidR="004D6D04" w:rsidRDefault="004D6D04" w:rsidP="008016B6">
            <w:pPr>
              <w:jc w:val="center"/>
              <w:rPr>
                <w:rFonts w:ascii="Arial Narrow" w:hAnsi="Arial Narrow"/>
              </w:rPr>
            </w:pPr>
            <w:r>
              <w:rPr>
                <w:rFonts w:ascii="Arial Narrow" w:hAnsi="Arial Narrow"/>
              </w:rPr>
              <w:t>0.016</w:t>
            </w:r>
          </w:p>
        </w:tc>
        <w:tc>
          <w:tcPr>
            <w:tcW w:w="993" w:type="dxa"/>
            <w:tcBorders>
              <w:top w:val="single" w:sz="4" w:space="0" w:color="auto"/>
              <w:left w:val="single" w:sz="4" w:space="0" w:color="auto"/>
              <w:bottom w:val="single" w:sz="4" w:space="0" w:color="auto"/>
              <w:right w:val="single" w:sz="4" w:space="0" w:color="auto"/>
            </w:tcBorders>
            <w:vAlign w:val="center"/>
          </w:tcPr>
          <w:p w14:paraId="7632225A" w14:textId="77777777" w:rsidR="004D6D04" w:rsidRDefault="004D6D04" w:rsidP="008016B6">
            <w:pPr>
              <w:jc w:val="center"/>
              <w:rPr>
                <w:rFonts w:ascii="Arial Narrow" w:hAnsi="Arial Narrow"/>
              </w:rPr>
            </w:pPr>
            <w:r>
              <w:rPr>
                <w:rFonts w:ascii="Arial Narrow" w:hAnsi="Arial Narrow"/>
              </w:rPr>
              <w:t>0.001</w:t>
            </w:r>
          </w:p>
        </w:tc>
      </w:tr>
      <w:tr w:rsidR="004D6D04" w14:paraId="4BF6A11B"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120E9779" w14:textId="77777777" w:rsidR="004D6D04" w:rsidRDefault="004D6D04" w:rsidP="008016B6">
            <w:pPr>
              <w:rPr>
                <w:rFonts w:ascii="Arial Narrow" w:hAnsi="Arial Narrow"/>
                <w:i/>
              </w:rPr>
            </w:pPr>
            <w:r>
              <w:rPr>
                <w:rFonts w:ascii="Arial Narrow" w:hAnsi="Arial Narrow"/>
                <w:i/>
              </w:rPr>
              <w:t>Cyphastrea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54D5B5D4" w14:textId="77777777" w:rsidR="004D6D04" w:rsidRDefault="004D6D04" w:rsidP="008016B6">
            <w:pPr>
              <w:jc w:val="center"/>
              <w:rPr>
                <w:rFonts w:ascii="Arial Narrow" w:hAnsi="Arial Narrow"/>
              </w:rPr>
            </w:pPr>
            <w:r>
              <w:rPr>
                <w:rFonts w:ascii="Arial Narrow" w:hAnsi="Arial Narrow"/>
              </w:rPr>
              <w:t>-0.386</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25AD5AB0" w14:textId="77777777" w:rsidR="004D6D04" w:rsidRDefault="004D6D04" w:rsidP="008016B6">
            <w:pPr>
              <w:jc w:val="center"/>
              <w:rPr>
                <w:rFonts w:ascii="Arial Narrow" w:hAnsi="Arial Narrow"/>
              </w:rPr>
            </w:pPr>
            <w:r>
              <w:rPr>
                <w:rFonts w:ascii="Arial Narrow" w:hAnsi="Arial Narrow"/>
              </w:rPr>
              <w:t>-0.193</w:t>
            </w:r>
          </w:p>
        </w:tc>
        <w:tc>
          <w:tcPr>
            <w:tcW w:w="2410" w:type="dxa"/>
            <w:tcBorders>
              <w:top w:val="single" w:sz="4" w:space="0" w:color="auto"/>
              <w:left w:val="thinThickThinLargeGap" w:sz="24" w:space="0" w:color="auto"/>
              <w:bottom w:val="single" w:sz="4" w:space="0" w:color="auto"/>
              <w:right w:val="single" w:sz="4" w:space="0" w:color="auto"/>
            </w:tcBorders>
          </w:tcPr>
          <w:p w14:paraId="067CCF28" w14:textId="77777777" w:rsidR="004D6D04" w:rsidRDefault="004D6D04" w:rsidP="008016B6">
            <w:pPr>
              <w:rPr>
                <w:rFonts w:ascii="Arial Narrow" w:hAnsi="Arial Narrow"/>
                <w:i/>
              </w:rPr>
            </w:pPr>
            <w:r>
              <w:rPr>
                <w:rFonts w:ascii="Arial Narrow" w:hAnsi="Arial Narrow"/>
                <w:i/>
              </w:rPr>
              <w:t>Anacropora *</w:t>
            </w:r>
          </w:p>
        </w:tc>
        <w:tc>
          <w:tcPr>
            <w:tcW w:w="992" w:type="dxa"/>
            <w:tcBorders>
              <w:top w:val="single" w:sz="4" w:space="0" w:color="auto"/>
              <w:left w:val="single" w:sz="4" w:space="0" w:color="auto"/>
              <w:bottom w:val="single" w:sz="4" w:space="0" w:color="auto"/>
              <w:right w:val="single" w:sz="4" w:space="0" w:color="auto"/>
            </w:tcBorders>
            <w:vAlign w:val="center"/>
          </w:tcPr>
          <w:p w14:paraId="7D23F45D" w14:textId="77777777" w:rsidR="004D6D04" w:rsidRDefault="004D6D04" w:rsidP="008016B6">
            <w:pPr>
              <w:jc w:val="center"/>
              <w:rPr>
                <w:rFonts w:ascii="Arial Narrow" w:hAnsi="Arial Narrow"/>
              </w:rPr>
            </w:pPr>
          </w:p>
        </w:tc>
        <w:tc>
          <w:tcPr>
            <w:tcW w:w="993" w:type="dxa"/>
            <w:tcBorders>
              <w:top w:val="single" w:sz="4" w:space="0" w:color="auto"/>
              <w:left w:val="single" w:sz="4" w:space="0" w:color="auto"/>
              <w:bottom w:val="single" w:sz="4" w:space="0" w:color="auto"/>
              <w:right w:val="single" w:sz="4" w:space="0" w:color="auto"/>
            </w:tcBorders>
            <w:vAlign w:val="center"/>
          </w:tcPr>
          <w:p w14:paraId="676294E2" w14:textId="77777777" w:rsidR="004D6D04" w:rsidRDefault="004D6D04" w:rsidP="008016B6">
            <w:pPr>
              <w:jc w:val="center"/>
              <w:rPr>
                <w:rFonts w:ascii="Arial Narrow" w:hAnsi="Arial Narrow"/>
              </w:rPr>
            </w:pPr>
            <w:r>
              <w:rPr>
                <w:rFonts w:ascii="Arial Narrow" w:hAnsi="Arial Narrow"/>
              </w:rPr>
              <w:t>0.001</w:t>
            </w:r>
          </w:p>
        </w:tc>
      </w:tr>
      <w:tr w:rsidR="004D6D04" w14:paraId="2546C109"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4F8F5E14" w14:textId="77777777" w:rsidR="004D6D04" w:rsidRDefault="004D6D04" w:rsidP="008016B6">
            <w:pPr>
              <w:rPr>
                <w:rFonts w:ascii="Arial Narrow" w:hAnsi="Arial Narrow"/>
                <w:i/>
              </w:rPr>
            </w:pPr>
            <w:r>
              <w:rPr>
                <w:rFonts w:ascii="Arial Narrow" w:hAnsi="Arial Narrow"/>
                <w:i/>
              </w:rPr>
              <w:t>Galaxea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4A18F3DD" w14:textId="77777777" w:rsidR="004D6D04" w:rsidRDefault="004D6D04" w:rsidP="008016B6">
            <w:pPr>
              <w:jc w:val="center"/>
              <w:rPr>
                <w:rFonts w:ascii="Arial Narrow" w:hAnsi="Arial Narrow"/>
              </w:rPr>
            </w:pPr>
            <w:r>
              <w:rPr>
                <w:rFonts w:ascii="Arial Narrow" w:hAnsi="Arial Narrow"/>
              </w:rPr>
              <w:t>-0.081</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3A5053E1" w14:textId="77777777" w:rsidR="004D6D04" w:rsidRDefault="004D6D04" w:rsidP="008016B6">
            <w:pPr>
              <w:jc w:val="center"/>
              <w:rPr>
                <w:rFonts w:ascii="Arial Narrow" w:hAnsi="Arial Narrow"/>
              </w:rPr>
            </w:pPr>
            <w:r>
              <w:rPr>
                <w:rFonts w:ascii="Arial Narrow" w:hAnsi="Arial Narrow"/>
              </w:rPr>
              <w:t>-0.159</w:t>
            </w:r>
          </w:p>
        </w:tc>
        <w:tc>
          <w:tcPr>
            <w:tcW w:w="2410" w:type="dxa"/>
            <w:tcBorders>
              <w:top w:val="single" w:sz="4" w:space="0" w:color="auto"/>
              <w:left w:val="thinThickThinLargeGap" w:sz="24" w:space="0" w:color="auto"/>
              <w:bottom w:val="single" w:sz="4" w:space="0" w:color="auto"/>
              <w:right w:val="single" w:sz="4" w:space="0" w:color="auto"/>
            </w:tcBorders>
          </w:tcPr>
          <w:p w14:paraId="36AEBC79" w14:textId="77777777" w:rsidR="004D6D04" w:rsidRDefault="004D6D04" w:rsidP="008016B6">
            <w:pPr>
              <w:rPr>
                <w:rFonts w:ascii="Arial Narrow" w:hAnsi="Arial Narrow"/>
              </w:rPr>
            </w:pPr>
            <w:r>
              <w:rPr>
                <w:rFonts w:ascii="Arial Narrow" w:hAnsi="Arial Narrow"/>
                <w:i/>
              </w:rPr>
              <w:t>Physogyra</w:t>
            </w:r>
          </w:p>
        </w:tc>
        <w:tc>
          <w:tcPr>
            <w:tcW w:w="992" w:type="dxa"/>
            <w:tcBorders>
              <w:top w:val="single" w:sz="4" w:space="0" w:color="auto"/>
              <w:left w:val="single" w:sz="4" w:space="0" w:color="auto"/>
              <w:bottom w:val="single" w:sz="4" w:space="0" w:color="auto"/>
              <w:right w:val="single" w:sz="4" w:space="0" w:color="auto"/>
            </w:tcBorders>
            <w:vAlign w:val="center"/>
          </w:tcPr>
          <w:p w14:paraId="688150B6" w14:textId="77777777" w:rsidR="004D6D04" w:rsidRDefault="004D6D04" w:rsidP="008016B6">
            <w:pPr>
              <w:jc w:val="center"/>
              <w:rPr>
                <w:rFonts w:ascii="Arial Narrow" w:hAnsi="Arial Narrow"/>
              </w:rPr>
            </w:pPr>
            <w:r>
              <w:rPr>
                <w:rFonts w:ascii="Arial Narrow" w:hAnsi="Arial Narrow"/>
              </w:rPr>
              <w:t>0</w:t>
            </w:r>
          </w:p>
        </w:tc>
        <w:tc>
          <w:tcPr>
            <w:tcW w:w="993" w:type="dxa"/>
            <w:tcBorders>
              <w:top w:val="single" w:sz="4" w:space="0" w:color="auto"/>
              <w:left w:val="single" w:sz="4" w:space="0" w:color="auto"/>
              <w:bottom w:val="single" w:sz="4" w:space="0" w:color="auto"/>
              <w:right w:val="single" w:sz="4" w:space="0" w:color="auto"/>
            </w:tcBorders>
            <w:vAlign w:val="center"/>
          </w:tcPr>
          <w:p w14:paraId="44023F64" w14:textId="77777777" w:rsidR="004D6D04" w:rsidRDefault="004D6D04" w:rsidP="008016B6">
            <w:pPr>
              <w:jc w:val="center"/>
              <w:rPr>
                <w:rFonts w:ascii="Arial Narrow" w:hAnsi="Arial Narrow"/>
              </w:rPr>
            </w:pPr>
            <w:r>
              <w:rPr>
                <w:rFonts w:ascii="Arial Narrow" w:hAnsi="Arial Narrow"/>
              </w:rPr>
              <w:t>0.001</w:t>
            </w:r>
          </w:p>
        </w:tc>
      </w:tr>
      <w:tr w:rsidR="004D6D04" w14:paraId="7DD26FBA"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26684AB7" w14:textId="77777777" w:rsidR="004D6D04" w:rsidRDefault="004D6D04" w:rsidP="008016B6">
            <w:pPr>
              <w:rPr>
                <w:rFonts w:ascii="Arial Narrow" w:hAnsi="Arial Narrow"/>
                <w:i/>
              </w:rPr>
            </w:pPr>
            <w:r>
              <w:rPr>
                <w:rFonts w:ascii="Arial Narrow" w:hAnsi="Arial Narrow"/>
                <w:i/>
              </w:rPr>
              <w:t>Mycedium</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0A071D29" w14:textId="77777777" w:rsidR="004D6D04" w:rsidRDefault="004D6D04" w:rsidP="008016B6">
            <w:pPr>
              <w:jc w:val="center"/>
              <w:rPr>
                <w:rFonts w:ascii="Arial Narrow" w:hAnsi="Arial Narrow"/>
              </w:rPr>
            </w:pPr>
            <w:r>
              <w:rPr>
                <w:rFonts w:ascii="Arial Narrow" w:hAnsi="Arial Narrow"/>
              </w:rPr>
              <w:t>-0.017</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4DF656BB" w14:textId="77777777" w:rsidR="004D6D04" w:rsidRDefault="004D6D04" w:rsidP="008016B6">
            <w:pPr>
              <w:jc w:val="center"/>
              <w:rPr>
                <w:rFonts w:ascii="Arial Narrow" w:hAnsi="Arial Narrow"/>
              </w:rPr>
            </w:pPr>
            <w:r>
              <w:rPr>
                <w:rFonts w:ascii="Arial Narrow" w:hAnsi="Arial Narrow"/>
              </w:rPr>
              <w:t>-0.151</w:t>
            </w:r>
          </w:p>
        </w:tc>
        <w:tc>
          <w:tcPr>
            <w:tcW w:w="2410" w:type="dxa"/>
            <w:tcBorders>
              <w:top w:val="single" w:sz="4" w:space="0" w:color="auto"/>
              <w:left w:val="thinThickThinLargeGap" w:sz="24" w:space="0" w:color="auto"/>
              <w:bottom w:val="single" w:sz="4" w:space="0" w:color="auto"/>
              <w:right w:val="single" w:sz="4" w:space="0" w:color="auto"/>
            </w:tcBorders>
          </w:tcPr>
          <w:p w14:paraId="7E6A1D8B" w14:textId="77777777" w:rsidR="004D6D04" w:rsidRDefault="004D6D04" w:rsidP="008016B6">
            <w:pPr>
              <w:rPr>
                <w:rFonts w:ascii="Arial Narrow" w:hAnsi="Arial Narrow"/>
                <w:i/>
              </w:rPr>
            </w:pPr>
            <w:r>
              <w:rPr>
                <w:rFonts w:ascii="Arial Narrow" w:hAnsi="Arial Narrow"/>
                <w:i/>
              </w:rPr>
              <w:t>Cynarina *</w:t>
            </w:r>
          </w:p>
        </w:tc>
        <w:tc>
          <w:tcPr>
            <w:tcW w:w="992" w:type="dxa"/>
            <w:tcBorders>
              <w:top w:val="single" w:sz="4" w:space="0" w:color="auto"/>
              <w:left w:val="single" w:sz="4" w:space="0" w:color="auto"/>
              <w:bottom w:val="single" w:sz="4" w:space="0" w:color="auto"/>
              <w:right w:val="single" w:sz="4" w:space="0" w:color="auto"/>
            </w:tcBorders>
            <w:vAlign w:val="center"/>
          </w:tcPr>
          <w:p w14:paraId="47FC66FD" w14:textId="77777777" w:rsidR="004D6D04" w:rsidRDefault="004D6D04" w:rsidP="008016B6">
            <w:pPr>
              <w:jc w:val="center"/>
              <w:rPr>
                <w:rFonts w:ascii="Arial Narrow" w:hAnsi="Arial Narrow"/>
              </w:rPr>
            </w:pPr>
            <w:r>
              <w:rPr>
                <w:rFonts w:ascii="Arial Narrow" w:hAnsi="Arial Narrow"/>
              </w:rPr>
              <w:t>-0.000</w:t>
            </w:r>
          </w:p>
        </w:tc>
        <w:tc>
          <w:tcPr>
            <w:tcW w:w="993" w:type="dxa"/>
            <w:tcBorders>
              <w:top w:val="single" w:sz="4" w:space="0" w:color="auto"/>
              <w:left w:val="single" w:sz="4" w:space="0" w:color="auto"/>
              <w:bottom w:val="single" w:sz="4" w:space="0" w:color="auto"/>
              <w:right w:val="single" w:sz="4" w:space="0" w:color="auto"/>
            </w:tcBorders>
            <w:vAlign w:val="center"/>
          </w:tcPr>
          <w:p w14:paraId="3907DDBD" w14:textId="77777777" w:rsidR="004D6D04" w:rsidRDefault="004D6D04" w:rsidP="008016B6">
            <w:pPr>
              <w:jc w:val="center"/>
              <w:rPr>
                <w:rFonts w:ascii="Arial Narrow" w:hAnsi="Arial Narrow"/>
              </w:rPr>
            </w:pPr>
            <w:r>
              <w:rPr>
                <w:rFonts w:ascii="Arial Narrow" w:hAnsi="Arial Narrow"/>
              </w:rPr>
              <w:t>0.004</w:t>
            </w:r>
          </w:p>
        </w:tc>
      </w:tr>
      <w:tr w:rsidR="004D6D04" w14:paraId="2C64193D"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0D152B22" w14:textId="77777777" w:rsidR="004D6D04" w:rsidRDefault="004D6D04" w:rsidP="008016B6">
            <w:pPr>
              <w:rPr>
                <w:rFonts w:ascii="Arial Narrow" w:hAnsi="Arial Narrow"/>
                <w:i/>
              </w:rPr>
            </w:pPr>
            <w:r>
              <w:rPr>
                <w:rFonts w:ascii="Arial Narrow" w:hAnsi="Arial Narrow"/>
                <w:i/>
              </w:rPr>
              <w:t>Favia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002474DF" w14:textId="77777777" w:rsidR="004D6D04" w:rsidRDefault="004D6D04" w:rsidP="008016B6">
            <w:pPr>
              <w:jc w:val="center"/>
              <w:rPr>
                <w:rFonts w:ascii="Arial Narrow" w:hAnsi="Arial Narrow"/>
              </w:rPr>
            </w:pPr>
            <w:r>
              <w:rPr>
                <w:rFonts w:ascii="Arial Narrow" w:hAnsi="Arial Narrow"/>
              </w:rPr>
              <w:t>-0.134</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11A4475C" w14:textId="77777777" w:rsidR="004D6D04" w:rsidRDefault="004D6D04" w:rsidP="008016B6">
            <w:pPr>
              <w:jc w:val="center"/>
              <w:rPr>
                <w:rFonts w:ascii="Arial Narrow" w:hAnsi="Arial Narrow"/>
              </w:rPr>
            </w:pPr>
            <w:r>
              <w:rPr>
                <w:rFonts w:ascii="Arial Narrow" w:hAnsi="Arial Narrow"/>
              </w:rPr>
              <w:t>-0.136</w:t>
            </w:r>
          </w:p>
        </w:tc>
        <w:tc>
          <w:tcPr>
            <w:tcW w:w="2410" w:type="dxa"/>
            <w:tcBorders>
              <w:top w:val="single" w:sz="4" w:space="0" w:color="auto"/>
              <w:left w:val="thinThickThinLargeGap" w:sz="24" w:space="0" w:color="auto"/>
              <w:bottom w:val="single" w:sz="4" w:space="0" w:color="auto"/>
              <w:right w:val="single" w:sz="4" w:space="0" w:color="auto"/>
            </w:tcBorders>
          </w:tcPr>
          <w:p w14:paraId="66525EAD" w14:textId="77777777" w:rsidR="004D6D04" w:rsidRDefault="004D6D04" w:rsidP="008016B6">
            <w:pPr>
              <w:rPr>
                <w:rFonts w:ascii="Arial Narrow" w:hAnsi="Arial Narrow"/>
                <w:i/>
              </w:rPr>
            </w:pPr>
            <w:r>
              <w:rPr>
                <w:rFonts w:ascii="Arial Narrow" w:hAnsi="Arial Narrow"/>
                <w:i/>
              </w:rPr>
              <w:t>Sandalolitha*</w:t>
            </w:r>
          </w:p>
        </w:tc>
        <w:tc>
          <w:tcPr>
            <w:tcW w:w="992" w:type="dxa"/>
            <w:tcBorders>
              <w:top w:val="single" w:sz="4" w:space="0" w:color="auto"/>
              <w:left w:val="single" w:sz="4" w:space="0" w:color="auto"/>
              <w:bottom w:val="single" w:sz="4" w:space="0" w:color="auto"/>
              <w:right w:val="single" w:sz="4" w:space="0" w:color="auto"/>
            </w:tcBorders>
            <w:vAlign w:val="center"/>
          </w:tcPr>
          <w:p w14:paraId="0106FB48" w14:textId="77777777" w:rsidR="004D6D04" w:rsidRDefault="004D6D04" w:rsidP="008016B6">
            <w:pPr>
              <w:jc w:val="center"/>
              <w:rPr>
                <w:rFonts w:ascii="Arial Narrow" w:hAnsi="Arial Narrow"/>
              </w:rPr>
            </w:pPr>
            <w:r>
              <w:rPr>
                <w:rFonts w:ascii="Arial Narrow" w:hAnsi="Arial Narrow"/>
              </w:rPr>
              <w:t>0.003</w:t>
            </w:r>
          </w:p>
        </w:tc>
        <w:tc>
          <w:tcPr>
            <w:tcW w:w="993" w:type="dxa"/>
            <w:tcBorders>
              <w:top w:val="single" w:sz="4" w:space="0" w:color="auto"/>
              <w:left w:val="single" w:sz="4" w:space="0" w:color="auto"/>
              <w:bottom w:val="single" w:sz="4" w:space="0" w:color="auto"/>
              <w:right w:val="single" w:sz="4" w:space="0" w:color="auto"/>
            </w:tcBorders>
            <w:vAlign w:val="center"/>
          </w:tcPr>
          <w:p w14:paraId="03E2BC72" w14:textId="77777777" w:rsidR="004D6D04" w:rsidRDefault="004D6D04" w:rsidP="008016B6">
            <w:pPr>
              <w:jc w:val="center"/>
              <w:rPr>
                <w:rFonts w:ascii="Arial Narrow" w:hAnsi="Arial Narrow"/>
              </w:rPr>
            </w:pPr>
            <w:r>
              <w:rPr>
                <w:rFonts w:ascii="Arial Narrow" w:hAnsi="Arial Narrow"/>
              </w:rPr>
              <w:t>0.005</w:t>
            </w:r>
          </w:p>
        </w:tc>
      </w:tr>
      <w:tr w:rsidR="004D6D04" w14:paraId="7FD0BCDD"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17290480" w14:textId="77777777" w:rsidR="004D6D04" w:rsidRDefault="004D6D04" w:rsidP="008016B6">
            <w:pPr>
              <w:rPr>
                <w:rFonts w:ascii="Arial Narrow" w:hAnsi="Arial Narrow"/>
                <w:i/>
              </w:rPr>
            </w:pPr>
            <w:r>
              <w:rPr>
                <w:rFonts w:ascii="Arial Narrow" w:hAnsi="Arial Narrow"/>
                <w:i/>
              </w:rPr>
              <w:t>Pectinia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1B9E53B1" w14:textId="77777777" w:rsidR="004D6D04" w:rsidRDefault="004D6D04" w:rsidP="008016B6">
            <w:pPr>
              <w:jc w:val="center"/>
              <w:rPr>
                <w:rFonts w:ascii="Arial Narrow" w:hAnsi="Arial Narrow"/>
              </w:rPr>
            </w:pPr>
            <w:r>
              <w:rPr>
                <w:rFonts w:ascii="Arial Narrow" w:hAnsi="Arial Narrow"/>
              </w:rPr>
              <w:t>-0.030</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23FD7D70" w14:textId="77777777" w:rsidR="004D6D04" w:rsidRDefault="004D6D04" w:rsidP="008016B6">
            <w:pPr>
              <w:jc w:val="center"/>
              <w:rPr>
                <w:rFonts w:ascii="Arial Narrow" w:hAnsi="Arial Narrow"/>
              </w:rPr>
            </w:pPr>
            <w:r>
              <w:rPr>
                <w:rFonts w:ascii="Arial Narrow" w:hAnsi="Arial Narrow"/>
              </w:rPr>
              <w:t>-0.126</w:t>
            </w:r>
          </w:p>
        </w:tc>
        <w:tc>
          <w:tcPr>
            <w:tcW w:w="2410" w:type="dxa"/>
            <w:tcBorders>
              <w:top w:val="single" w:sz="4" w:space="0" w:color="auto"/>
              <w:left w:val="thinThickThinLargeGap" w:sz="24" w:space="0" w:color="auto"/>
              <w:bottom w:val="single" w:sz="4" w:space="0" w:color="auto"/>
              <w:right w:val="single" w:sz="4" w:space="0" w:color="auto"/>
            </w:tcBorders>
          </w:tcPr>
          <w:p w14:paraId="4EC2027F" w14:textId="77777777" w:rsidR="004D6D04" w:rsidRDefault="004D6D04" w:rsidP="008016B6">
            <w:pPr>
              <w:rPr>
                <w:rFonts w:ascii="Arial Narrow" w:hAnsi="Arial Narrow"/>
                <w:i/>
              </w:rPr>
            </w:pPr>
            <w:r>
              <w:rPr>
                <w:rFonts w:ascii="Arial Narrow" w:hAnsi="Arial Narrow"/>
                <w:i/>
              </w:rPr>
              <w:t>Montastrea</w:t>
            </w:r>
          </w:p>
        </w:tc>
        <w:tc>
          <w:tcPr>
            <w:tcW w:w="992" w:type="dxa"/>
            <w:tcBorders>
              <w:top w:val="single" w:sz="4" w:space="0" w:color="auto"/>
              <w:left w:val="single" w:sz="4" w:space="0" w:color="auto"/>
              <w:bottom w:val="single" w:sz="4" w:space="0" w:color="auto"/>
              <w:right w:val="single" w:sz="4" w:space="0" w:color="auto"/>
            </w:tcBorders>
            <w:vAlign w:val="center"/>
          </w:tcPr>
          <w:p w14:paraId="03E6AB4D" w14:textId="77777777" w:rsidR="004D6D04" w:rsidRDefault="004D6D04" w:rsidP="008016B6">
            <w:pPr>
              <w:jc w:val="center"/>
              <w:rPr>
                <w:rFonts w:ascii="Arial Narrow" w:hAnsi="Arial Narrow"/>
              </w:rPr>
            </w:pPr>
            <w:r>
              <w:rPr>
                <w:rFonts w:ascii="Arial Narrow" w:hAnsi="Arial Narrow"/>
              </w:rPr>
              <w:t>0.019</w:t>
            </w:r>
          </w:p>
        </w:tc>
        <w:tc>
          <w:tcPr>
            <w:tcW w:w="993" w:type="dxa"/>
            <w:tcBorders>
              <w:top w:val="single" w:sz="4" w:space="0" w:color="auto"/>
              <w:left w:val="single" w:sz="4" w:space="0" w:color="auto"/>
              <w:bottom w:val="single" w:sz="4" w:space="0" w:color="auto"/>
              <w:right w:val="single" w:sz="4" w:space="0" w:color="auto"/>
            </w:tcBorders>
            <w:vAlign w:val="center"/>
          </w:tcPr>
          <w:p w14:paraId="43466D02" w14:textId="77777777" w:rsidR="004D6D04" w:rsidRDefault="004D6D04" w:rsidP="008016B6">
            <w:pPr>
              <w:jc w:val="center"/>
              <w:rPr>
                <w:rFonts w:ascii="Arial Narrow" w:hAnsi="Arial Narrow"/>
              </w:rPr>
            </w:pPr>
            <w:r>
              <w:rPr>
                <w:rFonts w:ascii="Arial Narrow" w:hAnsi="Arial Narrow"/>
              </w:rPr>
              <w:t>0.005</w:t>
            </w:r>
          </w:p>
        </w:tc>
      </w:tr>
      <w:tr w:rsidR="004D6D04" w14:paraId="4545D7E2"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05EA7402" w14:textId="77777777" w:rsidR="004D6D04" w:rsidRDefault="004D6D04" w:rsidP="008016B6">
            <w:pPr>
              <w:rPr>
                <w:rFonts w:ascii="Arial Narrow" w:hAnsi="Arial Narrow"/>
                <w:i/>
              </w:rPr>
            </w:pPr>
            <w:r>
              <w:rPr>
                <w:rFonts w:ascii="Arial Narrow" w:hAnsi="Arial Narrow"/>
                <w:i/>
              </w:rPr>
              <w:t>Podobacia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0E711ED0" w14:textId="77777777" w:rsidR="004D6D04" w:rsidRDefault="004D6D04" w:rsidP="008016B6">
            <w:pPr>
              <w:jc w:val="center"/>
              <w:rPr>
                <w:rFonts w:ascii="Arial Narrow" w:hAnsi="Arial Narrow"/>
              </w:rPr>
            </w:pPr>
            <w:r>
              <w:rPr>
                <w:rFonts w:ascii="Arial Narrow" w:hAnsi="Arial Narrow"/>
              </w:rPr>
              <w:t>-0.025</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24B7B9E0" w14:textId="77777777" w:rsidR="004D6D04" w:rsidRDefault="004D6D04" w:rsidP="008016B6">
            <w:pPr>
              <w:jc w:val="center"/>
              <w:rPr>
                <w:rFonts w:ascii="Arial Narrow" w:hAnsi="Arial Narrow"/>
              </w:rPr>
            </w:pPr>
            <w:r>
              <w:rPr>
                <w:rFonts w:ascii="Arial Narrow" w:hAnsi="Arial Narrow"/>
              </w:rPr>
              <w:t>-0.122</w:t>
            </w:r>
          </w:p>
        </w:tc>
        <w:tc>
          <w:tcPr>
            <w:tcW w:w="2410" w:type="dxa"/>
            <w:tcBorders>
              <w:top w:val="single" w:sz="4" w:space="0" w:color="auto"/>
              <w:left w:val="thinThickThinLargeGap" w:sz="24" w:space="0" w:color="auto"/>
              <w:bottom w:val="single" w:sz="4" w:space="0" w:color="auto"/>
              <w:right w:val="single" w:sz="4" w:space="0" w:color="auto"/>
            </w:tcBorders>
          </w:tcPr>
          <w:p w14:paraId="37629593" w14:textId="77777777" w:rsidR="004D6D04" w:rsidRDefault="004D6D04" w:rsidP="008016B6">
            <w:pPr>
              <w:rPr>
                <w:rFonts w:ascii="Arial Narrow" w:hAnsi="Arial Narrow"/>
                <w:i/>
              </w:rPr>
            </w:pPr>
            <w:r>
              <w:rPr>
                <w:rFonts w:ascii="Arial Narrow" w:hAnsi="Arial Narrow"/>
                <w:i/>
              </w:rPr>
              <w:t>Fungia</w:t>
            </w:r>
          </w:p>
        </w:tc>
        <w:tc>
          <w:tcPr>
            <w:tcW w:w="992" w:type="dxa"/>
            <w:tcBorders>
              <w:top w:val="single" w:sz="4" w:space="0" w:color="auto"/>
              <w:left w:val="single" w:sz="4" w:space="0" w:color="auto"/>
              <w:bottom w:val="single" w:sz="4" w:space="0" w:color="auto"/>
              <w:right w:val="single" w:sz="4" w:space="0" w:color="auto"/>
            </w:tcBorders>
            <w:vAlign w:val="center"/>
          </w:tcPr>
          <w:p w14:paraId="5C110204" w14:textId="77777777" w:rsidR="004D6D04" w:rsidRDefault="004D6D04" w:rsidP="008016B6">
            <w:pPr>
              <w:jc w:val="center"/>
              <w:rPr>
                <w:rFonts w:ascii="Arial Narrow" w:hAnsi="Arial Narrow"/>
              </w:rPr>
            </w:pPr>
            <w:r>
              <w:rPr>
                <w:rFonts w:ascii="Arial Narrow" w:hAnsi="Arial Narrow"/>
              </w:rPr>
              <w:t>0.013</w:t>
            </w:r>
          </w:p>
        </w:tc>
        <w:tc>
          <w:tcPr>
            <w:tcW w:w="993" w:type="dxa"/>
            <w:tcBorders>
              <w:top w:val="single" w:sz="4" w:space="0" w:color="auto"/>
              <w:left w:val="single" w:sz="4" w:space="0" w:color="auto"/>
              <w:bottom w:val="single" w:sz="4" w:space="0" w:color="auto"/>
              <w:right w:val="single" w:sz="4" w:space="0" w:color="auto"/>
            </w:tcBorders>
            <w:vAlign w:val="center"/>
          </w:tcPr>
          <w:p w14:paraId="13873696" w14:textId="77777777" w:rsidR="004D6D04" w:rsidRDefault="004D6D04" w:rsidP="008016B6">
            <w:pPr>
              <w:jc w:val="center"/>
              <w:rPr>
                <w:rFonts w:ascii="Arial Narrow" w:hAnsi="Arial Narrow"/>
              </w:rPr>
            </w:pPr>
            <w:r>
              <w:rPr>
                <w:rFonts w:ascii="Arial Narrow" w:hAnsi="Arial Narrow"/>
              </w:rPr>
              <w:t>0.015</w:t>
            </w:r>
          </w:p>
        </w:tc>
      </w:tr>
      <w:tr w:rsidR="004D6D04" w14:paraId="68CA4FD1"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2377C634" w14:textId="77777777" w:rsidR="004D6D04" w:rsidRDefault="004D6D04" w:rsidP="008016B6">
            <w:pPr>
              <w:rPr>
                <w:rFonts w:ascii="Arial Narrow" w:hAnsi="Arial Narrow"/>
                <w:i/>
              </w:rPr>
            </w:pPr>
            <w:r>
              <w:rPr>
                <w:rFonts w:ascii="Arial Narrow" w:hAnsi="Arial Narrow"/>
                <w:i/>
              </w:rPr>
              <w:t>Plesiastrea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44FB8F35" w14:textId="77777777" w:rsidR="004D6D04" w:rsidRDefault="004D6D04" w:rsidP="008016B6">
            <w:pPr>
              <w:jc w:val="center"/>
              <w:rPr>
                <w:rFonts w:ascii="Arial Narrow" w:hAnsi="Arial Narrow"/>
              </w:rPr>
            </w:pPr>
            <w:r>
              <w:rPr>
                <w:rFonts w:ascii="Arial Narrow" w:hAnsi="Arial Narrow"/>
              </w:rPr>
              <w:t>-0.125</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01B1C7B0" w14:textId="77777777" w:rsidR="004D6D04" w:rsidRDefault="004D6D04" w:rsidP="008016B6">
            <w:pPr>
              <w:jc w:val="center"/>
              <w:rPr>
                <w:rFonts w:ascii="Arial Narrow" w:hAnsi="Arial Narrow"/>
              </w:rPr>
            </w:pPr>
            <w:r>
              <w:rPr>
                <w:rFonts w:ascii="Arial Narrow" w:hAnsi="Arial Narrow"/>
              </w:rPr>
              <w:t>-0.114</w:t>
            </w:r>
          </w:p>
        </w:tc>
        <w:tc>
          <w:tcPr>
            <w:tcW w:w="2410" w:type="dxa"/>
            <w:tcBorders>
              <w:top w:val="single" w:sz="4" w:space="0" w:color="auto"/>
              <w:left w:val="thinThickThinLargeGap" w:sz="24" w:space="0" w:color="auto"/>
              <w:bottom w:val="single" w:sz="4" w:space="0" w:color="auto"/>
              <w:right w:val="single" w:sz="4" w:space="0" w:color="auto"/>
            </w:tcBorders>
          </w:tcPr>
          <w:p w14:paraId="1C465FD7" w14:textId="77777777" w:rsidR="004D6D04" w:rsidRDefault="004D6D04" w:rsidP="008016B6">
            <w:pPr>
              <w:rPr>
                <w:rFonts w:ascii="Arial Narrow" w:hAnsi="Arial Narrow"/>
                <w:i/>
              </w:rPr>
            </w:pPr>
            <w:r>
              <w:rPr>
                <w:rFonts w:ascii="Arial Narrow" w:hAnsi="Arial Narrow"/>
              </w:rPr>
              <w:t xml:space="preserve">Encrusting </w:t>
            </w:r>
            <w:r>
              <w:rPr>
                <w:rFonts w:ascii="Arial Narrow" w:hAnsi="Arial Narrow"/>
                <w:i/>
              </w:rPr>
              <w:t>Acropora</w:t>
            </w:r>
          </w:p>
        </w:tc>
        <w:tc>
          <w:tcPr>
            <w:tcW w:w="992" w:type="dxa"/>
            <w:tcBorders>
              <w:top w:val="single" w:sz="4" w:space="0" w:color="auto"/>
              <w:left w:val="single" w:sz="4" w:space="0" w:color="auto"/>
              <w:bottom w:val="single" w:sz="4" w:space="0" w:color="auto"/>
              <w:right w:val="single" w:sz="4" w:space="0" w:color="auto"/>
            </w:tcBorders>
            <w:vAlign w:val="center"/>
          </w:tcPr>
          <w:p w14:paraId="52D777B9" w14:textId="77777777" w:rsidR="004D6D04" w:rsidRDefault="004D6D04" w:rsidP="008016B6">
            <w:pPr>
              <w:jc w:val="center"/>
              <w:rPr>
                <w:rFonts w:ascii="Arial Narrow" w:hAnsi="Arial Narrow"/>
              </w:rPr>
            </w:pPr>
            <w:r>
              <w:rPr>
                <w:rFonts w:ascii="Arial Narrow" w:hAnsi="Arial Narrow"/>
              </w:rPr>
              <w:t>0.048</w:t>
            </w:r>
          </w:p>
        </w:tc>
        <w:tc>
          <w:tcPr>
            <w:tcW w:w="993" w:type="dxa"/>
            <w:tcBorders>
              <w:top w:val="single" w:sz="4" w:space="0" w:color="auto"/>
              <w:left w:val="single" w:sz="4" w:space="0" w:color="auto"/>
              <w:bottom w:val="single" w:sz="4" w:space="0" w:color="auto"/>
              <w:right w:val="single" w:sz="4" w:space="0" w:color="auto"/>
            </w:tcBorders>
            <w:vAlign w:val="center"/>
          </w:tcPr>
          <w:p w14:paraId="2F18E307" w14:textId="77777777" w:rsidR="004D6D04" w:rsidRDefault="004D6D04" w:rsidP="008016B6">
            <w:pPr>
              <w:jc w:val="center"/>
              <w:rPr>
                <w:rFonts w:ascii="Arial Narrow" w:hAnsi="Arial Narrow"/>
              </w:rPr>
            </w:pPr>
            <w:r>
              <w:rPr>
                <w:rFonts w:ascii="Arial Narrow" w:hAnsi="Arial Narrow"/>
              </w:rPr>
              <w:t>0.015</w:t>
            </w:r>
          </w:p>
        </w:tc>
      </w:tr>
      <w:tr w:rsidR="004D6D04" w14:paraId="3648B13C"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346501AF" w14:textId="77777777" w:rsidR="004D6D04" w:rsidRDefault="004D6D04" w:rsidP="008016B6">
            <w:pPr>
              <w:rPr>
                <w:rFonts w:ascii="Arial Narrow" w:hAnsi="Arial Narrow"/>
                <w:i/>
              </w:rPr>
            </w:pPr>
            <w:r>
              <w:rPr>
                <w:rFonts w:ascii="Arial Narrow" w:hAnsi="Arial Narrow"/>
                <w:i/>
              </w:rPr>
              <w:t>Echinophyllia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21FE5A9C" w14:textId="77777777" w:rsidR="004D6D04" w:rsidRDefault="004D6D04" w:rsidP="008016B6">
            <w:pPr>
              <w:jc w:val="center"/>
              <w:rPr>
                <w:rFonts w:ascii="Arial Narrow" w:hAnsi="Arial Narrow"/>
              </w:rPr>
            </w:pPr>
            <w:r>
              <w:rPr>
                <w:rFonts w:ascii="Arial Narrow" w:hAnsi="Arial Narrow"/>
              </w:rPr>
              <w:t>-0.002</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35E6E9D0" w14:textId="77777777" w:rsidR="004D6D04" w:rsidRDefault="004D6D04" w:rsidP="008016B6">
            <w:pPr>
              <w:jc w:val="center"/>
              <w:rPr>
                <w:rFonts w:ascii="Arial Narrow" w:hAnsi="Arial Narrow"/>
              </w:rPr>
            </w:pPr>
            <w:r>
              <w:rPr>
                <w:rFonts w:ascii="Arial Narrow" w:hAnsi="Arial Narrow"/>
              </w:rPr>
              <w:t>-0.11</w:t>
            </w:r>
          </w:p>
        </w:tc>
        <w:tc>
          <w:tcPr>
            <w:tcW w:w="2410" w:type="dxa"/>
            <w:tcBorders>
              <w:top w:val="single" w:sz="4" w:space="0" w:color="auto"/>
              <w:left w:val="thinThickThinLargeGap" w:sz="24" w:space="0" w:color="auto"/>
              <w:bottom w:val="single" w:sz="4" w:space="0" w:color="auto"/>
              <w:right w:val="single" w:sz="4" w:space="0" w:color="auto"/>
            </w:tcBorders>
          </w:tcPr>
          <w:p w14:paraId="76A4B3EA" w14:textId="77777777" w:rsidR="004D6D04" w:rsidRDefault="004D6D04" w:rsidP="008016B6">
            <w:pPr>
              <w:rPr>
                <w:rFonts w:ascii="Arial Narrow" w:hAnsi="Arial Narrow"/>
              </w:rPr>
            </w:pPr>
            <w:r>
              <w:rPr>
                <w:rFonts w:ascii="Arial Narrow" w:hAnsi="Arial Narrow"/>
                <w:i/>
              </w:rPr>
              <w:t>Acanthastrea *</w:t>
            </w:r>
          </w:p>
        </w:tc>
        <w:tc>
          <w:tcPr>
            <w:tcW w:w="992" w:type="dxa"/>
            <w:tcBorders>
              <w:top w:val="single" w:sz="4" w:space="0" w:color="auto"/>
              <w:left w:val="single" w:sz="4" w:space="0" w:color="auto"/>
              <w:bottom w:val="single" w:sz="4" w:space="0" w:color="auto"/>
              <w:right w:val="single" w:sz="4" w:space="0" w:color="auto"/>
            </w:tcBorders>
            <w:vAlign w:val="center"/>
          </w:tcPr>
          <w:p w14:paraId="279712AB" w14:textId="77777777" w:rsidR="004D6D04" w:rsidRDefault="004D6D04" w:rsidP="008016B6">
            <w:pPr>
              <w:jc w:val="center"/>
              <w:rPr>
                <w:rFonts w:ascii="Arial Narrow" w:hAnsi="Arial Narrow"/>
              </w:rPr>
            </w:pPr>
            <w:r>
              <w:rPr>
                <w:rFonts w:ascii="Arial Narrow" w:hAnsi="Arial Narrow"/>
              </w:rPr>
              <w:t>-0.014</w:t>
            </w:r>
          </w:p>
        </w:tc>
        <w:tc>
          <w:tcPr>
            <w:tcW w:w="993" w:type="dxa"/>
            <w:tcBorders>
              <w:top w:val="single" w:sz="4" w:space="0" w:color="auto"/>
              <w:left w:val="single" w:sz="4" w:space="0" w:color="auto"/>
              <w:bottom w:val="single" w:sz="4" w:space="0" w:color="auto"/>
              <w:right w:val="single" w:sz="4" w:space="0" w:color="auto"/>
            </w:tcBorders>
            <w:vAlign w:val="center"/>
          </w:tcPr>
          <w:p w14:paraId="69B3EAEF" w14:textId="77777777" w:rsidR="004D6D04" w:rsidRDefault="004D6D04" w:rsidP="008016B6">
            <w:pPr>
              <w:jc w:val="center"/>
              <w:rPr>
                <w:rFonts w:ascii="Arial Narrow" w:hAnsi="Arial Narrow"/>
              </w:rPr>
            </w:pPr>
            <w:r>
              <w:rPr>
                <w:rFonts w:ascii="Arial Narrow" w:hAnsi="Arial Narrow"/>
              </w:rPr>
              <w:t>0.017</w:t>
            </w:r>
          </w:p>
        </w:tc>
      </w:tr>
      <w:tr w:rsidR="004D6D04" w14:paraId="2CEB01A9"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1DC41F8B" w14:textId="77777777" w:rsidR="004D6D04" w:rsidRDefault="004D6D04" w:rsidP="008016B6">
            <w:pPr>
              <w:rPr>
                <w:rFonts w:ascii="Arial Narrow" w:hAnsi="Arial Narrow"/>
                <w:i/>
              </w:rPr>
            </w:pPr>
            <w:r>
              <w:rPr>
                <w:rFonts w:ascii="Arial Narrow" w:hAnsi="Arial Narrow"/>
                <w:i/>
              </w:rPr>
              <w:t>Moseleya *</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07FADBAF" w14:textId="77777777" w:rsidR="004D6D04" w:rsidRDefault="004D6D04" w:rsidP="008016B6">
            <w:pPr>
              <w:jc w:val="center"/>
              <w:rPr>
                <w:rFonts w:ascii="Arial Narrow" w:hAnsi="Arial Narrow"/>
              </w:rPr>
            </w:pPr>
            <w:r>
              <w:rPr>
                <w:rFonts w:ascii="Arial Narrow" w:hAnsi="Arial Narrow"/>
              </w:rPr>
              <w:t>-0.058</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3DCA874A" w14:textId="77777777" w:rsidR="004D6D04" w:rsidRDefault="004D6D04" w:rsidP="008016B6">
            <w:pPr>
              <w:jc w:val="center"/>
              <w:rPr>
                <w:rFonts w:ascii="Arial Narrow" w:hAnsi="Arial Narrow"/>
              </w:rPr>
            </w:pPr>
            <w:r>
              <w:rPr>
                <w:rFonts w:ascii="Arial Narrow" w:hAnsi="Arial Narrow"/>
              </w:rPr>
              <w:t>-0.091</w:t>
            </w:r>
          </w:p>
        </w:tc>
        <w:tc>
          <w:tcPr>
            <w:tcW w:w="2410" w:type="dxa"/>
            <w:tcBorders>
              <w:top w:val="single" w:sz="4" w:space="0" w:color="auto"/>
              <w:left w:val="thinThickThinLargeGap" w:sz="24" w:space="0" w:color="auto"/>
              <w:bottom w:val="single" w:sz="4" w:space="0" w:color="auto"/>
              <w:right w:val="single" w:sz="4" w:space="0" w:color="auto"/>
            </w:tcBorders>
          </w:tcPr>
          <w:p w14:paraId="1DB4FCFF" w14:textId="77777777" w:rsidR="004D6D04" w:rsidRDefault="004D6D04" w:rsidP="008016B6">
            <w:pPr>
              <w:rPr>
                <w:rFonts w:ascii="Arial Narrow" w:hAnsi="Arial Narrow"/>
                <w:i/>
              </w:rPr>
            </w:pPr>
            <w:r>
              <w:rPr>
                <w:rFonts w:ascii="Arial Narrow" w:hAnsi="Arial Narrow"/>
                <w:i/>
              </w:rPr>
              <w:t>Symphyllia</w:t>
            </w:r>
          </w:p>
        </w:tc>
        <w:tc>
          <w:tcPr>
            <w:tcW w:w="992" w:type="dxa"/>
            <w:tcBorders>
              <w:top w:val="single" w:sz="4" w:space="0" w:color="auto"/>
              <w:left w:val="single" w:sz="4" w:space="0" w:color="auto"/>
              <w:bottom w:val="single" w:sz="4" w:space="0" w:color="auto"/>
              <w:right w:val="single" w:sz="4" w:space="0" w:color="auto"/>
            </w:tcBorders>
            <w:vAlign w:val="center"/>
          </w:tcPr>
          <w:p w14:paraId="435A97AE" w14:textId="77777777" w:rsidR="004D6D04" w:rsidRDefault="004D6D04" w:rsidP="008016B6">
            <w:pPr>
              <w:jc w:val="center"/>
              <w:rPr>
                <w:rFonts w:ascii="Arial Narrow" w:hAnsi="Arial Narrow"/>
              </w:rPr>
            </w:pPr>
            <w:r>
              <w:rPr>
                <w:rFonts w:ascii="Arial Narrow" w:hAnsi="Arial Narrow"/>
              </w:rPr>
              <w:t>0.034</w:t>
            </w:r>
          </w:p>
        </w:tc>
        <w:tc>
          <w:tcPr>
            <w:tcW w:w="993" w:type="dxa"/>
            <w:tcBorders>
              <w:top w:val="single" w:sz="4" w:space="0" w:color="auto"/>
              <w:left w:val="single" w:sz="4" w:space="0" w:color="auto"/>
              <w:bottom w:val="single" w:sz="4" w:space="0" w:color="auto"/>
              <w:right w:val="single" w:sz="4" w:space="0" w:color="auto"/>
            </w:tcBorders>
            <w:vAlign w:val="center"/>
          </w:tcPr>
          <w:p w14:paraId="0579CE46" w14:textId="77777777" w:rsidR="004D6D04" w:rsidRDefault="004D6D04" w:rsidP="008016B6">
            <w:pPr>
              <w:jc w:val="center"/>
              <w:rPr>
                <w:rFonts w:ascii="Arial Narrow" w:hAnsi="Arial Narrow"/>
              </w:rPr>
            </w:pPr>
            <w:r>
              <w:rPr>
                <w:rFonts w:ascii="Arial Narrow" w:hAnsi="Arial Narrow"/>
              </w:rPr>
              <w:t>0.018</w:t>
            </w:r>
          </w:p>
        </w:tc>
      </w:tr>
      <w:tr w:rsidR="004D6D04" w14:paraId="145677B7"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4EAB8D01" w14:textId="77777777" w:rsidR="004D6D04" w:rsidRDefault="004D6D04" w:rsidP="008016B6">
            <w:pPr>
              <w:rPr>
                <w:rFonts w:ascii="Arial Narrow" w:hAnsi="Arial Narrow"/>
                <w:i/>
              </w:rPr>
            </w:pPr>
            <w:r>
              <w:rPr>
                <w:rFonts w:ascii="Arial Narrow" w:hAnsi="Arial Narrow"/>
                <w:i/>
              </w:rPr>
              <w:t>Oxypora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264D4CB0" w14:textId="77777777" w:rsidR="004D6D04" w:rsidRDefault="004D6D04" w:rsidP="008016B6">
            <w:pPr>
              <w:jc w:val="center"/>
              <w:rPr>
                <w:rFonts w:ascii="Arial Narrow" w:hAnsi="Arial Narrow"/>
              </w:rPr>
            </w:pPr>
            <w:r>
              <w:rPr>
                <w:rFonts w:ascii="Arial Narrow" w:hAnsi="Arial Narrow"/>
              </w:rPr>
              <w:t>-0.008</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7E83AFEF" w14:textId="77777777" w:rsidR="004D6D04" w:rsidRDefault="004D6D04" w:rsidP="008016B6">
            <w:pPr>
              <w:jc w:val="center"/>
              <w:rPr>
                <w:rFonts w:ascii="Arial Narrow" w:hAnsi="Arial Narrow"/>
              </w:rPr>
            </w:pPr>
            <w:r>
              <w:rPr>
                <w:rFonts w:ascii="Arial Narrow" w:hAnsi="Arial Narrow"/>
              </w:rPr>
              <w:t>-0.076</w:t>
            </w:r>
          </w:p>
        </w:tc>
        <w:tc>
          <w:tcPr>
            <w:tcW w:w="2410" w:type="dxa"/>
            <w:tcBorders>
              <w:top w:val="single" w:sz="4" w:space="0" w:color="auto"/>
              <w:left w:val="thinThickThinLargeGap" w:sz="24" w:space="0" w:color="auto"/>
              <w:bottom w:val="single" w:sz="4" w:space="0" w:color="auto"/>
              <w:right w:val="single" w:sz="4" w:space="0" w:color="auto"/>
            </w:tcBorders>
          </w:tcPr>
          <w:p w14:paraId="1D016647" w14:textId="77777777" w:rsidR="004D6D04" w:rsidRDefault="004D6D04" w:rsidP="008016B6">
            <w:pPr>
              <w:rPr>
                <w:rFonts w:ascii="Arial Narrow" w:hAnsi="Arial Narrow"/>
              </w:rPr>
            </w:pPr>
            <w:r>
              <w:rPr>
                <w:rFonts w:ascii="Arial Narrow" w:hAnsi="Arial Narrow"/>
                <w:i/>
              </w:rPr>
              <w:t>Seriatopora</w:t>
            </w:r>
          </w:p>
        </w:tc>
        <w:tc>
          <w:tcPr>
            <w:tcW w:w="992" w:type="dxa"/>
            <w:tcBorders>
              <w:top w:val="single" w:sz="4" w:space="0" w:color="auto"/>
              <w:left w:val="single" w:sz="4" w:space="0" w:color="auto"/>
              <w:bottom w:val="single" w:sz="4" w:space="0" w:color="auto"/>
              <w:right w:val="single" w:sz="4" w:space="0" w:color="auto"/>
            </w:tcBorders>
            <w:vAlign w:val="center"/>
          </w:tcPr>
          <w:p w14:paraId="59BD6E69" w14:textId="77777777" w:rsidR="004D6D04" w:rsidRDefault="004D6D04" w:rsidP="008016B6">
            <w:pPr>
              <w:jc w:val="center"/>
              <w:rPr>
                <w:rFonts w:ascii="Arial Narrow" w:hAnsi="Arial Narrow"/>
              </w:rPr>
            </w:pPr>
            <w:r>
              <w:rPr>
                <w:rFonts w:ascii="Arial Narrow" w:hAnsi="Arial Narrow"/>
              </w:rPr>
              <w:t>0.05</w:t>
            </w:r>
          </w:p>
        </w:tc>
        <w:tc>
          <w:tcPr>
            <w:tcW w:w="993" w:type="dxa"/>
            <w:tcBorders>
              <w:top w:val="single" w:sz="4" w:space="0" w:color="auto"/>
              <w:left w:val="single" w:sz="4" w:space="0" w:color="auto"/>
              <w:bottom w:val="single" w:sz="4" w:space="0" w:color="auto"/>
              <w:right w:val="single" w:sz="4" w:space="0" w:color="auto"/>
            </w:tcBorders>
            <w:vAlign w:val="center"/>
          </w:tcPr>
          <w:p w14:paraId="534189F6" w14:textId="77777777" w:rsidR="004D6D04" w:rsidRDefault="004D6D04" w:rsidP="008016B6">
            <w:pPr>
              <w:jc w:val="center"/>
              <w:rPr>
                <w:rFonts w:ascii="Arial Narrow" w:hAnsi="Arial Narrow"/>
              </w:rPr>
            </w:pPr>
            <w:r>
              <w:rPr>
                <w:rFonts w:ascii="Arial Narrow" w:hAnsi="Arial Narrow"/>
              </w:rPr>
              <w:t>0.027</w:t>
            </w:r>
          </w:p>
        </w:tc>
      </w:tr>
      <w:tr w:rsidR="004D6D04" w14:paraId="3530315E"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543B56AF" w14:textId="77777777" w:rsidR="004D6D04" w:rsidRDefault="004D6D04" w:rsidP="008016B6">
            <w:pPr>
              <w:rPr>
                <w:rFonts w:ascii="Arial Narrow" w:hAnsi="Arial Narrow"/>
                <w:i/>
              </w:rPr>
            </w:pPr>
            <w:r>
              <w:rPr>
                <w:rFonts w:ascii="Arial Narrow" w:hAnsi="Arial Narrow"/>
                <w:i/>
              </w:rPr>
              <w:t>Merulina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0379620D" w14:textId="77777777" w:rsidR="004D6D04" w:rsidRDefault="004D6D04" w:rsidP="008016B6">
            <w:pPr>
              <w:jc w:val="center"/>
              <w:rPr>
                <w:rFonts w:ascii="Arial Narrow" w:hAnsi="Arial Narrow"/>
              </w:rPr>
            </w:pPr>
            <w:r>
              <w:rPr>
                <w:rFonts w:ascii="Arial Narrow" w:hAnsi="Arial Narrow"/>
              </w:rPr>
              <w:t>-0.01</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62B34478" w14:textId="77777777" w:rsidR="004D6D04" w:rsidRDefault="004D6D04" w:rsidP="008016B6">
            <w:pPr>
              <w:jc w:val="center"/>
              <w:rPr>
                <w:rFonts w:ascii="Arial Narrow" w:hAnsi="Arial Narrow"/>
              </w:rPr>
            </w:pPr>
            <w:r>
              <w:rPr>
                <w:rFonts w:ascii="Arial Narrow" w:hAnsi="Arial Narrow"/>
              </w:rPr>
              <w:t>-0.073</w:t>
            </w:r>
          </w:p>
        </w:tc>
        <w:tc>
          <w:tcPr>
            <w:tcW w:w="2410" w:type="dxa"/>
            <w:tcBorders>
              <w:top w:val="single" w:sz="4" w:space="0" w:color="auto"/>
              <w:left w:val="thinThickThinLargeGap" w:sz="24" w:space="0" w:color="auto"/>
              <w:bottom w:val="single" w:sz="4" w:space="0" w:color="auto"/>
              <w:right w:val="single" w:sz="4" w:space="0" w:color="auto"/>
            </w:tcBorders>
          </w:tcPr>
          <w:p w14:paraId="12568ED5" w14:textId="77777777" w:rsidR="004D6D04" w:rsidRDefault="004D6D04" w:rsidP="008016B6">
            <w:pPr>
              <w:rPr>
                <w:rFonts w:ascii="Arial Narrow" w:hAnsi="Arial Narrow"/>
                <w:i/>
              </w:rPr>
            </w:pPr>
            <w:r>
              <w:rPr>
                <w:rFonts w:ascii="Arial Narrow" w:hAnsi="Arial Narrow"/>
                <w:i/>
              </w:rPr>
              <w:t>Stylophora</w:t>
            </w:r>
          </w:p>
        </w:tc>
        <w:tc>
          <w:tcPr>
            <w:tcW w:w="992" w:type="dxa"/>
            <w:tcBorders>
              <w:top w:val="single" w:sz="4" w:space="0" w:color="auto"/>
              <w:left w:val="single" w:sz="4" w:space="0" w:color="auto"/>
              <w:bottom w:val="single" w:sz="4" w:space="0" w:color="auto"/>
              <w:right w:val="single" w:sz="4" w:space="0" w:color="auto"/>
            </w:tcBorders>
            <w:vAlign w:val="center"/>
          </w:tcPr>
          <w:p w14:paraId="1DB22FB0" w14:textId="77777777" w:rsidR="004D6D04" w:rsidRDefault="004D6D04" w:rsidP="008016B6">
            <w:pPr>
              <w:jc w:val="center"/>
              <w:rPr>
                <w:rFonts w:ascii="Arial Narrow" w:hAnsi="Arial Narrow"/>
              </w:rPr>
            </w:pPr>
            <w:r>
              <w:rPr>
                <w:rFonts w:ascii="Arial Narrow" w:hAnsi="Arial Narrow"/>
              </w:rPr>
              <w:t>0.035</w:t>
            </w:r>
          </w:p>
        </w:tc>
        <w:tc>
          <w:tcPr>
            <w:tcW w:w="993" w:type="dxa"/>
            <w:tcBorders>
              <w:top w:val="single" w:sz="4" w:space="0" w:color="auto"/>
              <w:left w:val="single" w:sz="4" w:space="0" w:color="auto"/>
              <w:bottom w:val="single" w:sz="4" w:space="0" w:color="auto"/>
              <w:right w:val="single" w:sz="4" w:space="0" w:color="auto"/>
            </w:tcBorders>
            <w:vAlign w:val="center"/>
          </w:tcPr>
          <w:p w14:paraId="57DC3027" w14:textId="77777777" w:rsidR="004D6D04" w:rsidRDefault="004D6D04" w:rsidP="008016B6">
            <w:pPr>
              <w:jc w:val="center"/>
              <w:rPr>
                <w:rFonts w:ascii="Arial Narrow" w:hAnsi="Arial Narrow"/>
              </w:rPr>
            </w:pPr>
            <w:r>
              <w:rPr>
                <w:rFonts w:ascii="Arial Narrow" w:hAnsi="Arial Narrow"/>
              </w:rPr>
              <w:t>0.033</w:t>
            </w:r>
          </w:p>
        </w:tc>
      </w:tr>
      <w:tr w:rsidR="004D6D04" w14:paraId="7FEF0ECD"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14E2BDE4" w14:textId="77777777" w:rsidR="004D6D04" w:rsidRDefault="004D6D04" w:rsidP="008016B6">
            <w:pPr>
              <w:rPr>
                <w:rFonts w:ascii="Arial Narrow" w:hAnsi="Arial Narrow"/>
                <w:i/>
              </w:rPr>
            </w:pPr>
            <w:r>
              <w:rPr>
                <w:rFonts w:ascii="Arial Narrow" w:hAnsi="Arial Narrow"/>
                <w:i/>
              </w:rPr>
              <w:t>Coscinaraea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599B8607" w14:textId="77777777" w:rsidR="004D6D04" w:rsidRDefault="004D6D04" w:rsidP="008016B6">
            <w:pPr>
              <w:jc w:val="center"/>
              <w:rPr>
                <w:rFonts w:ascii="Arial Narrow" w:hAnsi="Arial Narrow"/>
              </w:rPr>
            </w:pPr>
            <w:r>
              <w:rPr>
                <w:rFonts w:ascii="Arial Narrow" w:hAnsi="Arial Narrow"/>
              </w:rPr>
              <w:t>-0.011</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3E71AF35" w14:textId="77777777" w:rsidR="004D6D04" w:rsidRDefault="004D6D04" w:rsidP="008016B6">
            <w:pPr>
              <w:jc w:val="center"/>
              <w:rPr>
                <w:rFonts w:ascii="Arial Narrow" w:hAnsi="Arial Narrow"/>
              </w:rPr>
            </w:pPr>
            <w:r>
              <w:rPr>
                <w:rFonts w:ascii="Arial Narrow" w:hAnsi="Arial Narrow"/>
              </w:rPr>
              <w:t>-0.062</w:t>
            </w:r>
          </w:p>
        </w:tc>
        <w:tc>
          <w:tcPr>
            <w:tcW w:w="2410" w:type="dxa"/>
            <w:tcBorders>
              <w:top w:val="single" w:sz="4" w:space="0" w:color="auto"/>
              <w:left w:val="thinThickThinLargeGap" w:sz="24" w:space="0" w:color="auto"/>
              <w:bottom w:val="single" w:sz="4" w:space="0" w:color="auto"/>
              <w:right w:val="single" w:sz="4" w:space="0" w:color="auto"/>
            </w:tcBorders>
          </w:tcPr>
          <w:p w14:paraId="2A5B56FA" w14:textId="77777777" w:rsidR="004D6D04" w:rsidRDefault="004D6D04" w:rsidP="008016B6">
            <w:pPr>
              <w:rPr>
                <w:rFonts w:ascii="Arial Narrow" w:hAnsi="Arial Narrow"/>
              </w:rPr>
            </w:pPr>
            <w:r>
              <w:rPr>
                <w:rFonts w:ascii="Arial Narrow" w:hAnsi="Arial Narrow"/>
                <w:i/>
              </w:rPr>
              <w:t>Oulophyllia</w:t>
            </w:r>
          </w:p>
        </w:tc>
        <w:tc>
          <w:tcPr>
            <w:tcW w:w="992" w:type="dxa"/>
            <w:tcBorders>
              <w:top w:val="single" w:sz="4" w:space="0" w:color="auto"/>
              <w:left w:val="single" w:sz="4" w:space="0" w:color="auto"/>
              <w:bottom w:val="single" w:sz="4" w:space="0" w:color="auto"/>
              <w:right w:val="single" w:sz="4" w:space="0" w:color="auto"/>
            </w:tcBorders>
            <w:vAlign w:val="center"/>
          </w:tcPr>
          <w:p w14:paraId="0D247CAE" w14:textId="77777777" w:rsidR="004D6D04" w:rsidRDefault="004D6D04" w:rsidP="008016B6">
            <w:pPr>
              <w:jc w:val="center"/>
              <w:rPr>
                <w:rFonts w:ascii="Arial Narrow" w:hAnsi="Arial Narrow"/>
              </w:rPr>
            </w:pPr>
            <w:r>
              <w:rPr>
                <w:rFonts w:ascii="Arial Narrow" w:hAnsi="Arial Narrow"/>
              </w:rPr>
              <w:t>0.02</w:t>
            </w:r>
          </w:p>
        </w:tc>
        <w:tc>
          <w:tcPr>
            <w:tcW w:w="993" w:type="dxa"/>
            <w:tcBorders>
              <w:top w:val="single" w:sz="4" w:space="0" w:color="auto"/>
              <w:left w:val="single" w:sz="4" w:space="0" w:color="auto"/>
              <w:bottom w:val="single" w:sz="4" w:space="0" w:color="auto"/>
              <w:right w:val="single" w:sz="4" w:space="0" w:color="auto"/>
            </w:tcBorders>
            <w:vAlign w:val="center"/>
          </w:tcPr>
          <w:p w14:paraId="4BCFDA1B" w14:textId="77777777" w:rsidR="004D6D04" w:rsidRDefault="004D6D04" w:rsidP="008016B6">
            <w:pPr>
              <w:jc w:val="center"/>
              <w:rPr>
                <w:rFonts w:ascii="Arial Narrow" w:hAnsi="Arial Narrow"/>
              </w:rPr>
            </w:pPr>
            <w:r>
              <w:rPr>
                <w:rFonts w:ascii="Arial Narrow" w:hAnsi="Arial Narrow"/>
              </w:rPr>
              <w:t>0.037</w:t>
            </w:r>
          </w:p>
        </w:tc>
      </w:tr>
      <w:tr w:rsidR="004D6D04" w14:paraId="709FA318"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1117DC3D" w14:textId="77777777" w:rsidR="004D6D04" w:rsidRDefault="004D6D04" w:rsidP="008016B6">
            <w:pPr>
              <w:rPr>
                <w:rFonts w:ascii="Arial Narrow" w:hAnsi="Arial Narrow"/>
                <w:i/>
              </w:rPr>
            </w:pPr>
            <w:r>
              <w:rPr>
                <w:rFonts w:ascii="Arial Narrow" w:hAnsi="Arial Narrow"/>
                <w:i/>
              </w:rPr>
              <w:t>Duncanopsammia *</w:t>
            </w:r>
          </w:p>
        </w:tc>
        <w:tc>
          <w:tcPr>
            <w:tcW w:w="992" w:type="dxa"/>
            <w:tcBorders>
              <w:top w:val="single" w:sz="4" w:space="0" w:color="auto"/>
              <w:left w:val="single" w:sz="4" w:space="0" w:color="auto"/>
              <w:bottom w:val="single" w:sz="4" w:space="0" w:color="auto"/>
              <w:right w:val="single" w:sz="4" w:space="0" w:color="auto"/>
            </w:tcBorders>
            <w:noWrap/>
            <w:vAlign w:val="center"/>
          </w:tcPr>
          <w:p w14:paraId="5B68DD1C" w14:textId="77777777" w:rsidR="004D6D04" w:rsidRDefault="004D6D04" w:rsidP="008016B6">
            <w:pPr>
              <w:jc w:val="center"/>
              <w:rPr>
                <w:rFonts w:ascii="Arial Narrow" w:hAnsi="Arial Narrow"/>
              </w:rPr>
            </w:pP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60F769EA" w14:textId="77777777" w:rsidR="004D6D04" w:rsidRDefault="004D6D04" w:rsidP="008016B6">
            <w:pPr>
              <w:jc w:val="center"/>
              <w:rPr>
                <w:rFonts w:ascii="Arial Narrow" w:hAnsi="Arial Narrow"/>
              </w:rPr>
            </w:pPr>
            <w:r>
              <w:rPr>
                <w:rFonts w:ascii="Arial Narrow" w:hAnsi="Arial Narrow"/>
              </w:rPr>
              <w:t>-0.042</w:t>
            </w:r>
          </w:p>
        </w:tc>
        <w:tc>
          <w:tcPr>
            <w:tcW w:w="2410" w:type="dxa"/>
            <w:tcBorders>
              <w:top w:val="single" w:sz="4" w:space="0" w:color="auto"/>
              <w:left w:val="thinThickThinLargeGap" w:sz="24" w:space="0" w:color="auto"/>
              <w:bottom w:val="single" w:sz="4" w:space="0" w:color="auto"/>
              <w:right w:val="single" w:sz="4" w:space="0" w:color="auto"/>
            </w:tcBorders>
          </w:tcPr>
          <w:p w14:paraId="0EA721AF" w14:textId="77777777" w:rsidR="004D6D04" w:rsidRDefault="004D6D04" w:rsidP="008016B6">
            <w:pPr>
              <w:rPr>
                <w:rFonts w:ascii="Arial Narrow" w:hAnsi="Arial Narrow"/>
              </w:rPr>
            </w:pPr>
            <w:r>
              <w:rPr>
                <w:rFonts w:ascii="Arial Narrow" w:hAnsi="Arial Narrow"/>
              </w:rPr>
              <w:t xml:space="preserve">Digitate </w:t>
            </w:r>
            <w:r>
              <w:rPr>
                <w:rFonts w:ascii="Arial Narrow" w:hAnsi="Arial Narrow"/>
                <w:i/>
              </w:rPr>
              <w:t>Acropora</w:t>
            </w:r>
          </w:p>
        </w:tc>
        <w:tc>
          <w:tcPr>
            <w:tcW w:w="992" w:type="dxa"/>
            <w:tcBorders>
              <w:top w:val="single" w:sz="4" w:space="0" w:color="auto"/>
              <w:left w:val="single" w:sz="4" w:space="0" w:color="auto"/>
              <w:bottom w:val="single" w:sz="4" w:space="0" w:color="auto"/>
              <w:right w:val="single" w:sz="4" w:space="0" w:color="auto"/>
            </w:tcBorders>
            <w:vAlign w:val="center"/>
          </w:tcPr>
          <w:p w14:paraId="3CC3EABA" w14:textId="77777777" w:rsidR="004D6D04" w:rsidRDefault="004D6D04" w:rsidP="008016B6">
            <w:pPr>
              <w:jc w:val="center"/>
              <w:rPr>
                <w:rFonts w:ascii="Arial Narrow" w:hAnsi="Arial Narrow"/>
              </w:rPr>
            </w:pPr>
            <w:r>
              <w:rPr>
                <w:rFonts w:ascii="Arial Narrow" w:hAnsi="Arial Narrow"/>
              </w:rPr>
              <w:t>0.034</w:t>
            </w:r>
          </w:p>
        </w:tc>
        <w:tc>
          <w:tcPr>
            <w:tcW w:w="993" w:type="dxa"/>
            <w:tcBorders>
              <w:top w:val="single" w:sz="4" w:space="0" w:color="auto"/>
              <w:left w:val="single" w:sz="4" w:space="0" w:color="auto"/>
              <w:bottom w:val="single" w:sz="4" w:space="0" w:color="auto"/>
              <w:right w:val="single" w:sz="4" w:space="0" w:color="auto"/>
            </w:tcBorders>
            <w:vAlign w:val="center"/>
          </w:tcPr>
          <w:p w14:paraId="4310A53B" w14:textId="77777777" w:rsidR="004D6D04" w:rsidRDefault="004D6D04" w:rsidP="008016B6">
            <w:pPr>
              <w:jc w:val="center"/>
              <w:rPr>
                <w:rFonts w:ascii="Arial Narrow" w:hAnsi="Arial Narrow"/>
              </w:rPr>
            </w:pPr>
            <w:r>
              <w:rPr>
                <w:rFonts w:ascii="Arial Narrow" w:hAnsi="Arial Narrow"/>
              </w:rPr>
              <w:t>0.039</w:t>
            </w:r>
          </w:p>
        </w:tc>
      </w:tr>
      <w:tr w:rsidR="004D6D04" w14:paraId="237811F9"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3740C7AE" w14:textId="77777777" w:rsidR="004D6D04" w:rsidRDefault="004D6D04" w:rsidP="008016B6">
            <w:pPr>
              <w:rPr>
                <w:rFonts w:ascii="Arial Narrow" w:hAnsi="Arial Narrow"/>
                <w:i/>
              </w:rPr>
            </w:pPr>
            <w:r>
              <w:rPr>
                <w:rFonts w:ascii="Arial Narrow" w:hAnsi="Arial Narrow"/>
                <w:i/>
              </w:rPr>
              <w:t>Caulastrea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4B3930B5" w14:textId="77777777" w:rsidR="004D6D04" w:rsidRDefault="004D6D04" w:rsidP="008016B6">
            <w:pPr>
              <w:jc w:val="center"/>
              <w:rPr>
                <w:rFonts w:ascii="Arial Narrow" w:hAnsi="Arial Narrow"/>
              </w:rPr>
            </w:pPr>
            <w:r>
              <w:rPr>
                <w:rFonts w:ascii="Arial Narrow" w:hAnsi="Arial Narrow"/>
              </w:rPr>
              <w:t>0.007</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6C0E6911" w14:textId="77777777" w:rsidR="004D6D04" w:rsidRDefault="004D6D04" w:rsidP="008016B6">
            <w:pPr>
              <w:jc w:val="center"/>
              <w:rPr>
                <w:rFonts w:ascii="Arial Narrow" w:hAnsi="Arial Narrow"/>
              </w:rPr>
            </w:pPr>
            <w:r>
              <w:rPr>
                <w:rFonts w:ascii="Arial Narrow" w:hAnsi="Arial Narrow"/>
              </w:rPr>
              <w:t>-0.041</w:t>
            </w:r>
          </w:p>
        </w:tc>
        <w:tc>
          <w:tcPr>
            <w:tcW w:w="2410" w:type="dxa"/>
            <w:tcBorders>
              <w:top w:val="single" w:sz="4" w:space="0" w:color="auto"/>
              <w:left w:val="thinThickThinLargeGap" w:sz="24" w:space="0" w:color="auto"/>
              <w:bottom w:val="single" w:sz="4" w:space="0" w:color="auto"/>
              <w:right w:val="single" w:sz="4" w:space="0" w:color="auto"/>
            </w:tcBorders>
          </w:tcPr>
          <w:p w14:paraId="7FE19ECB" w14:textId="77777777" w:rsidR="004D6D04" w:rsidRDefault="004D6D04" w:rsidP="008016B6">
            <w:pPr>
              <w:rPr>
                <w:rFonts w:ascii="Arial Narrow" w:hAnsi="Arial Narrow"/>
              </w:rPr>
            </w:pPr>
            <w:r>
              <w:rPr>
                <w:rFonts w:ascii="Arial Narrow" w:hAnsi="Arial Narrow"/>
                <w:i/>
              </w:rPr>
              <w:t>Montipora</w:t>
            </w:r>
          </w:p>
        </w:tc>
        <w:tc>
          <w:tcPr>
            <w:tcW w:w="992" w:type="dxa"/>
            <w:tcBorders>
              <w:top w:val="single" w:sz="4" w:space="0" w:color="auto"/>
              <w:left w:val="single" w:sz="4" w:space="0" w:color="auto"/>
              <w:bottom w:val="single" w:sz="4" w:space="0" w:color="auto"/>
              <w:right w:val="single" w:sz="4" w:space="0" w:color="auto"/>
            </w:tcBorders>
            <w:vAlign w:val="center"/>
          </w:tcPr>
          <w:p w14:paraId="0D95C810" w14:textId="77777777" w:rsidR="004D6D04" w:rsidRDefault="004D6D04" w:rsidP="008016B6">
            <w:pPr>
              <w:jc w:val="center"/>
              <w:rPr>
                <w:rFonts w:ascii="Arial Narrow" w:hAnsi="Arial Narrow"/>
              </w:rPr>
            </w:pPr>
            <w:r>
              <w:rPr>
                <w:rFonts w:ascii="Arial Narrow" w:hAnsi="Arial Narrow"/>
              </w:rPr>
              <w:t>-0.131</w:t>
            </w:r>
          </w:p>
        </w:tc>
        <w:tc>
          <w:tcPr>
            <w:tcW w:w="993" w:type="dxa"/>
            <w:tcBorders>
              <w:top w:val="single" w:sz="4" w:space="0" w:color="auto"/>
              <w:left w:val="single" w:sz="4" w:space="0" w:color="auto"/>
              <w:bottom w:val="single" w:sz="4" w:space="0" w:color="auto"/>
              <w:right w:val="single" w:sz="4" w:space="0" w:color="auto"/>
            </w:tcBorders>
            <w:vAlign w:val="center"/>
          </w:tcPr>
          <w:p w14:paraId="4628BA18" w14:textId="77777777" w:rsidR="004D6D04" w:rsidRDefault="004D6D04" w:rsidP="008016B6">
            <w:pPr>
              <w:jc w:val="center"/>
              <w:rPr>
                <w:rFonts w:ascii="Arial Narrow" w:hAnsi="Arial Narrow"/>
              </w:rPr>
            </w:pPr>
            <w:r>
              <w:rPr>
                <w:rFonts w:ascii="Arial Narrow" w:hAnsi="Arial Narrow"/>
              </w:rPr>
              <w:t>0.045</w:t>
            </w:r>
          </w:p>
        </w:tc>
      </w:tr>
      <w:tr w:rsidR="004D6D04" w14:paraId="76A6975E"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50563C79" w14:textId="77777777" w:rsidR="004D6D04" w:rsidRDefault="004D6D04" w:rsidP="008016B6">
            <w:pPr>
              <w:rPr>
                <w:rFonts w:ascii="Arial Narrow" w:hAnsi="Arial Narrow"/>
                <w:i/>
              </w:rPr>
            </w:pPr>
            <w:r>
              <w:rPr>
                <w:rFonts w:ascii="Arial Narrow" w:hAnsi="Arial Narrow"/>
                <w:i/>
              </w:rPr>
              <w:t>Platygyra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175ABE95" w14:textId="77777777" w:rsidR="004D6D04" w:rsidRDefault="004D6D04" w:rsidP="008016B6">
            <w:pPr>
              <w:jc w:val="center"/>
              <w:rPr>
                <w:rFonts w:ascii="Arial Narrow" w:hAnsi="Arial Narrow"/>
              </w:rPr>
            </w:pPr>
            <w:r>
              <w:rPr>
                <w:rFonts w:ascii="Arial Narrow" w:hAnsi="Arial Narrow"/>
              </w:rPr>
              <w:t>0.048</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0F4E1EB1" w14:textId="77777777" w:rsidR="004D6D04" w:rsidRDefault="004D6D04" w:rsidP="008016B6">
            <w:pPr>
              <w:jc w:val="center"/>
              <w:rPr>
                <w:rFonts w:ascii="Arial Narrow" w:hAnsi="Arial Narrow"/>
              </w:rPr>
            </w:pPr>
            <w:r>
              <w:rPr>
                <w:rFonts w:ascii="Arial Narrow" w:hAnsi="Arial Narrow"/>
              </w:rPr>
              <w:t>-0.040</w:t>
            </w:r>
          </w:p>
        </w:tc>
        <w:tc>
          <w:tcPr>
            <w:tcW w:w="2410" w:type="dxa"/>
            <w:tcBorders>
              <w:top w:val="single" w:sz="4" w:space="0" w:color="auto"/>
              <w:left w:val="thinThickThinLargeGap" w:sz="24" w:space="0" w:color="auto"/>
              <w:bottom w:val="single" w:sz="4" w:space="0" w:color="auto"/>
              <w:right w:val="single" w:sz="4" w:space="0" w:color="auto"/>
            </w:tcBorders>
          </w:tcPr>
          <w:p w14:paraId="42FC277F" w14:textId="77777777" w:rsidR="004D6D04" w:rsidRDefault="004D6D04" w:rsidP="008016B6">
            <w:pPr>
              <w:rPr>
                <w:rFonts w:ascii="Arial Narrow" w:hAnsi="Arial Narrow"/>
              </w:rPr>
            </w:pPr>
            <w:r>
              <w:rPr>
                <w:rFonts w:ascii="Arial Narrow" w:hAnsi="Arial Narrow"/>
                <w:i/>
              </w:rPr>
              <w:t>Leptastrea *</w:t>
            </w:r>
          </w:p>
        </w:tc>
        <w:tc>
          <w:tcPr>
            <w:tcW w:w="992" w:type="dxa"/>
            <w:tcBorders>
              <w:top w:val="single" w:sz="4" w:space="0" w:color="auto"/>
              <w:left w:val="single" w:sz="4" w:space="0" w:color="auto"/>
              <w:bottom w:val="single" w:sz="4" w:space="0" w:color="auto"/>
              <w:right w:val="single" w:sz="4" w:space="0" w:color="auto"/>
            </w:tcBorders>
            <w:vAlign w:val="center"/>
          </w:tcPr>
          <w:p w14:paraId="5E83F9A5" w14:textId="77777777" w:rsidR="004D6D04" w:rsidRDefault="004D6D04" w:rsidP="008016B6">
            <w:pPr>
              <w:jc w:val="center"/>
              <w:rPr>
                <w:rFonts w:ascii="Arial Narrow" w:hAnsi="Arial Narrow"/>
              </w:rPr>
            </w:pPr>
            <w:r>
              <w:rPr>
                <w:rFonts w:ascii="Arial Narrow" w:hAnsi="Arial Narrow"/>
              </w:rPr>
              <w:t>0.022</w:t>
            </w:r>
          </w:p>
        </w:tc>
        <w:tc>
          <w:tcPr>
            <w:tcW w:w="993" w:type="dxa"/>
            <w:tcBorders>
              <w:top w:val="single" w:sz="4" w:space="0" w:color="auto"/>
              <w:left w:val="single" w:sz="4" w:space="0" w:color="auto"/>
              <w:bottom w:val="single" w:sz="4" w:space="0" w:color="auto"/>
              <w:right w:val="single" w:sz="4" w:space="0" w:color="auto"/>
            </w:tcBorders>
            <w:vAlign w:val="center"/>
          </w:tcPr>
          <w:p w14:paraId="080D05DD" w14:textId="77777777" w:rsidR="004D6D04" w:rsidRDefault="004D6D04" w:rsidP="008016B6">
            <w:pPr>
              <w:jc w:val="center"/>
              <w:rPr>
                <w:rFonts w:ascii="Arial Narrow" w:hAnsi="Arial Narrow"/>
              </w:rPr>
            </w:pPr>
            <w:r>
              <w:rPr>
                <w:rFonts w:ascii="Arial Narrow" w:hAnsi="Arial Narrow"/>
              </w:rPr>
              <w:t>0.048</w:t>
            </w:r>
          </w:p>
        </w:tc>
      </w:tr>
      <w:tr w:rsidR="004D6D04" w14:paraId="24774525"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7009F82B" w14:textId="77777777" w:rsidR="004D6D04" w:rsidRDefault="004D6D04" w:rsidP="008016B6">
            <w:pPr>
              <w:rPr>
                <w:rFonts w:ascii="Arial Narrow" w:hAnsi="Arial Narrow"/>
                <w:i/>
              </w:rPr>
            </w:pPr>
            <w:r>
              <w:rPr>
                <w:rFonts w:ascii="Arial Narrow" w:hAnsi="Arial Narrow"/>
                <w:i/>
              </w:rPr>
              <w:t>Herpolitha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49826FC0" w14:textId="77777777" w:rsidR="004D6D04" w:rsidRDefault="004D6D04" w:rsidP="008016B6">
            <w:pPr>
              <w:jc w:val="center"/>
              <w:rPr>
                <w:rFonts w:ascii="Arial Narrow" w:hAnsi="Arial Narrow"/>
              </w:rPr>
            </w:pPr>
            <w:r>
              <w:rPr>
                <w:rFonts w:ascii="Arial Narrow" w:hAnsi="Arial Narrow"/>
              </w:rPr>
              <w:t>-0.013</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2C05E268" w14:textId="77777777" w:rsidR="004D6D04" w:rsidRDefault="004D6D04" w:rsidP="008016B6">
            <w:pPr>
              <w:jc w:val="center"/>
              <w:rPr>
                <w:rFonts w:ascii="Arial Narrow" w:hAnsi="Arial Narrow"/>
              </w:rPr>
            </w:pPr>
            <w:r>
              <w:rPr>
                <w:rFonts w:ascii="Arial Narrow" w:hAnsi="Arial Narrow"/>
              </w:rPr>
              <w:t>-0.034</w:t>
            </w:r>
          </w:p>
        </w:tc>
        <w:tc>
          <w:tcPr>
            <w:tcW w:w="2410" w:type="dxa"/>
            <w:tcBorders>
              <w:top w:val="single" w:sz="4" w:space="0" w:color="auto"/>
              <w:left w:val="thinThickThinLargeGap" w:sz="24" w:space="0" w:color="auto"/>
              <w:bottom w:val="single" w:sz="4" w:space="0" w:color="auto"/>
              <w:right w:val="single" w:sz="4" w:space="0" w:color="auto"/>
            </w:tcBorders>
          </w:tcPr>
          <w:p w14:paraId="78CB7875" w14:textId="77777777" w:rsidR="004D6D04" w:rsidRDefault="004D6D04" w:rsidP="008016B6">
            <w:pPr>
              <w:rPr>
                <w:rFonts w:ascii="Arial Narrow" w:hAnsi="Arial Narrow"/>
                <w:i/>
              </w:rPr>
            </w:pPr>
            <w:r>
              <w:rPr>
                <w:rFonts w:ascii="Arial Narrow" w:hAnsi="Arial Narrow"/>
                <w:i/>
              </w:rPr>
              <w:t>Coeloseris</w:t>
            </w:r>
          </w:p>
        </w:tc>
        <w:tc>
          <w:tcPr>
            <w:tcW w:w="992" w:type="dxa"/>
            <w:tcBorders>
              <w:top w:val="single" w:sz="4" w:space="0" w:color="auto"/>
              <w:left w:val="single" w:sz="4" w:space="0" w:color="auto"/>
              <w:bottom w:val="single" w:sz="4" w:space="0" w:color="auto"/>
              <w:right w:val="single" w:sz="4" w:space="0" w:color="auto"/>
            </w:tcBorders>
            <w:vAlign w:val="center"/>
          </w:tcPr>
          <w:p w14:paraId="30D9280D" w14:textId="77777777" w:rsidR="004D6D04" w:rsidRDefault="004D6D04" w:rsidP="008016B6">
            <w:pPr>
              <w:jc w:val="center"/>
              <w:rPr>
                <w:rFonts w:ascii="Arial Narrow" w:hAnsi="Arial Narrow"/>
              </w:rPr>
            </w:pPr>
            <w:r>
              <w:rPr>
                <w:rFonts w:ascii="Arial Narrow" w:hAnsi="Arial Narrow"/>
              </w:rPr>
              <w:t>0.052</w:t>
            </w:r>
          </w:p>
        </w:tc>
        <w:tc>
          <w:tcPr>
            <w:tcW w:w="993" w:type="dxa"/>
            <w:tcBorders>
              <w:top w:val="single" w:sz="4" w:space="0" w:color="auto"/>
              <w:left w:val="single" w:sz="4" w:space="0" w:color="auto"/>
              <w:bottom w:val="single" w:sz="4" w:space="0" w:color="auto"/>
              <w:right w:val="single" w:sz="4" w:space="0" w:color="auto"/>
            </w:tcBorders>
            <w:vAlign w:val="center"/>
          </w:tcPr>
          <w:p w14:paraId="15E244D4" w14:textId="77777777" w:rsidR="004D6D04" w:rsidRDefault="004D6D04" w:rsidP="008016B6">
            <w:pPr>
              <w:jc w:val="center"/>
              <w:rPr>
                <w:rFonts w:ascii="Arial Narrow" w:hAnsi="Arial Narrow"/>
              </w:rPr>
            </w:pPr>
          </w:p>
        </w:tc>
      </w:tr>
      <w:tr w:rsidR="004D6D04" w14:paraId="0299D164"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0EA464E7" w14:textId="77777777" w:rsidR="004D6D04" w:rsidRDefault="004D6D04" w:rsidP="008016B6">
            <w:pPr>
              <w:rPr>
                <w:rFonts w:ascii="Arial Narrow" w:hAnsi="Arial Narrow"/>
                <w:i/>
              </w:rPr>
            </w:pPr>
            <w:r>
              <w:rPr>
                <w:rFonts w:ascii="Arial Narrow" w:hAnsi="Arial Narrow"/>
                <w:i/>
              </w:rPr>
              <w:t>Lobophyllia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53BF97D5" w14:textId="77777777" w:rsidR="004D6D04" w:rsidRDefault="004D6D04" w:rsidP="008016B6">
            <w:pPr>
              <w:jc w:val="center"/>
              <w:rPr>
                <w:rFonts w:ascii="Arial Narrow" w:hAnsi="Arial Narrow"/>
              </w:rPr>
            </w:pPr>
            <w:r>
              <w:rPr>
                <w:rFonts w:ascii="Arial Narrow" w:hAnsi="Arial Narrow"/>
              </w:rPr>
              <w:t>0.018</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78309CC5" w14:textId="77777777" w:rsidR="004D6D04" w:rsidRDefault="004D6D04" w:rsidP="008016B6">
            <w:pPr>
              <w:jc w:val="center"/>
              <w:rPr>
                <w:rFonts w:ascii="Arial Narrow" w:hAnsi="Arial Narrow"/>
              </w:rPr>
            </w:pPr>
            <w:r>
              <w:rPr>
                <w:rFonts w:ascii="Arial Narrow" w:hAnsi="Arial Narrow"/>
              </w:rPr>
              <w:t>-0.034</w:t>
            </w:r>
          </w:p>
        </w:tc>
        <w:tc>
          <w:tcPr>
            <w:tcW w:w="2410" w:type="dxa"/>
            <w:tcBorders>
              <w:top w:val="single" w:sz="4" w:space="0" w:color="auto"/>
              <w:left w:val="thinThickThinLargeGap" w:sz="24" w:space="0" w:color="auto"/>
              <w:bottom w:val="single" w:sz="4" w:space="0" w:color="auto"/>
              <w:right w:val="single" w:sz="4" w:space="0" w:color="auto"/>
            </w:tcBorders>
          </w:tcPr>
          <w:p w14:paraId="7BFB1BF6" w14:textId="77777777" w:rsidR="004D6D04" w:rsidRDefault="004D6D04" w:rsidP="008016B6">
            <w:pPr>
              <w:rPr>
                <w:rFonts w:ascii="Arial Narrow" w:hAnsi="Arial Narrow"/>
              </w:rPr>
            </w:pPr>
            <w:r>
              <w:rPr>
                <w:rFonts w:ascii="Arial Narrow" w:hAnsi="Arial Narrow"/>
              </w:rPr>
              <w:t xml:space="preserve">Bottlebrush </w:t>
            </w:r>
            <w:r>
              <w:rPr>
                <w:rFonts w:ascii="Arial Narrow" w:hAnsi="Arial Narrow"/>
                <w:i/>
              </w:rPr>
              <w:t>Acropora</w:t>
            </w:r>
          </w:p>
        </w:tc>
        <w:tc>
          <w:tcPr>
            <w:tcW w:w="992" w:type="dxa"/>
            <w:tcBorders>
              <w:top w:val="single" w:sz="4" w:space="0" w:color="auto"/>
              <w:left w:val="single" w:sz="4" w:space="0" w:color="auto"/>
              <w:bottom w:val="single" w:sz="4" w:space="0" w:color="auto"/>
              <w:right w:val="single" w:sz="4" w:space="0" w:color="auto"/>
            </w:tcBorders>
            <w:vAlign w:val="center"/>
          </w:tcPr>
          <w:p w14:paraId="6B6CA9DF" w14:textId="77777777" w:rsidR="004D6D04" w:rsidRDefault="004D6D04" w:rsidP="008016B6">
            <w:pPr>
              <w:jc w:val="center"/>
              <w:rPr>
                <w:rFonts w:ascii="Arial Narrow" w:hAnsi="Arial Narrow"/>
              </w:rPr>
            </w:pPr>
            <w:r>
              <w:rPr>
                <w:rFonts w:ascii="Arial Narrow" w:hAnsi="Arial Narrow"/>
              </w:rPr>
              <w:t>0.153</w:t>
            </w:r>
          </w:p>
        </w:tc>
        <w:tc>
          <w:tcPr>
            <w:tcW w:w="993" w:type="dxa"/>
            <w:tcBorders>
              <w:top w:val="single" w:sz="4" w:space="0" w:color="auto"/>
              <w:left w:val="single" w:sz="4" w:space="0" w:color="auto"/>
              <w:bottom w:val="single" w:sz="4" w:space="0" w:color="auto"/>
              <w:right w:val="single" w:sz="4" w:space="0" w:color="auto"/>
            </w:tcBorders>
            <w:vAlign w:val="center"/>
          </w:tcPr>
          <w:p w14:paraId="42BDB371" w14:textId="77777777" w:rsidR="004D6D04" w:rsidRDefault="004D6D04" w:rsidP="008016B6">
            <w:pPr>
              <w:jc w:val="center"/>
              <w:rPr>
                <w:rFonts w:ascii="Arial Narrow" w:hAnsi="Arial Narrow"/>
              </w:rPr>
            </w:pPr>
            <w:r>
              <w:rPr>
                <w:rFonts w:ascii="Arial Narrow" w:hAnsi="Arial Narrow"/>
              </w:rPr>
              <w:t>0.070</w:t>
            </w:r>
          </w:p>
        </w:tc>
      </w:tr>
      <w:tr w:rsidR="004D6D04" w14:paraId="4DD43FB9"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6202ACE9" w14:textId="77777777" w:rsidR="004D6D04" w:rsidRDefault="004D6D04" w:rsidP="008016B6">
            <w:pPr>
              <w:rPr>
                <w:rFonts w:ascii="Arial Narrow" w:hAnsi="Arial Narrow"/>
                <w:i/>
              </w:rPr>
            </w:pPr>
            <w:r>
              <w:rPr>
                <w:rFonts w:ascii="Arial Narrow" w:hAnsi="Arial Narrow"/>
                <w:i/>
              </w:rPr>
              <w:t>Pavona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1BB060B5" w14:textId="77777777" w:rsidR="004D6D04" w:rsidRDefault="004D6D04" w:rsidP="008016B6">
            <w:pPr>
              <w:jc w:val="center"/>
              <w:rPr>
                <w:rFonts w:ascii="Arial Narrow" w:hAnsi="Arial Narrow"/>
              </w:rPr>
            </w:pPr>
            <w:r>
              <w:rPr>
                <w:rFonts w:ascii="Arial Narrow" w:hAnsi="Arial Narrow"/>
              </w:rPr>
              <w:t>-0.152</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587AC61C" w14:textId="77777777" w:rsidR="004D6D04" w:rsidRDefault="004D6D04" w:rsidP="008016B6">
            <w:pPr>
              <w:jc w:val="center"/>
              <w:rPr>
                <w:rFonts w:ascii="Arial Narrow" w:hAnsi="Arial Narrow"/>
              </w:rPr>
            </w:pPr>
            <w:r>
              <w:rPr>
                <w:rFonts w:ascii="Arial Narrow" w:hAnsi="Arial Narrow"/>
              </w:rPr>
              <w:t>-0.024</w:t>
            </w:r>
          </w:p>
        </w:tc>
        <w:tc>
          <w:tcPr>
            <w:tcW w:w="2410" w:type="dxa"/>
            <w:tcBorders>
              <w:top w:val="single" w:sz="4" w:space="0" w:color="auto"/>
              <w:left w:val="thinThickThinLargeGap" w:sz="24" w:space="0" w:color="auto"/>
              <w:bottom w:val="single" w:sz="4" w:space="0" w:color="auto"/>
              <w:right w:val="single" w:sz="4" w:space="0" w:color="auto"/>
            </w:tcBorders>
          </w:tcPr>
          <w:p w14:paraId="790F0F83" w14:textId="77777777" w:rsidR="004D6D04" w:rsidRDefault="004D6D04" w:rsidP="008016B6">
            <w:pPr>
              <w:rPr>
                <w:rFonts w:ascii="Arial Narrow" w:hAnsi="Arial Narrow"/>
              </w:rPr>
            </w:pPr>
            <w:r>
              <w:rPr>
                <w:rFonts w:ascii="Arial Narrow" w:hAnsi="Arial Narrow"/>
                <w:i/>
              </w:rPr>
              <w:t>Pocillopora</w:t>
            </w:r>
          </w:p>
        </w:tc>
        <w:tc>
          <w:tcPr>
            <w:tcW w:w="992" w:type="dxa"/>
            <w:tcBorders>
              <w:top w:val="single" w:sz="4" w:space="0" w:color="auto"/>
              <w:left w:val="single" w:sz="4" w:space="0" w:color="auto"/>
              <w:bottom w:val="single" w:sz="4" w:space="0" w:color="auto"/>
              <w:right w:val="single" w:sz="4" w:space="0" w:color="auto"/>
            </w:tcBorders>
            <w:vAlign w:val="center"/>
          </w:tcPr>
          <w:p w14:paraId="51D311A5" w14:textId="77777777" w:rsidR="004D6D04" w:rsidRDefault="004D6D04" w:rsidP="008016B6">
            <w:pPr>
              <w:jc w:val="center"/>
              <w:rPr>
                <w:rFonts w:ascii="Arial Narrow" w:hAnsi="Arial Narrow"/>
              </w:rPr>
            </w:pPr>
            <w:r>
              <w:rPr>
                <w:rFonts w:ascii="Arial Narrow" w:hAnsi="Arial Narrow"/>
              </w:rPr>
              <w:t>0.058</w:t>
            </w:r>
          </w:p>
        </w:tc>
        <w:tc>
          <w:tcPr>
            <w:tcW w:w="993" w:type="dxa"/>
            <w:tcBorders>
              <w:top w:val="single" w:sz="4" w:space="0" w:color="auto"/>
              <w:left w:val="single" w:sz="4" w:space="0" w:color="auto"/>
              <w:bottom w:val="single" w:sz="4" w:space="0" w:color="auto"/>
              <w:right w:val="single" w:sz="4" w:space="0" w:color="auto"/>
            </w:tcBorders>
            <w:vAlign w:val="center"/>
          </w:tcPr>
          <w:p w14:paraId="2958C6ED" w14:textId="77777777" w:rsidR="004D6D04" w:rsidRDefault="004D6D04" w:rsidP="008016B6">
            <w:pPr>
              <w:jc w:val="center"/>
              <w:rPr>
                <w:rFonts w:ascii="Arial Narrow" w:hAnsi="Arial Narrow"/>
              </w:rPr>
            </w:pPr>
            <w:r>
              <w:rPr>
                <w:rFonts w:ascii="Arial Narrow" w:hAnsi="Arial Narrow"/>
              </w:rPr>
              <w:t>0.074</w:t>
            </w:r>
          </w:p>
        </w:tc>
      </w:tr>
      <w:tr w:rsidR="004D6D04" w14:paraId="5CCE5DA0"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629D7CF0" w14:textId="77777777" w:rsidR="004D6D04" w:rsidRDefault="004D6D04" w:rsidP="008016B6">
            <w:pPr>
              <w:rPr>
                <w:rFonts w:ascii="Arial Narrow" w:hAnsi="Arial Narrow"/>
                <w:i/>
              </w:rPr>
            </w:pPr>
            <w:r>
              <w:rPr>
                <w:rFonts w:ascii="Arial Narrow" w:hAnsi="Arial Narrow"/>
                <w:i/>
              </w:rPr>
              <w:t>Astreopora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4ECEF022" w14:textId="77777777" w:rsidR="004D6D04" w:rsidRDefault="004D6D04" w:rsidP="008016B6">
            <w:pPr>
              <w:jc w:val="center"/>
              <w:rPr>
                <w:rFonts w:ascii="Arial Narrow" w:hAnsi="Arial Narrow"/>
              </w:rPr>
            </w:pPr>
            <w:r>
              <w:rPr>
                <w:rFonts w:ascii="Arial Narrow" w:hAnsi="Arial Narrow"/>
              </w:rPr>
              <w:t>0.031</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73DF263C" w14:textId="77777777" w:rsidR="004D6D04" w:rsidRDefault="004D6D04" w:rsidP="008016B6">
            <w:pPr>
              <w:jc w:val="center"/>
              <w:rPr>
                <w:rFonts w:ascii="Arial Narrow" w:hAnsi="Arial Narrow"/>
              </w:rPr>
            </w:pPr>
            <w:r>
              <w:rPr>
                <w:rFonts w:ascii="Arial Narrow" w:hAnsi="Arial Narrow"/>
              </w:rPr>
              <w:t>-0.023</w:t>
            </w:r>
          </w:p>
        </w:tc>
        <w:tc>
          <w:tcPr>
            <w:tcW w:w="2410" w:type="dxa"/>
            <w:tcBorders>
              <w:top w:val="single" w:sz="4" w:space="0" w:color="auto"/>
              <w:left w:val="thinThickThinLargeGap" w:sz="24" w:space="0" w:color="auto"/>
              <w:bottom w:val="single" w:sz="4" w:space="0" w:color="auto"/>
              <w:right w:val="single" w:sz="4" w:space="0" w:color="auto"/>
            </w:tcBorders>
          </w:tcPr>
          <w:p w14:paraId="52CABC7D" w14:textId="77777777" w:rsidR="004D6D04" w:rsidRDefault="004D6D04" w:rsidP="008016B6">
            <w:pPr>
              <w:rPr>
                <w:rFonts w:ascii="Arial Narrow" w:hAnsi="Arial Narrow"/>
              </w:rPr>
            </w:pPr>
            <w:r>
              <w:rPr>
                <w:rFonts w:ascii="Arial Narrow" w:hAnsi="Arial Narrow"/>
              </w:rPr>
              <w:t xml:space="preserve">Branching </w:t>
            </w:r>
            <w:r>
              <w:rPr>
                <w:rFonts w:ascii="Arial Narrow" w:hAnsi="Arial Narrow"/>
                <w:i/>
              </w:rPr>
              <w:t>Porites</w:t>
            </w:r>
          </w:p>
        </w:tc>
        <w:tc>
          <w:tcPr>
            <w:tcW w:w="992" w:type="dxa"/>
            <w:tcBorders>
              <w:top w:val="single" w:sz="4" w:space="0" w:color="auto"/>
              <w:left w:val="single" w:sz="4" w:space="0" w:color="auto"/>
              <w:bottom w:val="single" w:sz="4" w:space="0" w:color="auto"/>
              <w:right w:val="single" w:sz="4" w:space="0" w:color="auto"/>
            </w:tcBorders>
            <w:vAlign w:val="center"/>
          </w:tcPr>
          <w:p w14:paraId="46ADE871" w14:textId="77777777" w:rsidR="004D6D04" w:rsidRDefault="004D6D04" w:rsidP="008016B6">
            <w:pPr>
              <w:jc w:val="center"/>
              <w:rPr>
                <w:rFonts w:ascii="Arial Narrow" w:hAnsi="Arial Narrow"/>
              </w:rPr>
            </w:pPr>
            <w:r>
              <w:rPr>
                <w:rFonts w:ascii="Arial Narrow" w:hAnsi="Arial Narrow"/>
              </w:rPr>
              <w:t>0.059</w:t>
            </w:r>
          </w:p>
        </w:tc>
        <w:tc>
          <w:tcPr>
            <w:tcW w:w="993" w:type="dxa"/>
            <w:tcBorders>
              <w:top w:val="single" w:sz="4" w:space="0" w:color="auto"/>
              <w:left w:val="single" w:sz="4" w:space="0" w:color="auto"/>
              <w:bottom w:val="single" w:sz="4" w:space="0" w:color="auto"/>
              <w:right w:val="single" w:sz="4" w:space="0" w:color="auto"/>
            </w:tcBorders>
            <w:vAlign w:val="center"/>
          </w:tcPr>
          <w:p w14:paraId="18BB1982" w14:textId="77777777" w:rsidR="004D6D04" w:rsidRDefault="004D6D04" w:rsidP="008016B6">
            <w:pPr>
              <w:jc w:val="center"/>
              <w:rPr>
                <w:rFonts w:ascii="Arial Narrow" w:hAnsi="Arial Narrow"/>
              </w:rPr>
            </w:pPr>
            <w:r>
              <w:rPr>
                <w:rFonts w:ascii="Arial Narrow" w:hAnsi="Arial Narrow"/>
              </w:rPr>
              <w:t>0.075</w:t>
            </w:r>
          </w:p>
        </w:tc>
      </w:tr>
      <w:tr w:rsidR="004D6D04" w14:paraId="221DA9B8"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73EAB550" w14:textId="77777777" w:rsidR="004D6D04" w:rsidRDefault="004D6D04" w:rsidP="008016B6">
            <w:pPr>
              <w:rPr>
                <w:rFonts w:ascii="Arial Narrow" w:hAnsi="Arial Narrow"/>
                <w:i/>
              </w:rPr>
            </w:pPr>
            <w:r>
              <w:rPr>
                <w:rFonts w:ascii="Arial Narrow" w:hAnsi="Arial Narrow"/>
                <w:i/>
              </w:rPr>
              <w:t xml:space="preserve">Euphyllia </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0E3AB760" w14:textId="77777777" w:rsidR="004D6D04" w:rsidRDefault="004D6D04" w:rsidP="008016B6">
            <w:pPr>
              <w:jc w:val="center"/>
              <w:rPr>
                <w:rFonts w:ascii="Arial Narrow" w:hAnsi="Arial Narrow"/>
              </w:rPr>
            </w:pPr>
            <w:r>
              <w:rPr>
                <w:rFonts w:ascii="Arial Narrow" w:hAnsi="Arial Narrow"/>
              </w:rPr>
              <w:t>-0.012</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7D999458" w14:textId="77777777" w:rsidR="004D6D04" w:rsidRDefault="004D6D04" w:rsidP="008016B6">
            <w:pPr>
              <w:jc w:val="center"/>
              <w:rPr>
                <w:rFonts w:ascii="Arial Narrow" w:hAnsi="Arial Narrow"/>
              </w:rPr>
            </w:pPr>
            <w:r>
              <w:rPr>
                <w:rFonts w:ascii="Arial Narrow" w:hAnsi="Arial Narrow"/>
              </w:rPr>
              <w:t>-0.023</w:t>
            </w:r>
          </w:p>
        </w:tc>
        <w:tc>
          <w:tcPr>
            <w:tcW w:w="2410" w:type="dxa"/>
            <w:tcBorders>
              <w:top w:val="single" w:sz="4" w:space="0" w:color="auto"/>
              <w:left w:val="thinThickThinLargeGap" w:sz="24" w:space="0" w:color="auto"/>
              <w:bottom w:val="single" w:sz="4" w:space="0" w:color="auto"/>
              <w:right w:val="single" w:sz="4" w:space="0" w:color="auto"/>
            </w:tcBorders>
          </w:tcPr>
          <w:p w14:paraId="07DCF633" w14:textId="77777777" w:rsidR="004D6D04" w:rsidRDefault="004D6D04" w:rsidP="008016B6">
            <w:pPr>
              <w:rPr>
                <w:rFonts w:ascii="Arial Narrow" w:hAnsi="Arial Narrow"/>
              </w:rPr>
            </w:pPr>
            <w:r>
              <w:rPr>
                <w:rFonts w:ascii="Arial Narrow" w:hAnsi="Arial Narrow"/>
                <w:i/>
              </w:rPr>
              <w:t>Leptoria</w:t>
            </w:r>
          </w:p>
        </w:tc>
        <w:tc>
          <w:tcPr>
            <w:tcW w:w="992" w:type="dxa"/>
            <w:tcBorders>
              <w:top w:val="single" w:sz="4" w:space="0" w:color="auto"/>
              <w:left w:val="single" w:sz="4" w:space="0" w:color="auto"/>
              <w:bottom w:val="single" w:sz="4" w:space="0" w:color="auto"/>
              <w:right w:val="single" w:sz="4" w:space="0" w:color="auto"/>
            </w:tcBorders>
            <w:vAlign w:val="center"/>
          </w:tcPr>
          <w:p w14:paraId="42DDAA50" w14:textId="77777777" w:rsidR="004D6D04" w:rsidRDefault="004D6D04" w:rsidP="008016B6">
            <w:pPr>
              <w:jc w:val="center"/>
              <w:rPr>
                <w:rFonts w:ascii="Arial Narrow" w:hAnsi="Arial Narrow"/>
              </w:rPr>
            </w:pPr>
            <w:r>
              <w:rPr>
                <w:rFonts w:ascii="Arial Narrow" w:hAnsi="Arial Narrow"/>
              </w:rPr>
              <w:t>0.054</w:t>
            </w:r>
          </w:p>
        </w:tc>
        <w:tc>
          <w:tcPr>
            <w:tcW w:w="993" w:type="dxa"/>
            <w:tcBorders>
              <w:top w:val="single" w:sz="4" w:space="0" w:color="auto"/>
              <w:left w:val="single" w:sz="4" w:space="0" w:color="auto"/>
              <w:bottom w:val="single" w:sz="4" w:space="0" w:color="auto"/>
              <w:right w:val="single" w:sz="4" w:space="0" w:color="auto"/>
            </w:tcBorders>
            <w:vAlign w:val="center"/>
          </w:tcPr>
          <w:p w14:paraId="4CDBAA36" w14:textId="77777777" w:rsidR="004D6D04" w:rsidRDefault="004D6D04" w:rsidP="008016B6">
            <w:pPr>
              <w:jc w:val="center"/>
              <w:rPr>
                <w:rFonts w:ascii="Arial Narrow" w:hAnsi="Arial Narrow"/>
              </w:rPr>
            </w:pPr>
            <w:r>
              <w:rPr>
                <w:rFonts w:ascii="Arial Narrow" w:hAnsi="Arial Narrow"/>
              </w:rPr>
              <w:t>0.077</w:t>
            </w:r>
          </w:p>
        </w:tc>
      </w:tr>
      <w:tr w:rsidR="004D6D04" w14:paraId="18919AE5"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6704B1FC" w14:textId="77777777" w:rsidR="004D6D04" w:rsidRDefault="004D6D04" w:rsidP="008016B6">
            <w:pPr>
              <w:rPr>
                <w:rFonts w:ascii="Arial Narrow" w:hAnsi="Arial Narrow"/>
              </w:rPr>
            </w:pPr>
            <w:r>
              <w:rPr>
                <w:rFonts w:ascii="Arial Narrow" w:hAnsi="Arial Narrow"/>
                <w:i/>
              </w:rPr>
              <w:t>Leptoseris</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3A2D0EF4" w14:textId="77777777" w:rsidR="004D6D04" w:rsidRDefault="004D6D04" w:rsidP="008016B6">
            <w:pPr>
              <w:jc w:val="center"/>
              <w:rPr>
                <w:rFonts w:ascii="Arial Narrow" w:hAnsi="Arial Narrow"/>
              </w:rPr>
            </w:pPr>
            <w:r>
              <w:rPr>
                <w:rFonts w:ascii="Arial Narrow" w:hAnsi="Arial Narrow"/>
              </w:rPr>
              <w:t>-0.011</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6DA36A86" w14:textId="77777777" w:rsidR="004D6D04" w:rsidRDefault="004D6D04" w:rsidP="008016B6">
            <w:pPr>
              <w:jc w:val="center"/>
              <w:rPr>
                <w:rFonts w:ascii="Arial Narrow" w:hAnsi="Arial Narrow"/>
              </w:rPr>
            </w:pPr>
            <w:r>
              <w:rPr>
                <w:rFonts w:ascii="Arial Narrow" w:hAnsi="Arial Narrow"/>
              </w:rPr>
              <w:t>-0.021</w:t>
            </w:r>
          </w:p>
        </w:tc>
        <w:tc>
          <w:tcPr>
            <w:tcW w:w="2410" w:type="dxa"/>
            <w:tcBorders>
              <w:top w:val="single" w:sz="4" w:space="0" w:color="auto"/>
              <w:left w:val="thinThickThinLargeGap" w:sz="24" w:space="0" w:color="auto"/>
              <w:bottom w:val="single" w:sz="4" w:space="0" w:color="auto"/>
              <w:right w:val="single" w:sz="4" w:space="0" w:color="auto"/>
            </w:tcBorders>
          </w:tcPr>
          <w:p w14:paraId="313A8640" w14:textId="77777777" w:rsidR="004D6D04" w:rsidRDefault="004D6D04" w:rsidP="008016B6">
            <w:pPr>
              <w:rPr>
                <w:rFonts w:ascii="Arial Narrow" w:hAnsi="Arial Narrow"/>
                <w:i/>
              </w:rPr>
            </w:pPr>
            <w:r>
              <w:rPr>
                <w:rFonts w:ascii="Arial Narrow" w:hAnsi="Arial Narrow"/>
                <w:i/>
              </w:rPr>
              <w:t>Porites rus</w:t>
            </w:r>
          </w:p>
        </w:tc>
        <w:tc>
          <w:tcPr>
            <w:tcW w:w="992" w:type="dxa"/>
            <w:tcBorders>
              <w:top w:val="single" w:sz="4" w:space="0" w:color="auto"/>
              <w:left w:val="single" w:sz="4" w:space="0" w:color="auto"/>
              <w:bottom w:val="single" w:sz="4" w:space="0" w:color="auto"/>
              <w:right w:val="single" w:sz="4" w:space="0" w:color="auto"/>
            </w:tcBorders>
            <w:vAlign w:val="center"/>
          </w:tcPr>
          <w:p w14:paraId="2D3D0A8F" w14:textId="77777777" w:rsidR="004D6D04" w:rsidRDefault="004D6D04" w:rsidP="008016B6">
            <w:pPr>
              <w:jc w:val="center"/>
              <w:rPr>
                <w:rFonts w:ascii="Arial Narrow" w:hAnsi="Arial Narrow"/>
              </w:rPr>
            </w:pPr>
            <w:r>
              <w:rPr>
                <w:rFonts w:ascii="Arial Narrow" w:hAnsi="Arial Narrow"/>
              </w:rPr>
              <w:t>0.122</w:t>
            </w:r>
          </w:p>
        </w:tc>
        <w:tc>
          <w:tcPr>
            <w:tcW w:w="993" w:type="dxa"/>
            <w:tcBorders>
              <w:top w:val="single" w:sz="4" w:space="0" w:color="auto"/>
              <w:left w:val="single" w:sz="4" w:space="0" w:color="auto"/>
              <w:bottom w:val="single" w:sz="4" w:space="0" w:color="auto"/>
              <w:right w:val="single" w:sz="4" w:space="0" w:color="auto"/>
            </w:tcBorders>
            <w:vAlign w:val="center"/>
          </w:tcPr>
          <w:p w14:paraId="19CAEA77" w14:textId="77777777" w:rsidR="004D6D04" w:rsidRDefault="004D6D04" w:rsidP="008016B6">
            <w:pPr>
              <w:jc w:val="center"/>
              <w:rPr>
                <w:rFonts w:ascii="Arial Narrow" w:hAnsi="Arial Narrow"/>
              </w:rPr>
            </w:pPr>
            <w:r>
              <w:rPr>
                <w:rFonts w:ascii="Arial Narrow" w:hAnsi="Arial Narrow"/>
              </w:rPr>
              <w:t>0.087</w:t>
            </w:r>
          </w:p>
        </w:tc>
      </w:tr>
      <w:tr w:rsidR="004D6D04" w14:paraId="746E1062"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24EFF77E" w14:textId="77777777" w:rsidR="004D6D04" w:rsidRDefault="004D6D04" w:rsidP="008016B6">
            <w:pPr>
              <w:rPr>
                <w:rFonts w:ascii="Arial Narrow" w:hAnsi="Arial Narrow"/>
                <w:i/>
              </w:rPr>
            </w:pPr>
            <w:r>
              <w:rPr>
                <w:rFonts w:ascii="Arial Narrow" w:hAnsi="Arial Narrow"/>
                <w:i/>
              </w:rPr>
              <w:t>Palauastrea *</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24F66E5F" w14:textId="77777777" w:rsidR="004D6D04" w:rsidRDefault="004D6D04" w:rsidP="008016B6">
            <w:pPr>
              <w:jc w:val="center"/>
              <w:rPr>
                <w:rFonts w:ascii="Arial Narrow" w:hAnsi="Arial Narrow"/>
              </w:rPr>
            </w:pPr>
            <w:r>
              <w:rPr>
                <w:rFonts w:ascii="Arial Narrow" w:hAnsi="Arial Narrow"/>
              </w:rPr>
              <w:t>0.002</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1CF504EF" w14:textId="77777777" w:rsidR="004D6D04" w:rsidRDefault="004D6D04" w:rsidP="008016B6">
            <w:pPr>
              <w:jc w:val="center"/>
              <w:rPr>
                <w:rFonts w:ascii="Arial Narrow" w:hAnsi="Arial Narrow"/>
              </w:rPr>
            </w:pPr>
            <w:r>
              <w:rPr>
                <w:rFonts w:ascii="Arial Narrow" w:hAnsi="Arial Narrow"/>
              </w:rPr>
              <w:t>-0.021</w:t>
            </w:r>
          </w:p>
        </w:tc>
        <w:tc>
          <w:tcPr>
            <w:tcW w:w="2410" w:type="dxa"/>
            <w:tcBorders>
              <w:top w:val="single" w:sz="4" w:space="0" w:color="auto"/>
              <w:left w:val="thinThickThinLargeGap" w:sz="24" w:space="0" w:color="auto"/>
              <w:bottom w:val="single" w:sz="4" w:space="0" w:color="auto"/>
              <w:right w:val="single" w:sz="4" w:space="0" w:color="auto"/>
            </w:tcBorders>
          </w:tcPr>
          <w:p w14:paraId="7ECB172B" w14:textId="77777777" w:rsidR="004D6D04" w:rsidRDefault="004D6D04" w:rsidP="008016B6">
            <w:pPr>
              <w:rPr>
                <w:rFonts w:ascii="Arial Narrow" w:hAnsi="Arial Narrow"/>
                <w:i/>
              </w:rPr>
            </w:pPr>
            <w:r>
              <w:rPr>
                <w:rFonts w:ascii="Arial Narrow" w:hAnsi="Arial Narrow"/>
                <w:i/>
              </w:rPr>
              <w:t>Echinopora</w:t>
            </w:r>
          </w:p>
        </w:tc>
        <w:tc>
          <w:tcPr>
            <w:tcW w:w="992" w:type="dxa"/>
            <w:tcBorders>
              <w:top w:val="single" w:sz="4" w:space="0" w:color="auto"/>
              <w:left w:val="single" w:sz="4" w:space="0" w:color="auto"/>
              <w:bottom w:val="single" w:sz="4" w:space="0" w:color="auto"/>
              <w:right w:val="single" w:sz="4" w:space="0" w:color="auto"/>
            </w:tcBorders>
            <w:vAlign w:val="center"/>
          </w:tcPr>
          <w:p w14:paraId="5044BE5D" w14:textId="77777777" w:rsidR="004D6D04" w:rsidRDefault="004D6D04" w:rsidP="008016B6">
            <w:pPr>
              <w:jc w:val="center"/>
              <w:rPr>
                <w:rFonts w:ascii="Arial Narrow" w:hAnsi="Arial Narrow"/>
              </w:rPr>
            </w:pPr>
            <w:r>
              <w:rPr>
                <w:rFonts w:ascii="Arial Narrow" w:hAnsi="Arial Narrow"/>
              </w:rPr>
              <w:t>0.076</w:t>
            </w:r>
          </w:p>
        </w:tc>
        <w:tc>
          <w:tcPr>
            <w:tcW w:w="993" w:type="dxa"/>
            <w:tcBorders>
              <w:top w:val="single" w:sz="4" w:space="0" w:color="auto"/>
              <w:left w:val="single" w:sz="4" w:space="0" w:color="auto"/>
              <w:bottom w:val="single" w:sz="4" w:space="0" w:color="auto"/>
              <w:right w:val="single" w:sz="4" w:space="0" w:color="auto"/>
            </w:tcBorders>
            <w:vAlign w:val="center"/>
          </w:tcPr>
          <w:p w14:paraId="7847C56E" w14:textId="77777777" w:rsidR="004D6D04" w:rsidRDefault="004D6D04" w:rsidP="008016B6">
            <w:pPr>
              <w:jc w:val="center"/>
              <w:rPr>
                <w:rFonts w:ascii="Arial Narrow" w:hAnsi="Arial Narrow"/>
              </w:rPr>
            </w:pPr>
            <w:r>
              <w:rPr>
                <w:rFonts w:ascii="Arial Narrow" w:hAnsi="Arial Narrow"/>
              </w:rPr>
              <w:t>0.096</w:t>
            </w:r>
          </w:p>
        </w:tc>
      </w:tr>
      <w:tr w:rsidR="004D6D04" w14:paraId="063906C4"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3D777085" w14:textId="77777777" w:rsidR="004D6D04" w:rsidRDefault="004D6D04" w:rsidP="008016B6">
            <w:pPr>
              <w:rPr>
                <w:rFonts w:ascii="Arial Narrow" w:hAnsi="Arial Narrow"/>
                <w:i/>
              </w:rPr>
            </w:pPr>
            <w:r>
              <w:rPr>
                <w:rFonts w:ascii="Arial Narrow" w:hAnsi="Arial Narrow"/>
                <w:i/>
              </w:rPr>
              <w:t>Polyphyllia *</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2A246DF8" w14:textId="77777777" w:rsidR="004D6D04" w:rsidRDefault="004D6D04" w:rsidP="008016B6">
            <w:pPr>
              <w:jc w:val="center"/>
              <w:rPr>
                <w:rFonts w:ascii="Arial Narrow" w:hAnsi="Arial Narrow"/>
              </w:rPr>
            </w:pPr>
            <w:r>
              <w:rPr>
                <w:rFonts w:ascii="Arial Narrow" w:hAnsi="Arial Narrow"/>
              </w:rPr>
              <w:t>0</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529B79CA" w14:textId="77777777" w:rsidR="004D6D04" w:rsidRDefault="004D6D04" w:rsidP="008016B6">
            <w:pPr>
              <w:jc w:val="center"/>
              <w:rPr>
                <w:rFonts w:ascii="Arial Narrow" w:hAnsi="Arial Narrow"/>
              </w:rPr>
            </w:pPr>
            <w:r>
              <w:rPr>
                <w:rFonts w:ascii="Arial Narrow" w:hAnsi="Arial Narrow"/>
              </w:rPr>
              <w:t>-0.020</w:t>
            </w:r>
          </w:p>
        </w:tc>
        <w:tc>
          <w:tcPr>
            <w:tcW w:w="2410" w:type="dxa"/>
            <w:tcBorders>
              <w:top w:val="single" w:sz="4" w:space="0" w:color="auto"/>
              <w:left w:val="thinThickThinLargeGap" w:sz="24" w:space="0" w:color="auto"/>
              <w:bottom w:val="single" w:sz="4" w:space="0" w:color="auto"/>
              <w:right w:val="single" w:sz="4" w:space="0" w:color="auto"/>
            </w:tcBorders>
          </w:tcPr>
          <w:p w14:paraId="319C2B27" w14:textId="77777777" w:rsidR="004D6D04" w:rsidRDefault="004D6D04" w:rsidP="008016B6">
            <w:pPr>
              <w:rPr>
                <w:rFonts w:ascii="Arial Narrow" w:hAnsi="Arial Narrow"/>
                <w:i/>
              </w:rPr>
            </w:pPr>
            <w:r>
              <w:rPr>
                <w:rFonts w:ascii="Arial Narrow" w:hAnsi="Arial Narrow"/>
              </w:rPr>
              <w:t xml:space="preserve">Massive </w:t>
            </w:r>
            <w:r>
              <w:rPr>
                <w:rFonts w:ascii="Arial Narrow" w:hAnsi="Arial Narrow"/>
                <w:i/>
              </w:rPr>
              <w:t>Porites</w:t>
            </w:r>
          </w:p>
        </w:tc>
        <w:tc>
          <w:tcPr>
            <w:tcW w:w="992" w:type="dxa"/>
            <w:tcBorders>
              <w:top w:val="single" w:sz="4" w:space="0" w:color="auto"/>
              <w:left w:val="single" w:sz="4" w:space="0" w:color="auto"/>
              <w:bottom w:val="single" w:sz="4" w:space="0" w:color="auto"/>
              <w:right w:val="single" w:sz="4" w:space="0" w:color="auto"/>
            </w:tcBorders>
            <w:vAlign w:val="center"/>
          </w:tcPr>
          <w:p w14:paraId="4F3038CE" w14:textId="77777777" w:rsidR="004D6D04" w:rsidRDefault="004D6D04" w:rsidP="008016B6">
            <w:pPr>
              <w:jc w:val="center"/>
              <w:rPr>
                <w:rFonts w:ascii="Arial Narrow" w:hAnsi="Arial Narrow"/>
              </w:rPr>
            </w:pPr>
            <w:r>
              <w:rPr>
                <w:rFonts w:ascii="Arial Narrow" w:hAnsi="Arial Narrow"/>
              </w:rPr>
              <w:t>-0.054</w:t>
            </w:r>
          </w:p>
        </w:tc>
        <w:tc>
          <w:tcPr>
            <w:tcW w:w="993" w:type="dxa"/>
            <w:tcBorders>
              <w:top w:val="single" w:sz="4" w:space="0" w:color="auto"/>
              <w:left w:val="single" w:sz="4" w:space="0" w:color="auto"/>
              <w:bottom w:val="single" w:sz="4" w:space="0" w:color="auto"/>
              <w:right w:val="single" w:sz="4" w:space="0" w:color="auto"/>
            </w:tcBorders>
            <w:vAlign w:val="center"/>
          </w:tcPr>
          <w:p w14:paraId="0800152D" w14:textId="77777777" w:rsidR="004D6D04" w:rsidRDefault="004D6D04" w:rsidP="008016B6">
            <w:pPr>
              <w:jc w:val="center"/>
              <w:rPr>
                <w:rFonts w:ascii="Arial Narrow" w:hAnsi="Arial Narrow"/>
              </w:rPr>
            </w:pPr>
            <w:r>
              <w:rPr>
                <w:rFonts w:ascii="Arial Narrow" w:hAnsi="Arial Narrow"/>
              </w:rPr>
              <w:t>0.122</w:t>
            </w:r>
          </w:p>
        </w:tc>
      </w:tr>
      <w:tr w:rsidR="004D6D04" w14:paraId="79121517"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54C52F25" w14:textId="77777777" w:rsidR="004D6D04" w:rsidRDefault="004D6D04" w:rsidP="008016B6">
            <w:pPr>
              <w:rPr>
                <w:rFonts w:ascii="Arial Narrow" w:hAnsi="Arial Narrow"/>
                <w:i/>
              </w:rPr>
            </w:pPr>
            <w:r>
              <w:rPr>
                <w:rFonts w:ascii="Arial Narrow" w:hAnsi="Arial Narrow"/>
                <w:i/>
              </w:rPr>
              <w:t>Heliofungia</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2BAE8326" w14:textId="77777777" w:rsidR="004D6D04" w:rsidRDefault="004D6D04" w:rsidP="008016B6">
            <w:pPr>
              <w:jc w:val="center"/>
              <w:rPr>
                <w:rFonts w:ascii="Arial Narrow" w:hAnsi="Arial Narrow"/>
              </w:rPr>
            </w:pPr>
            <w:r>
              <w:rPr>
                <w:rFonts w:ascii="Arial Narrow" w:hAnsi="Arial Narrow"/>
              </w:rPr>
              <w:t>0.015</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60EA0113" w14:textId="77777777" w:rsidR="004D6D04" w:rsidRDefault="004D6D04" w:rsidP="008016B6">
            <w:pPr>
              <w:jc w:val="center"/>
              <w:rPr>
                <w:rFonts w:ascii="Arial Narrow" w:hAnsi="Arial Narrow"/>
              </w:rPr>
            </w:pPr>
            <w:r>
              <w:rPr>
                <w:rFonts w:ascii="Arial Narrow" w:hAnsi="Arial Narrow"/>
              </w:rPr>
              <w:t>-0.007</w:t>
            </w:r>
          </w:p>
        </w:tc>
        <w:tc>
          <w:tcPr>
            <w:tcW w:w="2410" w:type="dxa"/>
            <w:tcBorders>
              <w:top w:val="single" w:sz="4" w:space="0" w:color="auto"/>
              <w:left w:val="thinThickThinLargeGap" w:sz="24" w:space="0" w:color="auto"/>
              <w:bottom w:val="single" w:sz="4" w:space="0" w:color="auto"/>
              <w:right w:val="single" w:sz="4" w:space="0" w:color="auto"/>
            </w:tcBorders>
          </w:tcPr>
          <w:p w14:paraId="0C381F8E" w14:textId="77777777" w:rsidR="004D6D04" w:rsidRDefault="004D6D04" w:rsidP="008016B6">
            <w:pPr>
              <w:rPr>
                <w:rFonts w:ascii="Arial Narrow" w:hAnsi="Arial Narrow"/>
              </w:rPr>
            </w:pPr>
            <w:r>
              <w:rPr>
                <w:rFonts w:ascii="Arial Narrow" w:hAnsi="Arial Narrow"/>
                <w:i/>
              </w:rPr>
              <w:t>Diploastrea</w:t>
            </w:r>
          </w:p>
        </w:tc>
        <w:tc>
          <w:tcPr>
            <w:tcW w:w="992" w:type="dxa"/>
            <w:tcBorders>
              <w:top w:val="single" w:sz="4" w:space="0" w:color="auto"/>
              <w:left w:val="single" w:sz="4" w:space="0" w:color="auto"/>
              <w:bottom w:val="single" w:sz="4" w:space="0" w:color="auto"/>
              <w:right w:val="single" w:sz="4" w:space="0" w:color="auto"/>
            </w:tcBorders>
            <w:vAlign w:val="center"/>
          </w:tcPr>
          <w:p w14:paraId="601F4268" w14:textId="77777777" w:rsidR="004D6D04" w:rsidRDefault="004D6D04" w:rsidP="008016B6">
            <w:pPr>
              <w:jc w:val="center"/>
              <w:rPr>
                <w:rFonts w:ascii="Arial Narrow" w:hAnsi="Arial Narrow"/>
              </w:rPr>
            </w:pPr>
            <w:r>
              <w:rPr>
                <w:rFonts w:ascii="Arial Narrow" w:hAnsi="Arial Narrow"/>
              </w:rPr>
              <w:t>0.003</w:t>
            </w:r>
          </w:p>
        </w:tc>
        <w:tc>
          <w:tcPr>
            <w:tcW w:w="993" w:type="dxa"/>
            <w:tcBorders>
              <w:top w:val="single" w:sz="4" w:space="0" w:color="auto"/>
              <w:left w:val="single" w:sz="4" w:space="0" w:color="auto"/>
              <w:bottom w:val="single" w:sz="4" w:space="0" w:color="auto"/>
              <w:right w:val="single" w:sz="4" w:space="0" w:color="auto"/>
            </w:tcBorders>
            <w:vAlign w:val="center"/>
          </w:tcPr>
          <w:p w14:paraId="2A4375FC" w14:textId="77777777" w:rsidR="004D6D04" w:rsidRDefault="004D6D04" w:rsidP="008016B6">
            <w:pPr>
              <w:jc w:val="center"/>
              <w:rPr>
                <w:rFonts w:ascii="Arial Narrow" w:hAnsi="Arial Narrow"/>
              </w:rPr>
            </w:pPr>
            <w:r>
              <w:rPr>
                <w:rFonts w:ascii="Arial Narrow" w:hAnsi="Arial Narrow"/>
              </w:rPr>
              <w:t>0.173</w:t>
            </w:r>
          </w:p>
        </w:tc>
      </w:tr>
      <w:tr w:rsidR="004D6D04" w14:paraId="1661062D"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45C01DAC" w14:textId="77777777" w:rsidR="004D6D04" w:rsidRDefault="004D6D04" w:rsidP="008016B6">
            <w:pPr>
              <w:rPr>
                <w:rFonts w:ascii="Arial Narrow" w:hAnsi="Arial Narrow"/>
                <w:i/>
              </w:rPr>
            </w:pPr>
            <w:r>
              <w:rPr>
                <w:rFonts w:ascii="Arial Narrow" w:hAnsi="Arial Narrow"/>
                <w:i/>
              </w:rPr>
              <w:t>Catalaphyllia *</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763F354F" w14:textId="77777777" w:rsidR="004D6D04" w:rsidRDefault="004D6D04" w:rsidP="008016B6">
            <w:pPr>
              <w:jc w:val="center"/>
              <w:rPr>
                <w:rFonts w:ascii="Arial Narrow" w:hAnsi="Arial Narrow"/>
              </w:rPr>
            </w:pPr>
            <w:r>
              <w:rPr>
                <w:rFonts w:ascii="Arial Narrow" w:hAnsi="Arial Narrow"/>
              </w:rPr>
              <w:t>-0.002</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71ED1221" w14:textId="77777777" w:rsidR="004D6D04" w:rsidRDefault="004D6D04" w:rsidP="008016B6">
            <w:pPr>
              <w:jc w:val="center"/>
              <w:rPr>
                <w:rFonts w:ascii="Arial Narrow" w:hAnsi="Arial Narrow"/>
              </w:rPr>
            </w:pPr>
            <w:r>
              <w:rPr>
                <w:rFonts w:ascii="Arial Narrow" w:hAnsi="Arial Narrow"/>
              </w:rPr>
              <w:t>-0.006</w:t>
            </w:r>
          </w:p>
        </w:tc>
        <w:tc>
          <w:tcPr>
            <w:tcW w:w="2410" w:type="dxa"/>
            <w:tcBorders>
              <w:top w:val="single" w:sz="4" w:space="0" w:color="auto"/>
              <w:left w:val="thinThickThinLargeGap" w:sz="24" w:space="0" w:color="auto"/>
              <w:bottom w:val="single" w:sz="4" w:space="0" w:color="auto"/>
              <w:right w:val="single" w:sz="4" w:space="0" w:color="auto"/>
            </w:tcBorders>
          </w:tcPr>
          <w:p w14:paraId="2EDD74B3" w14:textId="77777777" w:rsidR="004D6D04" w:rsidRDefault="004D6D04" w:rsidP="008016B6">
            <w:pPr>
              <w:rPr>
                <w:rFonts w:ascii="Arial Narrow" w:hAnsi="Arial Narrow"/>
                <w:i/>
              </w:rPr>
            </w:pPr>
            <w:r>
              <w:rPr>
                <w:rFonts w:ascii="Arial Narrow" w:hAnsi="Arial Narrow"/>
              </w:rPr>
              <w:t xml:space="preserve">Tabulate </w:t>
            </w:r>
            <w:r>
              <w:rPr>
                <w:rFonts w:ascii="Arial Narrow" w:hAnsi="Arial Narrow"/>
                <w:i/>
              </w:rPr>
              <w:t>Acropora</w:t>
            </w:r>
          </w:p>
        </w:tc>
        <w:tc>
          <w:tcPr>
            <w:tcW w:w="992" w:type="dxa"/>
            <w:tcBorders>
              <w:top w:val="single" w:sz="4" w:space="0" w:color="auto"/>
              <w:left w:val="single" w:sz="4" w:space="0" w:color="auto"/>
              <w:bottom w:val="single" w:sz="4" w:space="0" w:color="auto"/>
              <w:right w:val="single" w:sz="4" w:space="0" w:color="auto"/>
            </w:tcBorders>
            <w:vAlign w:val="center"/>
          </w:tcPr>
          <w:p w14:paraId="00D2C27C" w14:textId="77777777" w:rsidR="004D6D04" w:rsidRDefault="004D6D04" w:rsidP="008016B6">
            <w:pPr>
              <w:jc w:val="center"/>
              <w:rPr>
                <w:rFonts w:ascii="Arial Narrow" w:hAnsi="Arial Narrow"/>
              </w:rPr>
            </w:pPr>
            <w:r>
              <w:rPr>
                <w:rFonts w:ascii="Arial Narrow" w:hAnsi="Arial Narrow"/>
              </w:rPr>
              <w:t>0.052</w:t>
            </w:r>
          </w:p>
        </w:tc>
        <w:tc>
          <w:tcPr>
            <w:tcW w:w="993" w:type="dxa"/>
            <w:tcBorders>
              <w:top w:val="single" w:sz="4" w:space="0" w:color="auto"/>
              <w:left w:val="single" w:sz="4" w:space="0" w:color="auto"/>
              <w:bottom w:val="single" w:sz="4" w:space="0" w:color="auto"/>
              <w:right w:val="single" w:sz="4" w:space="0" w:color="auto"/>
            </w:tcBorders>
            <w:vAlign w:val="center"/>
          </w:tcPr>
          <w:p w14:paraId="307BBF27" w14:textId="77777777" w:rsidR="004D6D04" w:rsidRDefault="004D6D04" w:rsidP="008016B6">
            <w:pPr>
              <w:jc w:val="center"/>
              <w:rPr>
                <w:rFonts w:ascii="Arial Narrow" w:hAnsi="Arial Narrow"/>
              </w:rPr>
            </w:pPr>
            <w:r>
              <w:rPr>
                <w:rFonts w:ascii="Arial Narrow" w:hAnsi="Arial Narrow"/>
              </w:rPr>
              <w:t>0.224</w:t>
            </w:r>
          </w:p>
        </w:tc>
      </w:tr>
      <w:tr w:rsidR="004D6D04" w14:paraId="75A669DF"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2336A482" w14:textId="77777777" w:rsidR="004D6D04" w:rsidRDefault="004D6D04" w:rsidP="008016B6">
            <w:pPr>
              <w:rPr>
                <w:rFonts w:ascii="Arial Narrow" w:hAnsi="Arial Narrow"/>
                <w:i/>
              </w:rPr>
            </w:pPr>
            <w:r>
              <w:rPr>
                <w:rFonts w:ascii="Arial Narrow" w:hAnsi="Arial Narrow"/>
                <w:i/>
              </w:rPr>
              <w:t>Stylocoeniella *</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0251DB3F" w14:textId="77777777" w:rsidR="004D6D04" w:rsidRDefault="004D6D04" w:rsidP="008016B6">
            <w:pPr>
              <w:jc w:val="center"/>
              <w:rPr>
                <w:rFonts w:ascii="Arial Narrow" w:hAnsi="Arial Narrow"/>
              </w:rPr>
            </w:pPr>
            <w:r>
              <w:rPr>
                <w:rFonts w:ascii="Arial Narrow" w:hAnsi="Arial Narrow"/>
              </w:rPr>
              <w:t>0.004</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1954AAB6" w14:textId="77777777" w:rsidR="004D6D04" w:rsidRDefault="004D6D04" w:rsidP="008016B6">
            <w:pPr>
              <w:jc w:val="center"/>
              <w:rPr>
                <w:rFonts w:ascii="Arial Narrow" w:hAnsi="Arial Narrow"/>
              </w:rPr>
            </w:pPr>
            <w:r>
              <w:rPr>
                <w:rFonts w:ascii="Arial Narrow" w:hAnsi="Arial Narrow"/>
              </w:rPr>
              <w:t>-0.006</w:t>
            </w:r>
          </w:p>
        </w:tc>
        <w:tc>
          <w:tcPr>
            <w:tcW w:w="2410" w:type="dxa"/>
            <w:tcBorders>
              <w:top w:val="single" w:sz="4" w:space="0" w:color="auto"/>
              <w:left w:val="thinThickThinLargeGap" w:sz="24" w:space="0" w:color="auto"/>
              <w:bottom w:val="single" w:sz="4" w:space="0" w:color="auto"/>
              <w:right w:val="single" w:sz="4" w:space="0" w:color="auto"/>
            </w:tcBorders>
          </w:tcPr>
          <w:p w14:paraId="6025C765" w14:textId="77777777" w:rsidR="004D6D04" w:rsidRDefault="004D6D04" w:rsidP="008016B6">
            <w:pPr>
              <w:rPr>
                <w:rFonts w:ascii="Arial Narrow" w:hAnsi="Arial Narrow"/>
              </w:rPr>
            </w:pPr>
            <w:r>
              <w:rPr>
                <w:rFonts w:ascii="Arial Narrow" w:hAnsi="Arial Narrow"/>
              </w:rPr>
              <w:t xml:space="preserve">Corymbose </w:t>
            </w:r>
            <w:r>
              <w:rPr>
                <w:rFonts w:ascii="Arial Narrow" w:hAnsi="Arial Narrow"/>
                <w:i/>
              </w:rPr>
              <w:t>Acropora</w:t>
            </w:r>
          </w:p>
        </w:tc>
        <w:tc>
          <w:tcPr>
            <w:tcW w:w="992" w:type="dxa"/>
            <w:tcBorders>
              <w:top w:val="single" w:sz="4" w:space="0" w:color="auto"/>
              <w:left w:val="single" w:sz="4" w:space="0" w:color="auto"/>
              <w:bottom w:val="single" w:sz="4" w:space="0" w:color="auto"/>
              <w:right w:val="single" w:sz="4" w:space="0" w:color="auto"/>
            </w:tcBorders>
            <w:vAlign w:val="center"/>
          </w:tcPr>
          <w:p w14:paraId="245F5A87" w14:textId="77777777" w:rsidR="004D6D04" w:rsidRDefault="004D6D04" w:rsidP="008016B6">
            <w:pPr>
              <w:jc w:val="center"/>
              <w:rPr>
                <w:rFonts w:ascii="Arial Narrow" w:hAnsi="Arial Narrow"/>
              </w:rPr>
            </w:pPr>
            <w:r>
              <w:rPr>
                <w:rFonts w:ascii="Arial Narrow" w:hAnsi="Arial Narrow"/>
              </w:rPr>
              <w:t>0.060</w:t>
            </w:r>
          </w:p>
        </w:tc>
        <w:tc>
          <w:tcPr>
            <w:tcW w:w="993" w:type="dxa"/>
            <w:tcBorders>
              <w:top w:val="single" w:sz="4" w:space="0" w:color="auto"/>
              <w:left w:val="single" w:sz="4" w:space="0" w:color="auto"/>
              <w:bottom w:val="single" w:sz="4" w:space="0" w:color="auto"/>
              <w:right w:val="single" w:sz="4" w:space="0" w:color="auto"/>
            </w:tcBorders>
            <w:vAlign w:val="center"/>
          </w:tcPr>
          <w:p w14:paraId="7920AD54" w14:textId="77777777" w:rsidR="004D6D04" w:rsidRDefault="004D6D04" w:rsidP="008016B6">
            <w:pPr>
              <w:jc w:val="center"/>
              <w:rPr>
                <w:rFonts w:ascii="Arial Narrow" w:hAnsi="Arial Narrow"/>
              </w:rPr>
            </w:pPr>
            <w:r>
              <w:rPr>
                <w:rFonts w:ascii="Arial Narrow" w:hAnsi="Arial Narrow"/>
              </w:rPr>
              <w:t>0.240</w:t>
            </w:r>
          </w:p>
        </w:tc>
      </w:tr>
      <w:tr w:rsidR="004D6D04" w14:paraId="15C57290"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0C3881AE" w14:textId="77777777" w:rsidR="004D6D04" w:rsidRDefault="004D6D04" w:rsidP="008016B6">
            <w:pPr>
              <w:rPr>
                <w:rFonts w:ascii="Arial Narrow" w:hAnsi="Arial Narrow"/>
                <w:i/>
              </w:rPr>
            </w:pPr>
            <w:r>
              <w:rPr>
                <w:rFonts w:ascii="Arial Narrow" w:hAnsi="Arial Narrow"/>
                <w:i/>
              </w:rPr>
              <w:t>Pseudosiderastrea *</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6ED3B8D0" w14:textId="77777777" w:rsidR="004D6D04" w:rsidRDefault="004D6D04" w:rsidP="008016B6">
            <w:pPr>
              <w:jc w:val="center"/>
              <w:rPr>
                <w:rFonts w:ascii="Arial Narrow" w:hAnsi="Arial Narrow"/>
              </w:rPr>
            </w:pPr>
            <w:r>
              <w:rPr>
                <w:rFonts w:ascii="Arial Narrow" w:hAnsi="Arial Narrow"/>
              </w:rPr>
              <w:t>-0.001</w:t>
            </w:r>
          </w:p>
        </w:tc>
        <w:tc>
          <w:tcPr>
            <w:tcW w:w="992" w:type="dxa"/>
            <w:tcBorders>
              <w:top w:val="single" w:sz="4" w:space="0" w:color="auto"/>
              <w:left w:val="single" w:sz="4" w:space="0" w:color="auto"/>
              <w:bottom w:val="single" w:sz="4" w:space="0" w:color="auto"/>
              <w:right w:val="thinThickThinLargeGap" w:sz="24" w:space="0" w:color="auto"/>
            </w:tcBorders>
            <w:noWrap/>
            <w:vAlign w:val="center"/>
            <w:hideMark/>
          </w:tcPr>
          <w:p w14:paraId="4B660424" w14:textId="77777777" w:rsidR="004D6D04" w:rsidRDefault="004D6D04" w:rsidP="008016B6">
            <w:pPr>
              <w:jc w:val="center"/>
              <w:rPr>
                <w:rFonts w:ascii="Arial Narrow" w:hAnsi="Arial Narrow"/>
              </w:rPr>
            </w:pPr>
            <w:r>
              <w:rPr>
                <w:rFonts w:ascii="Arial Narrow" w:hAnsi="Arial Narrow"/>
              </w:rPr>
              <w:t>-0.006</w:t>
            </w:r>
          </w:p>
        </w:tc>
        <w:tc>
          <w:tcPr>
            <w:tcW w:w="2410" w:type="dxa"/>
            <w:tcBorders>
              <w:top w:val="single" w:sz="4" w:space="0" w:color="auto"/>
              <w:left w:val="thinThickThinLargeGap" w:sz="24" w:space="0" w:color="auto"/>
              <w:bottom w:val="single" w:sz="4" w:space="0" w:color="auto"/>
              <w:right w:val="single" w:sz="4" w:space="0" w:color="auto"/>
            </w:tcBorders>
          </w:tcPr>
          <w:p w14:paraId="23B9A73B" w14:textId="77777777" w:rsidR="004D6D04" w:rsidRDefault="004D6D04" w:rsidP="008016B6">
            <w:pPr>
              <w:rPr>
                <w:rFonts w:ascii="Arial Narrow" w:hAnsi="Arial Narrow"/>
              </w:rPr>
            </w:pPr>
            <w:r>
              <w:rPr>
                <w:rFonts w:ascii="Arial Narrow" w:hAnsi="Arial Narrow"/>
              </w:rPr>
              <w:t xml:space="preserve">Branching </w:t>
            </w:r>
            <w:r>
              <w:rPr>
                <w:rFonts w:ascii="Arial Narrow" w:hAnsi="Arial Narrow"/>
                <w:i/>
              </w:rPr>
              <w:t>Acropora</w:t>
            </w:r>
          </w:p>
        </w:tc>
        <w:tc>
          <w:tcPr>
            <w:tcW w:w="992" w:type="dxa"/>
            <w:tcBorders>
              <w:top w:val="single" w:sz="4" w:space="0" w:color="auto"/>
              <w:left w:val="single" w:sz="4" w:space="0" w:color="auto"/>
              <w:bottom w:val="single" w:sz="4" w:space="0" w:color="auto"/>
              <w:right w:val="single" w:sz="4" w:space="0" w:color="auto"/>
            </w:tcBorders>
            <w:vAlign w:val="center"/>
          </w:tcPr>
          <w:p w14:paraId="24514738" w14:textId="77777777" w:rsidR="004D6D04" w:rsidRDefault="004D6D04" w:rsidP="008016B6">
            <w:pPr>
              <w:jc w:val="center"/>
              <w:rPr>
                <w:rFonts w:ascii="Arial Narrow" w:hAnsi="Arial Narrow"/>
              </w:rPr>
            </w:pPr>
            <w:r>
              <w:rPr>
                <w:rFonts w:ascii="Arial Narrow" w:hAnsi="Arial Narrow"/>
              </w:rPr>
              <w:t>0.657</w:t>
            </w:r>
          </w:p>
        </w:tc>
        <w:tc>
          <w:tcPr>
            <w:tcW w:w="993" w:type="dxa"/>
            <w:tcBorders>
              <w:top w:val="single" w:sz="4" w:space="0" w:color="auto"/>
              <w:left w:val="single" w:sz="4" w:space="0" w:color="auto"/>
              <w:bottom w:val="single" w:sz="4" w:space="0" w:color="auto"/>
              <w:right w:val="single" w:sz="4" w:space="0" w:color="auto"/>
            </w:tcBorders>
            <w:vAlign w:val="center"/>
          </w:tcPr>
          <w:p w14:paraId="5D25FF71" w14:textId="77777777" w:rsidR="004D6D04" w:rsidRDefault="004D6D04" w:rsidP="008016B6">
            <w:pPr>
              <w:jc w:val="center"/>
              <w:rPr>
                <w:rFonts w:ascii="Arial Narrow" w:hAnsi="Arial Narrow"/>
              </w:rPr>
            </w:pPr>
            <w:r>
              <w:rPr>
                <w:rFonts w:ascii="Arial Narrow" w:hAnsi="Arial Narrow"/>
              </w:rPr>
              <w:t>0.810</w:t>
            </w:r>
          </w:p>
        </w:tc>
      </w:tr>
      <w:tr w:rsidR="004D6D04" w14:paraId="212CD178" w14:textId="77777777" w:rsidTr="00C32638">
        <w:trPr>
          <w:trHeight w:val="255"/>
        </w:trPr>
        <w:tc>
          <w:tcPr>
            <w:tcW w:w="2268" w:type="dxa"/>
            <w:tcBorders>
              <w:top w:val="single" w:sz="4" w:space="0" w:color="auto"/>
              <w:left w:val="single" w:sz="4" w:space="0" w:color="auto"/>
              <w:bottom w:val="single" w:sz="4" w:space="0" w:color="auto"/>
              <w:right w:val="single" w:sz="4" w:space="0" w:color="auto"/>
            </w:tcBorders>
            <w:noWrap/>
            <w:hideMark/>
          </w:tcPr>
          <w:p w14:paraId="52C8AFFD" w14:textId="77777777" w:rsidR="004D6D04" w:rsidRDefault="004D6D04" w:rsidP="008016B6">
            <w:pPr>
              <w:rPr>
                <w:rFonts w:ascii="Arial Narrow" w:hAnsi="Arial Narrow"/>
                <w:i/>
              </w:rPr>
            </w:pPr>
            <w:r>
              <w:rPr>
                <w:rFonts w:ascii="Arial Narrow" w:hAnsi="Arial Narrow"/>
                <w:i/>
              </w:rPr>
              <w:t>Gardineroseris *</w:t>
            </w:r>
          </w:p>
        </w:tc>
        <w:tc>
          <w:tcPr>
            <w:tcW w:w="992" w:type="dxa"/>
            <w:tcBorders>
              <w:top w:val="single" w:sz="4" w:space="0" w:color="auto"/>
              <w:left w:val="single" w:sz="4" w:space="0" w:color="auto"/>
              <w:bottom w:val="single" w:sz="4" w:space="0" w:color="auto"/>
              <w:right w:val="single" w:sz="4" w:space="0" w:color="auto"/>
            </w:tcBorders>
            <w:noWrap/>
            <w:vAlign w:val="center"/>
            <w:hideMark/>
          </w:tcPr>
          <w:p w14:paraId="78146728" w14:textId="77777777" w:rsidR="004D6D04" w:rsidRDefault="004D6D04" w:rsidP="008016B6">
            <w:pPr>
              <w:jc w:val="center"/>
              <w:rPr>
                <w:rFonts w:ascii="Arial Narrow" w:hAnsi="Arial Narrow"/>
              </w:rPr>
            </w:pPr>
            <w:r>
              <w:rPr>
                <w:rFonts w:ascii="Arial Narrow" w:hAnsi="Arial Narrow"/>
              </w:rPr>
              <w:t>-0.004</w:t>
            </w:r>
          </w:p>
        </w:tc>
        <w:tc>
          <w:tcPr>
            <w:tcW w:w="992" w:type="dxa"/>
            <w:tcBorders>
              <w:top w:val="single" w:sz="4" w:space="0" w:color="auto"/>
              <w:left w:val="single" w:sz="4" w:space="0" w:color="auto"/>
              <w:bottom w:val="single" w:sz="4" w:space="0" w:color="auto"/>
              <w:right w:val="thinThickThinLargeGap" w:sz="24" w:space="0" w:color="auto"/>
            </w:tcBorders>
            <w:noWrap/>
            <w:vAlign w:val="center"/>
          </w:tcPr>
          <w:p w14:paraId="41C6591A" w14:textId="77777777" w:rsidR="004D6D04" w:rsidRDefault="004D6D04" w:rsidP="008016B6">
            <w:pPr>
              <w:jc w:val="center"/>
              <w:rPr>
                <w:rFonts w:ascii="Arial Narrow" w:hAnsi="Arial Narrow"/>
              </w:rPr>
            </w:pPr>
          </w:p>
        </w:tc>
        <w:tc>
          <w:tcPr>
            <w:tcW w:w="2410" w:type="dxa"/>
            <w:tcBorders>
              <w:top w:val="single" w:sz="4" w:space="0" w:color="auto"/>
              <w:left w:val="thinThickThinLargeGap" w:sz="24" w:space="0" w:color="auto"/>
              <w:bottom w:val="single" w:sz="4" w:space="0" w:color="auto"/>
              <w:right w:val="single" w:sz="4" w:space="0" w:color="auto"/>
            </w:tcBorders>
          </w:tcPr>
          <w:p w14:paraId="7154FFC0" w14:textId="77777777" w:rsidR="004D6D04" w:rsidRDefault="004D6D04" w:rsidP="008016B6">
            <w:pPr>
              <w:rPr>
                <w:rFonts w:ascii="Arial Narrow" w:hAnsi="Arial Narrow"/>
                <w:i/>
              </w:rPr>
            </w:pPr>
          </w:p>
        </w:tc>
        <w:tc>
          <w:tcPr>
            <w:tcW w:w="992" w:type="dxa"/>
            <w:tcBorders>
              <w:top w:val="single" w:sz="4" w:space="0" w:color="auto"/>
              <w:left w:val="single" w:sz="4" w:space="0" w:color="auto"/>
              <w:bottom w:val="single" w:sz="4" w:space="0" w:color="auto"/>
              <w:right w:val="single" w:sz="4" w:space="0" w:color="auto"/>
            </w:tcBorders>
          </w:tcPr>
          <w:p w14:paraId="64E469A0" w14:textId="77777777" w:rsidR="004D6D04" w:rsidRDefault="004D6D04" w:rsidP="008016B6">
            <w:pPr>
              <w:rPr>
                <w:rFonts w:ascii="Arial Narrow" w:hAnsi="Arial Narrow"/>
              </w:rPr>
            </w:pPr>
          </w:p>
        </w:tc>
        <w:tc>
          <w:tcPr>
            <w:tcW w:w="993" w:type="dxa"/>
            <w:tcBorders>
              <w:top w:val="single" w:sz="4" w:space="0" w:color="auto"/>
              <w:left w:val="single" w:sz="4" w:space="0" w:color="auto"/>
              <w:bottom w:val="single" w:sz="4" w:space="0" w:color="auto"/>
              <w:right w:val="single" w:sz="4" w:space="0" w:color="auto"/>
            </w:tcBorders>
          </w:tcPr>
          <w:p w14:paraId="29B50926" w14:textId="77777777" w:rsidR="004D6D04" w:rsidRDefault="004D6D04" w:rsidP="008016B6">
            <w:pPr>
              <w:rPr>
                <w:rFonts w:ascii="Arial Narrow" w:hAnsi="Arial Narrow"/>
              </w:rPr>
            </w:pPr>
          </w:p>
        </w:tc>
      </w:tr>
    </w:tbl>
    <w:p w14:paraId="4F6CBA31" w14:textId="77777777" w:rsidR="007E5B6D" w:rsidRDefault="007E5B6D" w:rsidP="00163853">
      <w:pPr>
        <w:rPr>
          <w:rFonts w:cs="Arial"/>
        </w:rPr>
      </w:pPr>
    </w:p>
    <w:p w14:paraId="192FBC39" w14:textId="77777777" w:rsidR="007E5B6D" w:rsidRDefault="007E5B6D" w:rsidP="007E5B6D">
      <w:r>
        <w:br w:type="page"/>
      </w:r>
    </w:p>
    <w:p w14:paraId="5754A90D" w14:textId="77777777" w:rsidR="007E5B6D" w:rsidRPr="00074884" w:rsidRDefault="007E5B6D" w:rsidP="007E5B6D">
      <w:pPr>
        <w:rPr>
          <w:rFonts w:cs="Arial"/>
        </w:rPr>
      </w:pPr>
      <w:r w:rsidRPr="00074884">
        <w:rPr>
          <w:rFonts w:cs="Arial"/>
        </w:rPr>
        <w:lastRenderedPageBreak/>
        <w:t>The genus scores along the single derived water quality variable (</w:t>
      </w:r>
      <w:r>
        <w:rPr>
          <w:rFonts w:cs="Arial"/>
        </w:rPr>
        <w:fldChar w:fldCharType="begin"/>
      </w:r>
      <w:r>
        <w:rPr>
          <w:rFonts w:cs="Arial"/>
        </w:rPr>
        <w:instrText xml:space="preserve"> REF _Ref438122285 \h </w:instrText>
      </w:r>
      <w:r>
        <w:rPr>
          <w:rFonts w:cs="Arial"/>
        </w:rPr>
      </w:r>
      <w:r>
        <w:rPr>
          <w:rFonts w:cs="Arial"/>
        </w:rPr>
        <w:fldChar w:fldCharType="separate"/>
      </w:r>
      <w:r w:rsidR="00B61881" w:rsidRPr="0026052F">
        <w:t xml:space="preserve">Table </w:t>
      </w:r>
      <w:r w:rsidR="00B61881">
        <w:rPr>
          <w:noProof/>
        </w:rPr>
        <w:t>6</w:t>
      </w:r>
      <w:r>
        <w:rPr>
          <w:rFonts w:cs="Arial"/>
        </w:rPr>
        <w:fldChar w:fldCharType="end"/>
      </w:r>
      <w:r w:rsidRPr="00074884">
        <w:rPr>
          <w:rFonts w:cs="Arial"/>
        </w:rPr>
        <w:t xml:space="preserve">) can be used to scale the cover estimates from any reef or year to predict the location of the community along the water quality gradient, based on the relative cover of genus groups. It is this scaling of observed compositional data relative to the combined water quality variable that is at the core of this indicator. </w:t>
      </w:r>
    </w:p>
    <w:p w14:paraId="65E64976" w14:textId="77777777" w:rsidR="002A28EE" w:rsidRDefault="00B3738D" w:rsidP="00163853">
      <w:pPr>
        <w:rPr>
          <w:rFonts w:cs="Arial"/>
        </w:rPr>
      </w:pPr>
      <w:r>
        <w:rPr>
          <w:rFonts w:cs="Arial"/>
        </w:rPr>
        <w:t>For each observation of community composition</w:t>
      </w:r>
      <w:r w:rsidR="00A84809">
        <w:rPr>
          <w:rFonts w:cs="Arial"/>
        </w:rPr>
        <w:t>,</w:t>
      </w:r>
      <w:r>
        <w:rPr>
          <w:rFonts w:cs="Arial"/>
        </w:rPr>
        <w:t xml:space="preserve"> the location of that community along the water quality gradient is calculated as the sum of the Hellinger</w:t>
      </w:r>
      <w:r w:rsidR="00A84809">
        <w:rPr>
          <w:rFonts w:cs="Arial"/>
        </w:rPr>
        <w:t>-</w:t>
      </w:r>
      <w:r>
        <w:rPr>
          <w:rFonts w:cs="Arial"/>
        </w:rPr>
        <w:t>transformed cover estimates for each genus multiplied by the genus score along the water quality gradient.</w:t>
      </w:r>
    </w:p>
    <w:p w14:paraId="4E9D29BB" w14:textId="77777777" w:rsidR="002A28EE" w:rsidRDefault="00A966BF" w:rsidP="005A0708">
      <w:pPr>
        <w:rPr>
          <w:rFonts w:cs="Arial"/>
        </w:rPr>
      </w:pPr>
      <m:oMathPara>
        <m:oMath>
          <m:sSub>
            <m:sSubPr>
              <m:ctrlPr>
                <w:rPr>
                  <w:rFonts w:ascii="Cambria Math" w:hAnsi="Cambria Math" w:cs="Arial"/>
                  <w:i/>
                  <w:szCs w:val="22"/>
                </w:rPr>
              </m:ctrlPr>
            </m:sSubPr>
            <m:e>
              <m:r>
                <w:rPr>
                  <w:rFonts w:ascii="Cambria Math" w:hAnsi="Cambria Math" w:cs="Arial"/>
                </w:rPr>
                <m:t>C</m:t>
              </m:r>
            </m:e>
            <m:sub>
              <m:r>
                <w:rPr>
                  <w:rFonts w:ascii="Cambria Math" w:hAnsi="Cambria Math" w:cs="Arial"/>
                </w:rPr>
                <m:t>t</m:t>
              </m:r>
            </m:sub>
          </m:sSub>
          <m:r>
            <w:rPr>
              <w:rFonts w:ascii="Cambria Math" w:hAnsi="Cambria Math" w:cs="Arial"/>
            </w:rPr>
            <m:t xml:space="preserve">= </m:t>
          </m:r>
          <m:nary>
            <m:naryPr>
              <m:chr m:val="∑"/>
              <m:limLoc m:val="undOvr"/>
              <m:ctrlPr>
                <w:rPr>
                  <w:rFonts w:ascii="Cambria Math" w:hAnsi="Cambria Math" w:cs="Arial"/>
                  <w:i/>
                  <w:szCs w:val="22"/>
                </w:rPr>
              </m:ctrlPr>
            </m:naryPr>
            <m:sub>
              <m:r>
                <w:rPr>
                  <w:rFonts w:ascii="Cambria Math" w:hAnsi="Cambria Math" w:cs="Arial"/>
                </w:rPr>
                <m:t>i=1</m:t>
              </m:r>
            </m:sub>
            <m:sup>
              <m:r>
                <w:rPr>
                  <w:rFonts w:ascii="Cambria Math" w:hAnsi="Cambria Math" w:cs="Arial"/>
                </w:rPr>
                <m:t>n</m:t>
              </m:r>
            </m:sup>
            <m:e>
              <m:sSub>
                <m:sSubPr>
                  <m:ctrlPr>
                    <w:rPr>
                      <w:rFonts w:ascii="Cambria Math" w:hAnsi="Cambria Math" w:cs="Arial"/>
                      <w:i/>
                      <w:szCs w:val="22"/>
                    </w:rPr>
                  </m:ctrlPr>
                </m:sSubPr>
                <m:e>
                  <m:r>
                    <w:rPr>
                      <w:rFonts w:ascii="Cambria Math" w:hAnsi="Cambria Math" w:cs="Arial"/>
                    </w:rPr>
                    <m:t>H</m:t>
                  </m:r>
                </m:e>
                <m:sub>
                  <m:r>
                    <w:rPr>
                      <w:rFonts w:ascii="Cambria Math" w:hAnsi="Cambria Math" w:cs="Arial"/>
                    </w:rPr>
                    <m:t>it</m:t>
                  </m:r>
                </m:sub>
              </m:sSub>
              <m:r>
                <w:rPr>
                  <w:rFonts w:ascii="Cambria Math" w:hAnsi="Cambria Math" w:cs="Arial"/>
                </w:rPr>
                <m:t>*</m:t>
              </m:r>
              <m:sSub>
                <m:sSubPr>
                  <m:ctrlPr>
                    <w:rPr>
                      <w:rFonts w:ascii="Cambria Math" w:hAnsi="Cambria Math" w:cs="Arial"/>
                      <w:i/>
                      <w:szCs w:val="22"/>
                    </w:rPr>
                  </m:ctrlPr>
                </m:sSubPr>
                <m:e>
                  <m:r>
                    <w:rPr>
                      <w:rFonts w:ascii="Cambria Math" w:hAnsi="Cambria Math" w:cs="Arial"/>
                    </w:rPr>
                    <m:t>G</m:t>
                  </m:r>
                </m:e>
                <m:sub>
                  <m:r>
                    <w:rPr>
                      <w:rFonts w:ascii="Cambria Math" w:hAnsi="Cambria Math" w:cs="Arial"/>
                    </w:rPr>
                    <m:t>i</m:t>
                  </m:r>
                </m:sub>
              </m:sSub>
            </m:e>
          </m:nary>
        </m:oMath>
      </m:oMathPara>
    </w:p>
    <w:p w14:paraId="7E56BA0E" w14:textId="77777777" w:rsidR="00B3738D" w:rsidRDefault="00B3738D" w:rsidP="00163853">
      <w:pPr>
        <w:rPr>
          <w:rFonts w:eastAsiaTheme="minorEastAsia" w:cs="Arial"/>
        </w:rPr>
      </w:pPr>
      <w:r>
        <w:rPr>
          <w:rFonts w:cs="Arial"/>
        </w:rPr>
        <w:t>Where</w:t>
      </w:r>
      <w:r>
        <w:rPr>
          <w:rFonts w:cs="Arial"/>
        </w:rPr>
        <w:tab/>
        <w:t xml:space="preserve"> </w:t>
      </w:r>
      <m:oMath>
        <m:sSub>
          <m:sSubPr>
            <m:ctrlPr>
              <w:rPr>
                <w:rFonts w:ascii="Cambria Math" w:hAnsi="Cambria Math" w:cs="Arial"/>
                <w:i/>
                <w:szCs w:val="22"/>
              </w:rPr>
            </m:ctrlPr>
          </m:sSubPr>
          <m:e>
            <m:r>
              <w:rPr>
                <w:rFonts w:ascii="Cambria Math" w:hAnsi="Cambria Math" w:cs="Arial"/>
              </w:rPr>
              <m:t>C</m:t>
            </m:r>
          </m:e>
          <m:sub>
            <m:r>
              <w:rPr>
                <w:rFonts w:ascii="Cambria Math" w:hAnsi="Cambria Math" w:cs="Arial"/>
              </w:rPr>
              <m:t>t</m:t>
            </m:r>
          </m:sub>
        </m:sSub>
      </m:oMath>
      <w:r>
        <w:rPr>
          <w:rFonts w:eastAsiaTheme="minorEastAsia" w:cs="Arial"/>
        </w:rPr>
        <w:t xml:space="preserve"> = the community composition location along the WQ gradient at </w:t>
      </w:r>
      <w:proofErr w:type="gramStart"/>
      <w:r>
        <w:rPr>
          <w:rFonts w:eastAsiaTheme="minorEastAsia" w:cs="Arial"/>
        </w:rPr>
        <w:t xml:space="preserve">time </w:t>
      </w:r>
      <w:proofErr w:type="gramEnd"/>
      <m:oMath>
        <m:r>
          <w:rPr>
            <w:rFonts w:ascii="Cambria Math" w:eastAsiaTheme="minorEastAsia" w:hAnsi="Cambria Math" w:cs="Arial"/>
          </w:rPr>
          <m:t>t</m:t>
        </m:r>
      </m:oMath>
      <w:r>
        <w:rPr>
          <w:rFonts w:eastAsiaTheme="minorEastAsia" w:cs="Arial"/>
        </w:rPr>
        <w:t xml:space="preserve">, </w:t>
      </w:r>
    </w:p>
    <w:p w14:paraId="602CA418" w14:textId="77777777" w:rsidR="00B3738D" w:rsidRDefault="00B3738D" w:rsidP="00163853">
      <w:pPr>
        <w:rPr>
          <w:rFonts w:eastAsiaTheme="minorEastAsia" w:cs="Arial"/>
        </w:rPr>
      </w:pPr>
      <w:r>
        <w:rPr>
          <w:rFonts w:eastAsiaTheme="minorEastAsia" w:cs="Arial"/>
        </w:rPr>
        <w:tab/>
      </w:r>
      <m:oMath>
        <m:sSub>
          <m:sSubPr>
            <m:ctrlPr>
              <w:rPr>
                <w:rFonts w:ascii="Cambria Math" w:eastAsiaTheme="minorEastAsia" w:hAnsi="Cambria Math" w:cs="Arial"/>
                <w:i/>
                <w:szCs w:val="22"/>
              </w:rPr>
            </m:ctrlPr>
          </m:sSubPr>
          <m:e>
            <m:r>
              <w:rPr>
                <w:rFonts w:ascii="Cambria Math" w:eastAsiaTheme="minorEastAsia" w:hAnsi="Cambria Math" w:cs="Arial"/>
              </w:rPr>
              <m:t>H</m:t>
            </m:r>
          </m:e>
          <m:sub>
            <m:r>
              <w:rPr>
                <w:rFonts w:ascii="Cambria Math" w:eastAsiaTheme="minorEastAsia" w:hAnsi="Cambria Math" w:cs="Arial"/>
              </w:rPr>
              <m:t>it</m:t>
            </m:r>
          </m:sub>
        </m:sSub>
      </m:oMath>
      <w:r>
        <w:rPr>
          <w:rFonts w:eastAsiaTheme="minorEastAsia" w:cs="Arial"/>
        </w:rPr>
        <w:t xml:space="preserve"> = the Hellinger transformed cover of genus </w:t>
      </w:r>
      <m:oMath>
        <m:r>
          <w:rPr>
            <w:rFonts w:ascii="Cambria Math" w:eastAsiaTheme="minorEastAsia" w:hAnsi="Cambria Math" w:cs="Arial"/>
          </w:rPr>
          <m:t>i</m:t>
        </m:r>
      </m:oMath>
      <w:r>
        <w:rPr>
          <w:rFonts w:eastAsiaTheme="minorEastAsia" w:cs="Arial"/>
        </w:rPr>
        <w:t xml:space="preserve"> at </w:t>
      </w:r>
      <w:proofErr w:type="gramStart"/>
      <w:r>
        <w:rPr>
          <w:rFonts w:eastAsiaTheme="minorEastAsia" w:cs="Arial"/>
        </w:rPr>
        <w:t xml:space="preserve">time </w:t>
      </w:r>
      <w:proofErr w:type="gramEnd"/>
      <m:oMath>
        <m:r>
          <w:rPr>
            <w:rFonts w:ascii="Cambria Math" w:eastAsiaTheme="minorEastAsia" w:hAnsi="Cambria Math" w:cs="Arial"/>
          </w:rPr>
          <m:t>t</m:t>
        </m:r>
      </m:oMath>
      <w:r>
        <w:rPr>
          <w:rFonts w:eastAsiaTheme="minorEastAsia" w:cs="Arial"/>
        </w:rPr>
        <w:t>, and</w:t>
      </w:r>
    </w:p>
    <w:p w14:paraId="2BA0140C" w14:textId="77777777" w:rsidR="002A28EE" w:rsidRDefault="00B3738D" w:rsidP="00163853">
      <w:pPr>
        <w:rPr>
          <w:rFonts w:eastAsiaTheme="minorEastAsia" w:cs="Arial"/>
        </w:rPr>
      </w:pPr>
      <w:r>
        <w:rPr>
          <w:rFonts w:eastAsiaTheme="minorEastAsia" w:cs="Arial"/>
        </w:rPr>
        <w:tab/>
      </w:r>
      <m:oMath>
        <m:sSub>
          <m:sSubPr>
            <m:ctrlPr>
              <w:rPr>
                <w:rFonts w:ascii="Cambria Math" w:eastAsiaTheme="minorEastAsia" w:hAnsi="Cambria Math" w:cs="Arial"/>
                <w:i/>
                <w:szCs w:val="22"/>
              </w:rPr>
            </m:ctrlPr>
          </m:sSubPr>
          <m:e>
            <m:r>
              <w:rPr>
                <w:rFonts w:ascii="Cambria Math" w:eastAsiaTheme="minorEastAsia" w:hAnsi="Cambria Math" w:cs="Arial"/>
              </w:rPr>
              <m:t>G</m:t>
            </m:r>
          </m:e>
          <m:sub>
            <m:r>
              <w:rPr>
                <w:rFonts w:ascii="Cambria Math" w:eastAsiaTheme="minorEastAsia" w:hAnsi="Cambria Math" w:cs="Arial"/>
              </w:rPr>
              <m:t>i</m:t>
            </m:r>
          </m:sub>
        </m:sSub>
      </m:oMath>
      <w:r>
        <w:rPr>
          <w:rFonts w:eastAsiaTheme="minorEastAsia" w:cs="Arial"/>
        </w:rPr>
        <w:t xml:space="preserve"> = the score for genus </w:t>
      </w:r>
      <m:oMath>
        <m:r>
          <w:rPr>
            <w:rFonts w:ascii="Cambria Math" w:eastAsiaTheme="minorEastAsia" w:hAnsi="Cambria Math" w:cs="Arial"/>
          </w:rPr>
          <m:t>i</m:t>
        </m:r>
      </m:oMath>
      <w:r>
        <w:rPr>
          <w:rFonts w:eastAsiaTheme="minorEastAsia" w:cs="Arial"/>
        </w:rPr>
        <w:t xml:space="preserve"> taken from Table </w:t>
      </w:r>
      <w:r w:rsidR="000450F4">
        <w:rPr>
          <w:rFonts w:eastAsiaTheme="minorEastAsia" w:cs="Arial"/>
        </w:rPr>
        <w:t>6</w:t>
      </w:r>
      <w:r>
        <w:rPr>
          <w:rFonts w:eastAsiaTheme="minorEastAsia" w:cs="Arial"/>
        </w:rPr>
        <w:t>.</w:t>
      </w:r>
    </w:p>
    <w:p w14:paraId="372DD658" w14:textId="77777777" w:rsidR="00F81AB9" w:rsidRDefault="00F81AB9" w:rsidP="007E5B6D">
      <w:pPr>
        <w:pStyle w:val="Heading3"/>
      </w:pPr>
      <w:r>
        <w:t>6.</w:t>
      </w:r>
      <w:r w:rsidR="008E6308">
        <w:t>6</w:t>
      </w:r>
      <w:r>
        <w:t>.2 Coral composition indicator metric scoring</w:t>
      </w:r>
    </w:p>
    <w:p w14:paraId="7484BA78" w14:textId="77777777" w:rsidR="00B3738D" w:rsidRDefault="00B3738D" w:rsidP="00163853">
      <w:pPr>
        <w:rPr>
          <w:rFonts w:eastAsiaTheme="minorEastAsia" w:cs="Arial"/>
        </w:rPr>
      </w:pPr>
      <w:r>
        <w:rPr>
          <w:rFonts w:eastAsiaTheme="minorEastAsia" w:cs="Arial"/>
        </w:rPr>
        <w:t xml:space="preserve">Indicator scores are assigned based on the location of </w:t>
      </w:r>
      <m:oMath>
        <m:sSub>
          <m:sSubPr>
            <m:ctrlPr>
              <w:rPr>
                <w:rFonts w:ascii="Cambria Math" w:hAnsi="Cambria Math" w:cs="Arial"/>
                <w:i/>
                <w:szCs w:val="22"/>
              </w:rPr>
            </m:ctrlPr>
          </m:sSubPr>
          <m:e>
            <m:r>
              <w:rPr>
                <w:rFonts w:ascii="Cambria Math" w:hAnsi="Cambria Math" w:cs="Arial"/>
              </w:rPr>
              <m:t>C</m:t>
            </m:r>
          </m:e>
          <m:sub>
            <m:r>
              <w:rPr>
                <w:rFonts w:ascii="Cambria Math" w:hAnsi="Cambria Math" w:cs="Arial"/>
              </w:rPr>
              <m:t>t</m:t>
            </m:r>
          </m:sub>
        </m:sSub>
      </m:oMath>
      <w:r>
        <w:rPr>
          <w:rFonts w:eastAsiaTheme="minorEastAsia" w:cs="Arial"/>
        </w:rPr>
        <w:t xml:space="preserve"> for the year of interest relative to a community specific baseline. </w:t>
      </w:r>
      <w:r w:rsidR="00E41DC1">
        <w:rPr>
          <w:rFonts w:eastAsiaTheme="minorEastAsia" w:cs="Arial"/>
        </w:rPr>
        <w:t>For each community monitored (unique reef and depth combination) t</w:t>
      </w:r>
      <w:r>
        <w:rPr>
          <w:rFonts w:eastAsiaTheme="minorEastAsia" w:cs="Arial"/>
        </w:rPr>
        <w:t xml:space="preserve">he baseline </w:t>
      </w:r>
      <w:r w:rsidR="00E41DC1">
        <w:rPr>
          <w:rFonts w:eastAsiaTheme="minorEastAsia" w:cs="Arial"/>
        </w:rPr>
        <w:t xml:space="preserve">composition lies within </w:t>
      </w:r>
      <w:r>
        <w:rPr>
          <w:rFonts w:eastAsiaTheme="minorEastAsia" w:cs="Arial"/>
        </w:rPr>
        <w:t xml:space="preserve">the 95% confidence intervals about the mean </w:t>
      </w:r>
      <m:oMath>
        <m:sSub>
          <m:sSubPr>
            <m:ctrlPr>
              <w:rPr>
                <w:rFonts w:ascii="Cambria Math" w:hAnsi="Cambria Math" w:cs="Arial"/>
                <w:i/>
                <w:szCs w:val="22"/>
              </w:rPr>
            </m:ctrlPr>
          </m:sSubPr>
          <m:e>
            <m:r>
              <w:rPr>
                <w:rFonts w:ascii="Cambria Math" w:hAnsi="Cambria Math" w:cs="Arial"/>
              </w:rPr>
              <m:t>C</m:t>
            </m:r>
          </m:e>
          <m:sub>
            <m:r>
              <w:rPr>
                <w:rFonts w:ascii="Cambria Math" w:hAnsi="Cambria Math" w:cs="Arial"/>
              </w:rPr>
              <m:t>t</m:t>
            </m:r>
          </m:sub>
        </m:sSub>
      </m:oMath>
      <w:r>
        <w:rPr>
          <w:rFonts w:eastAsiaTheme="minorEastAsia" w:cs="Arial"/>
        </w:rPr>
        <w:t xml:space="preserve"> from the first five years of observations. The scoring of the indicator is categorical</w:t>
      </w:r>
      <w:r w:rsidR="00A84809">
        <w:rPr>
          <w:rFonts w:eastAsiaTheme="minorEastAsia" w:cs="Arial"/>
        </w:rPr>
        <w:t>,</w:t>
      </w:r>
      <w:r>
        <w:rPr>
          <w:rFonts w:eastAsiaTheme="minorEastAsia" w:cs="Arial"/>
        </w:rPr>
        <w:t xml:space="preserve"> being 0.5 when </w:t>
      </w:r>
      <m:oMath>
        <m:sSub>
          <m:sSubPr>
            <m:ctrlPr>
              <w:rPr>
                <w:rFonts w:ascii="Cambria Math" w:hAnsi="Cambria Math" w:cs="Arial"/>
                <w:i/>
                <w:szCs w:val="22"/>
              </w:rPr>
            </m:ctrlPr>
          </m:sSubPr>
          <m:e>
            <m:r>
              <w:rPr>
                <w:rFonts w:ascii="Cambria Math" w:hAnsi="Cambria Math" w:cs="Arial"/>
              </w:rPr>
              <m:t>C</m:t>
            </m:r>
          </m:e>
          <m:sub>
            <m:r>
              <w:rPr>
                <w:rFonts w:ascii="Cambria Math" w:hAnsi="Cambria Math" w:cs="Arial"/>
              </w:rPr>
              <m:t>t</m:t>
            </m:r>
          </m:sub>
        </m:sSub>
      </m:oMath>
      <w:r>
        <w:rPr>
          <w:rFonts w:eastAsiaTheme="minorEastAsia" w:cs="Arial"/>
        </w:rPr>
        <w:t xml:space="preserve"> falls within the 95% confidence intervals for the location, 1 if beyond the confidence interval in a direction toward communities in better water quality</w:t>
      </w:r>
      <w:r w:rsidR="00A84809">
        <w:rPr>
          <w:rFonts w:eastAsiaTheme="minorEastAsia" w:cs="Arial"/>
        </w:rPr>
        <w:t>,</w:t>
      </w:r>
      <w:r>
        <w:rPr>
          <w:rFonts w:eastAsiaTheme="minorEastAsia" w:cs="Arial"/>
        </w:rPr>
        <w:t xml:space="preserve"> and 0 i</w:t>
      </w:r>
      <w:r w:rsidR="00A84809">
        <w:rPr>
          <w:rFonts w:eastAsiaTheme="minorEastAsia" w:cs="Arial"/>
        </w:rPr>
        <w:t>f</w:t>
      </w:r>
      <w:r>
        <w:rPr>
          <w:rFonts w:eastAsiaTheme="minorEastAsia" w:cs="Arial"/>
        </w:rPr>
        <w:t xml:space="preserve"> beyond the confidence interval in the direction of communities in poorer water quality (</w:t>
      </w:r>
      <w:r w:rsidR="00553772">
        <w:rPr>
          <w:rFonts w:eastAsiaTheme="minorEastAsia" w:cs="Arial"/>
        </w:rPr>
        <w:fldChar w:fldCharType="begin"/>
      </w:r>
      <w:r w:rsidR="00553772">
        <w:rPr>
          <w:rFonts w:eastAsiaTheme="minorEastAsia" w:cs="Arial"/>
        </w:rPr>
        <w:instrText xml:space="preserve"> REF _Ref438122322 \h </w:instrText>
      </w:r>
      <w:r w:rsidR="00553772">
        <w:rPr>
          <w:rFonts w:eastAsiaTheme="minorEastAsia" w:cs="Arial"/>
        </w:rPr>
      </w:r>
      <w:r w:rsidR="00553772">
        <w:rPr>
          <w:rFonts w:eastAsiaTheme="minorEastAsia" w:cs="Arial"/>
        </w:rPr>
        <w:fldChar w:fldCharType="separate"/>
      </w:r>
      <w:r w:rsidR="00B61881">
        <w:t xml:space="preserve">Figure </w:t>
      </w:r>
      <w:r w:rsidR="00B61881">
        <w:rPr>
          <w:noProof/>
        </w:rPr>
        <w:t>22</w:t>
      </w:r>
      <w:r w:rsidR="00553772">
        <w:rPr>
          <w:rFonts w:eastAsiaTheme="minorEastAsia" w:cs="Arial"/>
        </w:rPr>
        <w:fldChar w:fldCharType="end"/>
      </w:r>
      <w:r w:rsidR="00A84809">
        <w:rPr>
          <w:rFonts w:eastAsiaTheme="minorEastAsia" w:cs="Arial"/>
        </w:rPr>
        <w:t>).</w:t>
      </w:r>
    </w:p>
    <w:p w14:paraId="22F278E5" w14:textId="77777777" w:rsidR="00A84809" w:rsidRDefault="00A84809" w:rsidP="00163853">
      <w:pPr>
        <w:rPr>
          <w:rFonts w:eastAsiaTheme="minorEastAsia" w:cs="Arial"/>
        </w:rPr>
      </w:pPr>
    </w:p>
    <w:p w14:paraId="4B14A0DD" w14:textId="77777777" w:rsidR="00653FAC" w:rsidRDefault="00B3738D" w:rsidP="00653FAC">
      <w:pPr>
        <w:keepNext/>
      </w:pPr>
      <w:r>
        <w:rPr>
          <w:rFonts w:cs="Arial"/>
          <w:noProof/>
          <w:lang w:val="en-AU" w:eastAsia="en-AU"/>
        </w:rPr>
        <w:drawing>
          <wp:inline distT="0" distB="0" distL="0" distR="0" wp14:anchorId="0F881C1A" wp14:editId="73AAD2EE">
            <wp:extent cx="3600450" cy="2876550"/>
            <wp:effectExtent l="0" t="0" r="0" b="0"/>
            <wp:docPr id="43" name="Picture 43" descr="Figure 22: Scoring diagram for community composition indicator metric." title="Figure 22: Scoring diagram for community composition indicator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600450" cy="2876550"/>
                    </a:xfrm>
                    <a:prstGeom prst="rect">
                      <a:avLst/>
                    </a:prstGeom>
                    <a:noFill/>
                    <a:ln>
                      <a:noFill/>
                    </a:ln>
                  </pic:spPr>
                </pic:pic>
              </a:graphicData>
            </a:graphic>
          </wp:inline>
        </w:drawing>
      </w:r>
    </w:p>
    <w:p w14:paraId="716C168C" w14:textId="77777777" w:rsidR="00B3738D" w:rsidRPr="00653FAC" w:rsidRDefault="006B3B22" w:rsidP="00E56CF1">
      <w:pPr>
        <w:pStyle w:val="Caption"/>
        <w:rPr>
          <w:rFonts w:cs="Arial"/>
        </w:rPr>
      </w:pPr>
      <w:bookmarkStart w:id="368" w:name="_Ref438122322"/>
      <w:bookmarkStart w:id="369" w:name="_Toc437424322"/>
      <w:bookmarkStart w:id="370" w:name="_Toc437597659"/>
      <w:bookmarkStart w:id="371" w:name="_Toc460490791"/>
      <w:r>
        <w:t xml:space="preserve">Figure </w:t>
      </w:r>
      <w:r w:rsidR="005D2F9F">
        <w:fldChar w:fldCharType="begin"/>
      </w:r>
      <w:r w:rsidR="005D2F9F">
        <w:instrText xml:space="preserve"> SEQ Figure \* ARABIC </w:instrText>
      </w:r>
      <w:r w:rsidR="005D2F9F">
        <w:fldChar w:fldCharType="separate"/>
      </w:r>
      <w:r w:rsidR="00B61881">
        <w:rPr>
          <w:noProof/>
        </w:rPr>
        <w:t>22</w:t>
      </w:r>
      <w:r w:rsidR="005D2F9F">
        <w:rPr>
          <w:noProof/>
        </w:rPr>
        <w:fldChar w:fldCharType="end"/>
      </w:r>
      <w:bookmarkEnd w:id="368"/>
      <w:r>
        <w:t xml:space="preserve">: </w:t>
      </w:r>
      <w:r w:rsidR="00B3738D">
        <w:t>Scoring diagram for community composition indicator</w:t>
      </w:r>
      <w:r w:rsidR="00F81AB9">
        <w:t xml:space="preserve"> metric</w:t>
      </w:r>
      <w:r w:rsidR="00B3738D">
        <w:t>.</w:t>
      </w:r>
      <w:bookmarkEnd w:id="369"/>
      <w:bookmarkEnd w:id="370"/>
      <w:bookmarkEnd w:id="371"/>
    </w:p>
    <w:p w14:paraId="5AA9F803" w14:textId="77777777" w:rsidR="00B3738D" w:rsidRDefault="00D44891" w:rsidP="007E5B6D">
      <w:pPr>
        <w:pStyle w:val="Heading2"/>
        <w:spacing w:before="240"/>
      </w:pPr>
      <w:bookmarkStart w:id="372" w:name="_Ref437207789"/>
      <w:bookmarkStart w:id="373" w:name="_Toc437424435"/>
      <w:bookmarkStart w:id="374" w:name="_Toc437424559"/>
      <w:bookmarkStart w:id="375" w:name="_Toc437432489"/>
      <w:bookmarkStart w:id="376" w:name="_Toc437432562"/>
      <w:bookmarkStart w:id="377" w:name="_Toc460490674"/>
      <w:r>
        <w:t>6</w:t>
      </w:r>
      <w:r w:rsidR="00163853">
        <w:t>.</w:t>
      </w:r>
      <w:r w:rsidR="008E6308">
        <w:t xml:space="preserve">7 </w:t>
      </w:r>
      <w:r w:rsidR="00B3738D">
        <w:t>Aggregating indicator scores to regional</w:t>
      </w:r>
      <w:r w:rsidR="00A84809">
        <w:t>-</w:t>
      </w:r>
      <w:r w:rsidR="00B3738D">
        <w:t>scale assessments</w:t>
      </w:r>
      <w:bookmarkEnd w:id="372"/>
      <w:bookmarkEnd w:id="373"/>
      <w:bookmarkEnd w:id="374"/>
      <w:bookmarkEnd w:id="375"/>
      <w:bookmarkEnd w:id="376"/>
      <w:bookmarkEnd w:id="377"/>
      <w:r w:rsidR="00B3738D">
        <w:t xml:space="preserve"> </w:t>
      </w:r>
    </w:p>
    <w:p w14:paraId="459C6E5F" w14:textId="77777777" w:rsidR="00B3738D" w:rsidRDefault="00B3738D" w:rsidP="00163853">
      <w:r>
        <w:t xml:space="preserve">In aggregating scores for various indicators into a single index uncertainty should be considered. The degree of uncertainty in an index score derived for any spatial scale of interest will include uncertainty across multiple levels: from basic observational error, the relevance of thresholds and then variation in scores for different indicators or communities being assessed. </w:t>
      </w:r>
    </w:p>
    <w:p w14:paraId="1D42FFD7" w14:textId="77777777" w:rsidR="00B3738D" w:rsidRDefault="00B3738D" w:rsidP="00163853">
      <w:pPr>
        <w:rPr>
          <w:rFonts w:cs="LMSansQuot8-Regular"/>
        </w:rPr>
      </w:pPr>
      <w:r>
        <w:lastRenderedPageBreak/>
        <w:t xml:space="preserve">In order to derive report card scores for Regions </w:t>
      </w:r>
      <w:r w:rsidR="00A84809">
        <w:t>a bootstrapping method was adopted, which</w:t>
      </w:r>
      <w:r>
        <w:t xml:space="preserve"> propagated uncertainty through the double hierarchical aggregation of indicators and then reefs</w:t>
      </w:r>
      <w:r w:rsidR="00A84809">
        <w:t xml:space="preserve">. </w:t>
      </w:r>
      <w:r>
        <w:t xml:space="preserve">Firstly, for each indicator a distribution of 10,000 observations was created by resampling (with replacement) from the observed scores for all reef and depth combinations within the Region. For the </w:t>
      </w:r>
      <w:r w:rsidR="00A84809">
        <w:t xml:space="preserve">three sub-regions of the </w:t>
      </w:r>
      <w:r>
        <w:t>Wet Tropics an additional step involved the adding together of the three 10,000</w:t>
      </w:r>
      <w:r w:rsidR="00A84809">
        <w:t>-</w:t>
      </w:r>
      <w:r>
        <w:t>strong distributions for each indicator from each sub-region</w:t>
      </w:r>
      <w:r w:rsidR="00A84809">
        <w:t>,</w:t>
      </w:r>
      <w:r>
        <w:t xml:space="preserve"> and resampling the resulting distributions (with replacement) 10,000 times to derive a single 10,000</w:t>
      </w:r>
      <w:r w:rsidR="00A84809">
        <w:t>-</w:t>
      </w:r>
      <w:r>
        <w:t>strong distribution for each in</w:t>
      </w:r>
      <w:r w:rsidR="00A84809">
        <w:t xml:space="preserve">dicator at the regional scale. </w:t>
      </w:r>
      <w:r>
        <w:t xml:space="preserve">Secondly these </w:t>
      </w:r>
      <w:r w:rsidR="00A91757">
        <w:t xml:space="preserve">five </w:t>
      </w:r>
      <w:r>
        <w:t>resulting (one for each indicator) distributions were added together and collectively resampled 10,000 times (with replacement) to derive a single distribu</w:t>
      </w:r>
      <w:r w:rsidR="00A84809">
        <w:t xml:space="preserve">tion comprising 10,000 scores. </w:t>
      </w:r>
      <w:r>
        <w:rPr>
          <w:rFonts w:cs="LMSansQuot8-Regular"/>
        </w:rPr>
        <w:t>Importantly, the large number of resamples ensures that the distributions accurately reflect the underlying data distributions and yet comprise a known number of items independent of the original input sizes. This ensures that all inputs have equal weights and aggregations are not biased towards inputs with more data (for example, all reefs and sub-regions contribute equally to region level aggregations despite the</w:t>
      </w:r>
      <w:r w:rsidR="00E41DC1">
        <w:rPr>
          <w:rFonts w:cs="LMSansQuot8-Regular"/>
        </w:rPr>
        <w:t>re</w:t>
      </w:r>
      <w:r>
        <w:rPr>
          <w:rFonts w:cs="LMSansQuot8-Regular"/>
        </w:rPr>
        <w:t xml:space="preserve"> being more reefs in some sub-regions than others.</w:t>
      </w:r>
    </w:p>
    <w:p w14:paraId="2E5D9FF7" w14:textId="77777777" w:rsidR="00B3738D" w:rsidRDefault="00B3738D" w:rsidP="00163853">
      <w:pPr>
        <w:rPr>
          <w:rFonts w:cs="LMSansQuot8-Regular"/>
        </w:rPr>
      </w:pPr>
      <w:r>
        <w:rPr>
          <w:rFonts w:cs="LMSansQuot8-Regular"/>
        </w:rPr>
        <w:t>The mean of the resulting distribution for the sub/Region was taken as the coral index score. Confidence intervals are typically based on estimates of precision (such as standard error) rather than variance. Precision is itself an estimate of repeatability</w:t>
      </w:r>
      <w:r w:rsidR="004304DE">
        <w:rPr>
          <w:rFonts w:cs="LMSansQuot8-Regular"/>
        </w:rPr>
        <w:t xml:space="preserve">, </w:t>
      </w:r>
      <w:r>
        <w:rPr>
          <w:rFonts w:cs="LMSansQuot8-Regular"/>
        </w:rPr>
        <w:t xml:space="preserve">in </w:t>
      </w:r>
      <w:r w:rsidR="004304DE">
        <w:rPr>
          <w:rFonts w:cs="LMSansQuot8-Regular"/>
        </w:rPr>
        <w:t>the case of precision of a mean</w:t>
      </w:r>
      <w:r>
        <w:rPr>
          <w:rFonts w:cs="LMSansQuot8-Regular"/>
        </w:rPr>
        <w:t xml:space="preserve"> it is an estimate of the variance of repeated means. Hence, we can estimate precision by repeatedly resampling from the distribution and each time calculating a mean. However, the more times the distribution is resampled, the more means are generated and thus the lower the variance of means.</w:t>
      </w:r>
    </w:p>
    <w:p w14:paraId="58CE9DCC" w14:textId="77777777" w:rsidR="00B3738D" w:rsidRDefault="00B3738D" w:rsidP="00163853">
      <w:pPr>
        <w:rPr>
          <w:rFonts w:cs="LMSansQuot8-Regular"/>
        </w:rPr>
      </w:pPr>
      <w:r>
        <w:rPr>
          <w:rFonts w:cs="LMSansQuot8-Regular"/>
        </w:rPr>
        <w:t>To generate estimates of precision (and thus confidence intervals) appropriate for the scale of the sampling design, it is necessary to resample the distribution once for every original input (e.g. resample in proportion to the original sample size). This sample size is calculated by tabulating the number of unique items in the distribution (</w:t>
      </w:r>
      <w:r>
        <w:rPr>
          <w:rFonts w:cs="CMSSI10"/>
          <w:i/>
          <w:iCs/>
        </w:rPr>
        <w:t>t</w:t>
      </w:r>
      <w:r>
        <w:rPr>
          <w:rFonts w:cs="LMSansQuot8-Regular"/>
        </w:rPr>
        <w:t>) and then summing the division of the tabulated values by their minimum.</w:t>
      </w:r>
    </w:p>
    <w:p w14:paraId="09887780" w14:textId="77777777" w:rsidR="00B3738D" w:rsidRDefault="00B3738D" w:rsidP="00163853">
      <w:pPr>
        <w:rPr>
          <w:rFonts w:cs="LMSansQuot8-Regular"/>
        </w:rPr>
      </w:pPr>
    </w:p>
    <w:p w14:paraId="535D1B8D" w14:textId="77777777" w:rsidR="00B3738D" w:rsidRDefault="00B3738D" w:rsidP="00163853">
      <w:pPr>
        <w:rPr>
          <w:rFonts w:cs="LMSansQuot8-Regular"/>
        </w:rPr>
      </w:pPr>
      <m:oMathPara>
        <m:oMath>
          <m:r>
            <w:rPr>
              <w:rFonts w:ascii="Cambria Math" w:hAnsi="Cambria Math" w:cs="LMSansQuot8-Regular"/>
            </w:rPr>
            <m:t xml:space="preserve">n= </m:t>
          </m:r>
          <m:nary>
            <m:naryPr>
              <m:chr m:val="∑"/>
              <m:limLoc m:val="undOvr"/>
              <m:subHide m:val="1"/>
              <m:supHide m:val="1"/>
              <m:ctrlPr>
                <w:rPr>
                  <w:rFonts w:ascii="Cambria Math" w:hAnsi="Cambria Math" w:cs="LMSansQuot8-Regular"/>
                  <w:i/>
                </w:rPr>
              </m:ctrlPr>
            </m:naryPr>
            <m:sub/>
            <m:sup/>
            <m:e>
              <m:f>
                <m:fPr>
                  <m:ctrlPr>
                    <w:rPr>
                      <w:rFonts w:ascii="Cambria Math" w:hAnsi="Cambria Math" w:cs="LMSansQuot8-Regular"/>
                      <w:i/>
                    </w:rPr>
                  </m:ctrlPr>
                </m:fPr>
                <m:num>
                  <m:r>
                    <w:rPr>
                      <w:rFonts w:ascii="Cambria Math" w:hAnsi="Cambria Math" w:cs="LMSansQuot8-Regular"/>
                    </w:rPr>
                    <m:t>t</m:t>
                  </m:r>
                </m:num>
                <m:den>
                  <m:r>
                    <m:rPr>
                      <m:sty m:val="p"/>
                    </m:rPr>
                    <w:rPr>
                      <w:rFonts w:ascii="Cambria Math" w:hAnsi="Cambria Math" w:cs="LMSansQuot8-Regular"/>
                    </w:rPr>
                    <m:t>min⁡</m:t>
                  </m:r>
                  <m:r>
                    <w:rPr>
                      <w:rFonts w:ascii="Cambria Math" w:hAnsi="Cambria Math" w:cs="LMSansQuot8-Regular"/>
                    </w:rPr>
                    <m:t>(t)</m:t>
                  </m:r>
                </m:den>
              </m:f>
            </m:e>
          </m:nary>
        </m:oMath>
      </m:oMathPara>
    </w:p>
    <w:p w14:paraId="35F6D6F3" w14:textId="77777777" w:rsidR="00B3738D" w:rsidRDefault="00B3738D" w:rsidP="00163853">
      <w:pPr>
        <w:spacing w:before="120"/>
      </w:pPr>
      <w:r>
        <w:rPr>
          <w:rFonts w:cs="LMSansQuot8-Regular"/>
        </w:rPr>
        <w:t>Confidence intervals were then calculated as the 95% quantiles of repeated means.</w:t>
      </w:r>
    </w:p>
    <w:p w14:paraId="59A1033D" w14:textId="77777777" w:rsidR="00B3738D" w:rsidRPr="00163853" w:rsidRDefault="00B3738D" w:rsidP="00163853">
      <w:pPr>
        <w:rPr>
          <w:rFonts w:cs="Arial"/>
          <w:szCs w:val="22"/>
        </w:rPr>
      </w:pPr>
      <w:r w:rsidRPr="00163853">
        <w:rPr>
          <w:rFonts w:cs="Arial"/>
          <w:szCs w:val="22"/>
        </w:rPr>
        <w:t xml:space="preserve">Lastly index scores were converted to qualitative assessments by converting to a five point rating and colour scheme </w:t>
      </w:r>
      <w:r w:rsidR="006A31B8">
        <w:rPr>
          <w:rFonts w:cs="Arial"/>
          <w:szCs w:val="22"/>
        </w:rPr>
        <w:t xml:space="preserve">for scores rounded to </w:t>
      </w:r>
      <w:r w:rsidR="00D70A23">
        <w:rPr>
          <w:rFonts w:cs="Arial"/>
          <w:szCs w:val="22"/>
        </w:rPr>
        <w:t>2</w:t>
      </w:r>
      <w:r w:rsidR="006A31B8">
        <w:rPr>
          <w:rFonts w:cs="Arial"/>
          <w:szCs w:val="22"/>
        </w:rPr>
        <w:t xml:space="preserve"> decimal place</w:t>
      </w:r>
      <w:r w:rsidR="00D70A23">
        <w:rPr>
          <w:rFonts w:cs="Arial"/>
          <w:szCs w:val="22"/>
        </w:rPr>
        <w:t>s</w:t>
      </w:r>
      <w:r w:rsidR="006A31B8">
        <w:rPr>
          <w:rFonts w:cs="Arial"/>
          <w:szCs w:val="22"/>
        </w:rPr>
        <w:t xml:space="preserve"> of</w:t>
      </w:r>
      <w:r w:rsidRPr="00163853">
        <w:rPr>
          <w:rFonts w:cs="Arial"/>
          <w:szCs w:val="22"/>
        </w:rPr>
        <w:t>:</w:t>
      </w:r>
    </w:p>
    <w:p w14:paraId="110628A2" w14:textId="77777777" w:rsidR="00B3738D" w:rsidRPr="009646AA" w:rsidRDefault="00B3738D" w:rsidP="009646AA">
      <w:pPr>
        <w:pStyle w:val="ListParagraph"/>
        <w:numPr>
          <w:ilvl w:val="0"/>
          <w:numId w:val="38"/>
        </w:numPr>
        <w:rPr>
          <w:rFonts w:cs="Arial"/>
          <w:szCs w:val="22"/>
        </w:rPr>
      </w:pPr>
      <w:r w:rsidRPr="009646AA">
        <w:rPr>
          <w:rFonts w:cs="Arial"/>
          <w:szCs w:val="22"/>
        </w:rPr>
        <w:t>0 to 0.2</w:t>
      </w:r>
      <w:r w:rsidR="00D70A23">
        <w:rPr>
          <w:rFonts w:cs="Arial"/>
          <w:szCs w:val="22"/>
        </w:rPr>
        <w:t>0</w:t>
      </w:r>
      <w:r w:rsidRPr="009646AA">
        <w:rPr>
          <w:rFonts w:cs="Arial"/>
          <w:szCs w:val="22"/>
        </w:rPr>
        <w:t xml:space="preserve"> were rated as ‘very poor’ and coloured red </w:t>
      </w:r>
    </w:p>
    <w:p w14:paraId="345190CA" w14:textId="77777777" w:rsidR="00B3738D" w:rsidRPr="009646AA" w:rsidRDefault="00B3738D" w:rsidP="009646AA">
      <w:pPr>
        <w:pStyle w:val="ListParagraph"/>
        <w:numPr>
          <w:ilvl w:val="0"/>
          <w:numId w:val="38"/>
        </w:numPr>
        <w:rPr>
          <w:rFonts w:cs="Arial"/>
          <w:szCs w:val="22"/>
        </w:rPr>
      </w:pPr>
      <w:r w:rsidRPr="009646AA">
        <w:rPr>
          <w:rFonts w:cs="Arial"/>
          <w:szCs w:val="22"/>
        </w:rPr>
        <w:t>0.2</w:t>
      </w:r>
      <w:r w:rsidR="00D70A23">
        <w:rPr>
          <w:rFonts w:cs="Arial"/>
          <w:szCs w:val="22"/>
        </w:rPr>
        <w:t>1</w:t>
      </w:r>
      <w:r w:rsidRPr="009646AA">
        <w:rPr>
          <w:rFonts w:cs="Arial"/>
          <w:szCs w:val="22"/>
        </w:rPr>
        <w:t xml:space="preserve"> to 0.4</w:t>
      </w:r>
      <w:r w:rsidR="00D70A23">
        <w:rPr>
          <w:rFonts w:cs="Arial"/>
          <w:szCs w:val="22"/>
        </w:rPr>
        <w:t>0</w:t>
      </w:r>
      <w:r w:rsidRPr="009646AA">
        <w:rPr>
          <w:rFonts w:cs="Arial"/>
          <w:szCs w:val="22"/>
        </w:rPr>
        <w:t xml:space="preserve"> were rated as ‘poor’ and coloured orange </w:t>
      </w:r>
    </w:p>
    <w:p w14:paraId="382C693A" w14:textId="77777777" w:rsidR="00B3738D" w:rsidRPr="009646AA" w:rsidRDefault="00B3738D" w:rsidP="009646AA">
      <w:pPr>
        <w:pStyle w:val="ListParagraph"/>
        <w:numPr>
          <w:ilvl w:val="0"/>
          <w:numId w:val="38"/>
        </w:numPr>
        <w:rPr>
          <w:rFonts w:cs="Arial"/>
          <w:szCs w:val="22"/>
        </w:rPr>
      </w:pPr>
      <w:r w:rsidRPr="009646AA">
        <w:rPr>
          <w:rFonts w:cs="Arial"/>
          <w:szCs w:val="22"/>
        </w:rPr>
        <w:t>0.4</w:t>
      </w:r>
      <w:r w:rsidR="00D70A23">
        <w:rPr>
          <w:rFonts w:cs="Arial"/>
          <w:szCs w:val="22"/>
        </w:rPr>
        <w:t>1</w:t>
      </w:r>
      <w:r w:rsidRPr="009646AA">
        <w:rPr>
          <w:rFonts w:cs="Arial"/>
          <w:szCs w:val="22"/>
        </w:rPr>
        <w:t xml:space="preserve"> to 0.6</w:t>
      </w:r>
      <w:r w:rsidR="00D70A23">
        <w:rPr>
          <w:rFonts w:cs="Arial"/>
          <w:szCs w:val="22"/>
        </w:rPr>
        <w:t>0</w:t>
      </w:r>
      <w:r w:rsidRPr="009646AA">
        <w:rPr>
          <w:rFonts w:cs="Arial"/>
          <w:szCs w:val="22"/>
        </w:rPr>
        <w:t xml:space="preserve"> were rated as ‘moderate’ and coloured yellow </w:t>
      </w:r>
    </w:p>
    <w:p w14:paraId="1ACDB9BA" w14:textId="77777777" w:rsidR="00B3738D" w:rsidRPr="009646AA" w:rsidRDefault="00B3738D" w:rsidP="009646AA">
      <w:pPr>
        <w:pStyle w:val="ListParagraph"/>
        <w:numPr>
          <w:ilvl w:val="0"/>
          <w:numId w:val="38"/>
        </w:numPr>
        <w:rPr>
          <w:rFonts w:cs="Arial"/>
          <w:szCs w:val="22"/>
        </w:rPr>
      </w:pPr>
      <w:r w:rsidRPr="009646AA">
        <w:rPr>
          <w:rFonts w:cs="Arial"/>
          <w:szCs w:val="22"/>
        </w:rPr>
        <w:t>0.6</w:t>
      </w:r>
      <w:r w:rsidR="00D70A23">
        <w:rPr>
          <w:rFonts w:cs="Arial"/>
          <w:szCs w:val="22"/>
        </w:rPr>
        <w:t>1</w:t>
      </w:r>
      <w:r w:rsidRPr="009646AA">
        <w:rPr>
          <w:rFonts w:cs="Arial"/>
          <w:szCs w:val="22"/>
        </w:rPr>
        <w:t xml:space="preserve"> to 0.8</w:t>
      </w:r>
      <w:r w:rsidR="00D70A23">
        <w:rPr>
          <w:rFonts w:cs="Arial"/>
          <w:szCs w:val="22"/>
        </w:rPr>
        <w:t>0</w:t>
      </w:r>
      <w:r w:rsidRPr="009646AA">
        <w:rPr>
          <w:rFonts w:cs="Arial"/>
          <w:szCs w:val="22"/>
        </w:rPr>
        <w:t xml:space="preserve"> were rated as ‘good’, and coloured light green </w:t>
      </w:r>
    </w:p>
    <w:p w14:paraId="615ADE5F" w14:textId="77777777" w:rsidR="00B3738D" w:rsidRPr="009646AA" w:rsidRDefault="00B3738D" w:rsidP="009646AA">
      <w:pPr>
        <w:pStyle w:val="ListParagraph"/>
        <w:numPr>
          <w:ilvl w:val="0"/>
          <w:numId w:val="38"/>
        </w:numPr>
        <w:rPr>
          <w:rFonts w:cs="Arial"/>
          <w:szCs w:val="22"/>
        </w:rPr>
      </w:pPr>
      <w:r w:rsidRPr="009646AA">
        <w:rPr>
          <w:rFonts w:cs="Arial"/>
          <w:szCs w:val="22"/>
        </w:rPr>
        <w:t>0.8</w:t>
      </w:r>
      <w:r w:rsidR="00D70A23">
        <w:rPr>
          <w:rFonts w:cs="Arial"/>
          <w:szCs w:val="22"/>
        </w:rPr>
        <w:t>1</w:t>
      </w:r>
      <w:r w:rsidRPr="009646AA">
        <w:rPr>
          <w:rFonts w:cs="Arial"/>
          <w:szCs w:val="22"/>
        </w:rPr>
        <w:t xml:space="preserve"> were rated as ‘very good’ and coloured dark green. </w:t>
      </w:r>
    </w:p>
    <w:p w14:paraId="7611DF7D" w14:textId="77777777" w:rsidR="00B3738D" w:rsidRPr="009646AA" w:rsidRDefault="00D44891" w:rsidP="007E5B6D">
      <w:pPr>
        <w:pStyle w:val="Heading2"/>
        <w:spacing w:before="240"/>
      </w:pPr>
      <w:bookmarkStart w:id="378" w:name="_Toc437424436"/>
      <w:bookmarkStart w:id="379" w:name="_Toc437424560"/>
      <w:bookmarkStart w:id="380" w:name="_Toc437432490"/>
      <w:bookmarkStart w:id="381" w:name="_Toc437432563"/>
      <w:bookmarkStart w:id="382" w:name="_Toc460490675"/>
      <w:r>
        <w:t>6</w:t>
      </w:r>
      <w:r w:rsidR="009646AA">
        <w:t>.</w:t>
      </w:r>
      <w:r w:rsidR="008E6308">
        <w:t xml:space="preserve">8 </w:t>
      </w:r>
      <w:r w:rsidR="00B3738D" w:rsidRPr="009646AA">
        <w:t>Comparison between revised and previously used coral index.</w:t>
      </w:r>
      <w:bookmarkEnd w:id="378"/>
      <w:bookmarkEnd w:id="379"/>
      <w:bookmarkEnd w:id="380"/>
      <w:bookmarkEnd w:id="381"/>
      <w:bookmarkEnd w:id="382"/>
    </w:p>
    <w:p w14:paraId="26B7BDB7" w14:textId="77777777" w:rsidR="00B3738D" w:rsidRDefault="00B3738D" w:rsidP="00163853">
      <w:r>
        <w:t xml:space="preserve">The indicators and the associated thresholds and scoring system utilised up until 2014 </w:t>
      </w:r>
      <w:r w:rsidR="003A3C1D">
        <w:t xml:space="preserve">are </w:t>
      </w:r>
      <w:r>
        <w:t xml:space="preserve">summarised in Table </w:t>
      </w:r>
      <w:r w:rsidR="00B76A73">
        <w:t>7</w:t>
      </w:r>
      <w:r>
        <w:t>. A comparison between coral index scores utilising the previous and revised methods demonstrates the consistency in the results obtained by the two methods (</w:t>
      </w:r>
      <w:r w:rsidR="00553772">
        <w:fldChar w:fldCharType="begin"/>
      </w:r>
      <w:r w:rsidR="00553772">
        <w:instrText xml:space="preserve"> REF _Ref438122333 \h </w:instrText>
      </w:r>
      <w:r w:rsidR="00553772">
        <w:fldChar w:fldCharType="separate"/>
      </w:r>
      <w:r w:rsidR="00B61881">
        <w:t xml:space="preserve">Figure </w:t>
      </w:r>
      <w:r w:rsidR="00B61881">
        <w:rPr>
          <w:noProof/>
        </w:rPr>
        <w:t>23</w:t>
      </w:r>
      <w:r w:rsidR="00553772">
        <w:fldChar w:fldCharType="end"/>
      </w:r>
      <w:r w:rsidR="009646AA">
        <w:t>)</w:t>
      </w:r>
      <w:r>
        <w:t xml:space="preserve">. </w:t>
      </w:r>
      <w:r w:rsidR="009646AA">
        <w:t>It</w:t>
      </w:r>
      <w:r>
        <w:t xml:space="preserve"> is evident that the revised results are slightly less variable than those derived from the previous methods. This is to be expected given the inclusion of an additional three LTMP reefs in each of the Wet Tropics, Burdekin and Mackay Whitsunday Regions along with the additional indicator for community composition</w:t>
      </w:r>
      <w:r w:rsidR="007E666A">
        <w:t xml:space="preserve"> result in the index becom</w:t>
      </w:r>
      <w:r w:rsidR="003A3C1D">
        <w:t>ing</w:t>
      </w:r>
      <w:r w:rsidR="007E666A">
        <w:t xml:space="preserve"> less sensitive to change in individual indicators or at individual sites</w:t>
      </w:r>
      <w:r>
        <w:t xml:space="preserve">. </w:t>
      </w:r>
    </w:p>
    <w:p w14:paraId="71F5E055" w14:textId="77777777" w:rsidR="009548EA" w:rsidRDefault="009548EA">
      <w:pPr>
        <w:jc w:val="left"/>
      </w:pPr>
      <w:r>
        <w:br w:type="page"/>
      </w:r>
    </w:p>
    <w:p w14:paraId="00AC0855" w14:textId="77777777" w:rsidR="00B3738D" w:rsidRPr="00163853" w:rsidRDefault="0026052F" w:rsidP="0026052F">
      <w:pPr>
        <w:pStyle w:val="Caption"/>
        <w:rPr>
          <w:rFonts w:eastAsiaTheme="majorEastAsia"/>
        </w:rPr>
      </w:pPr>
      <w:bookmarkStart w:id="383" w:name="_Ref438121998"/>
      <w:bookmarkStart w:id="384" w:name="_Toc437424437"/>
      <w:bookmarkStart w:id="385" w:name="_Toc437424561"/>
      <w:bookmarkStart w:id="386" w:name="_Toc437597660"/>
      <w:bookmarkStart w:id="387" w:name="_Toc453855054"/>
      <w:r>
        <w:lastRenderedPageBreak/>
        <w:t xml:space="preserve">Table </w:t>
      </w:r>
      <w:r w:rsidR="005D2F9F">
        <w:fldChar w:fldCharType="begin"/>
      </w:r>
      <w:r w:rsidR="005D2F9F">
        <w:instrText xml:space="preserve"> SEQ Table \* ARABIC </w:instrText>
      </w:r>
      <w:r w:rsidR="005D2F9F">
        <w:fldChar w:fldCharType="separate"/>
      </w:r>
      <w:r w:rsidR="00B61881">
        <w:rPr>
          <w:noProof/>
        </w:rPr>
        <w:t>7</w:t>
      </w:r>
      <w:r w:rsidR="005D2F9F">
        <w:rPr>
          <w:noProof/>
        </w:rPr>
        <w:fldChar w:fldCharType="end"/>
      </w:r>
      <w:bookmarkEnd w:id="383"/>
      <w:r w:rsidR="006B3B22">
        <w:t xml:space="preserve">: </w:t>
      </w:r>
      <w:r w:rsidR="00B3738D">
        <w:t xml:space="preserve">Threshold values for the coral </w:t>
      </w:r>
      <w:bookmarkEnd w:id="384"/>
      <w:bookmarkEnd w:id="385"/>
      <w:bookmarkEnd w:id="386"/>
      <w:r w:rsidR="00EC0B7A">
        <w:t>index metrics</w:t>
      </w:r>
      <w:bookmarkEnd w:id="387"/>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Caption w:val="Table 7: Threshold values for the assessment of coral reef condition and resilience indicators used until 2014"/>
        <w:tblDescription w:val="Table 7: Threshold values for the assessment of coral reef condition and resilience indicators used until 2014, with the new Report Card Index thresholds values listed for comparison."/>
      </w:tblPr>
      <w:tblGrid>
        <w:gridCol w:w="1546"/>
        <w:gridCol w:w="1205"/>
        <w:gridCol w:w="2268"/>
        <w:gridCol w:w="1701"/>
        <w:gridCol w:w="1275"/>
        <w:gridCol w:w="1860"/>
      </w:tblGrid>
      <w:tr w:rsidR="00811572" w14:paraId="0F8B4C18" w14:textId="77777777" w:rsidTr="00012CD2">
        <w:tc>
          <w:tcPr>
            <w:tcW w:w="5019" w:type="dxa"/>
            <w:gridSpan w:val="3"/>
            <w:shd w:val="clear" w:color="auto" w:fill="E6E6E6"/>
            <w:tcMar>
              <w:left w:w="57" w:type="dxa"/>
              <w:right w:w="57" w:type="dxa"/>
            </w:tcMar>
          </w:tcPr>
          <w:p w14:paraId="62C84446" w14:textId="77777777" w:rsidR="00811572" w:rsidRDefault="00811572" w:rsidP="00012CD2">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Pre 2015 Report card index</w:t>
            </w:r>
          </w:p>
        </w:tc>
        <w:tc>
          <w:tcPr>
            <w:tcW w:w="4836" w:type="dxa"/>
            <w:gridSpan w:val="3"/>
            <w:shd w:val="clear" w:color="auto" w:fill="E6E6E6"/>
            <w:noWrap/>
            <w:tcMar>
              <w:left w:w="57" w:type="dxa"/>
              <w:right w:w="57" w:type="dxa"/>
            </w:tcMar>
          </w:tcPr>
          <w:p w14:paraId="37F00F64" w14:textId="77777777" w:rsidR="00811572" w:rsidRDefault="00811572" w:rsidP="00012CD2">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New Report card index</w:t>
            </w:r>
          </w:p>
        </w:tc>
      </w:tr>
      <w:tr w:rsidR="00574569" w14:paraId="03D4CAF0" w14:textId="77777777" w:rsidTr="00012CD2">
        <w:tc>
          <w:tcPr>
            <w:tcW w:w="1546" w:type="dxa"/>
            <w:shd w:val="clear" w:color="auto" w:fill="E6E6E6"/>
            <w:tcMar>
              <w:left w:w="57" w:type="dxa"/>
              <w:right w:w="57" w:type="dxa"/>
            </w:tcMar>
            <w:hideMark/>
          </w:tcPr>
          <w:p w14:paraId="6DF2E33F" w14:textId="77777777" w:rsidR="00811572" w:rsidRDefault="00811572" w:rsidP="00012CD2">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Community attribute</w:t>
            </w:r>
          </w:p>
        </w:tc>
        <w:tc>
          <w:tcPr>
            <w:tcW w:w="1205" w:type="dxa"/>
            <w:shd w:val="clear" w:color="auto" w:fill="E6E6E6"/>
            <w:tcMar>
              <w:left w:w="57" w:type="dxa"/>
              <w:right w:w="57" w:type="dxa"/>
            </w:tcMar>
            <w:hideMark/>
          </w:tcPr>
          <w:p w14:paraId="1A04E060" w14:textId="77777777" w:rsidR="00811572" w:rsidRPr="00574569" w:rsidRDefault="00811572" w:rsidP="00012CD2">
            <w:pPr>
              <w:tabs>
                <w:tab w:val="left" w:pos="1780"/>
                <w:tab w:val="right" w:leader="dot" w:pos="8640"/>
              </w:tabs>
              <w:spacing w:before="100" w:beforeAutospacing="1" w:after="100" w:afterAutospacing="1"/>
              <w:contextualSpacing/>
              <w:jc w:val="left"/>
              <w:rPr>
                <w:rFonts w:ascii="Arial Narrow" w:hAnsi="Arial Narrow"/>
                <w:b/>
                <w:sz w:val="20"/>
              </w:rPr>
            </w:pPr>
            <w:r w:rsidRPr="00574569">
              <w:rPr>
                <w:rFonts w:ascii="Arial Narrow" w:hAnsi="Arial Narrow"/>
                <w:b/>
                <w:sz w:val="20"/>
              </w:rPr>
              <w:t>Score</w:t>
            </w:r>
          </w:p>
        </w:tc>
        <w:tc>
          <w:tcPr>
            <w:tcW w:w="2268" w:type="dxa"/>
            <w:shd w:val="clear" w:color="auto" w:fill="E6E6E6"/>
            <w:tcMar>
              <w:left w:w="57" w:type="dxa"/>
              <w:right w:w="57" w:type="dxa"/>
            </w:tcMar>
            <w:hideMark/>
          </w:tcPr>
          <w:p w14:paraId="48207959" w14:textId="77777777" w:rsidR="00811572" w:rsidRDefault="00811572" w:rsidP="00012CD2">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Thresholds</w:t>
            </w:r>
          </w:p>
        </w:tc>
        <w:tc>
          <w:tcPr>
            <w:tcW w:w="1701" w:type="dxa"/>
            <w:shd w:val="clear" w:color="auto" w:fill="E6E6E6"/>
            <w:noWrap/>
            <w:tcMar>
              <w:left w:w="57" w:type="dxa"/>
              <w:right w:w="57" w:type="dxa"/>
            </w:tcMar>
          </w:tcPr>
          <w:p w14:paraId="20DC2732" w14:textId="77777777" w:rsidR="00811572" w:rsidRDefault="00811572" w:rsidP="00012CD2">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Community attribute</w:t>
            </w:r>
          </w:p>
        </w:tc>
        <w:tc>
          <w:tcPr>
            <w:tcW w:w="1275" w:type="dxa"/>
            <w:shd w:val="clear" w:color="auto" w:fill="E6E6E6"/>
            <w:noWrap/>
            <w:tcMar>
              <w:left w:w="57" w:type="dxa"/>
              <w:right w:w="57" w:type="dxa"/>
            </w:tcMar>
          </w:tcPr>
          <w:p w14:paraId="38D8772A" w14:textId="77777777" w:rsidR="00811572" w:rsidRDefault="00811572" w:rsidP="00012CD2">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Score</w:t>
            </w:r>
          </w:p>
        </w:tc>
        <w:tc>
          <w:tcPr>
            <w:tcW w:w="1860" w:type="dxa"/>
            <w:shd w:val="clear" w:color="auto" w:fill="E6E6E6"/>
            <w:tcMar>
              <w:left w:w="57" w:type="dxa"/>
              <w:right w:w="57" w:type="dxa"/>
            </w:tcMar>
          </w:tcPr>
          <w:p w14:paraId="63606377" w14:textId="77777777" w:rsidR="00811572" w:rsidRDefault="00811572" w:rsidP="00012CD2">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Thresholds</w:t>
            </w:r>
          </w:p>
        </w:tc>
      </w:tr>
      <w:tr w:rsidR="00012CD2" w14:paraId="76C1B10C" w14:textId="77777777" w:rsidTr="00012CD2">
        <w:tc>
          <w:tcPr>
            <w:tcW w:w="1546" w:type="dxa"/>
            <w:vMerge w:val="restart"/>
            <w:tcMar>
              <w:left w:w="57" w:type="dxa"/>
              <w:right w:w="57" w:type="dxa"/>
            </w:tcMar>
            <w:hideMark/>
          </w:tcPr>
          <w:p w14:paraId="157A1296"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Combined hard and soft coral cover</w:t>
            </w:r>
          </w:p>
        </w:tc>
        <w:tc>
          <w:tcPr>
            <w:tcW w:w="1205" w:type="dxa"/>
            <w:tcMar>
              <w:left w:w="57" w:type="dxa"/>
              <w:right w:w="57" w:type="dxa"/>
            </w:tcMar>
            <w:hideMark/>
          </w:tcPr>
          <w:p w14:paraId="0727BD37" w14:textId="77777777" w:rsidR="007F420E" w:rsidRDefault="007F420E"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1</w:t>
            </w:r>
          </w:p>
        </w:tc>
        <w:tc>
          <w:tcPr>
            <w:tcW w:w="2268" w:type="dxa"/>
            <w:tcMar>
              <w:left w:w="57" w:type="dxa"/>
              <w:right w:w="57" w:type="dxa"/>
            </w:tcMar>
            <w:hideMark/>
          </w:tcPr>
          <w:p w14:paraId="1A92ADB7"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&gt; 50%</w:t>
            </w:r>
          </w:p>
        </w:tc>
        <w:tc>
          <w:tcPr>
            <w:tcW w:w="1701" w:type="dxa"/>
            <w:vMerge w:val="restart"/>
            <w:noWrap/>
            <w:tcMar>
              <w:left w:w="57" w:type="dxa"/>
              <w:right w:w="57" w:type="dxa"/>
            </w:tcMar>
          </w:tcPr>
          <w:p w14:paraId="081F0AF1"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Combined hard and soft coral cover</w:t>
            </w:r>
          </w:p>
        </w:tc>
        <w:tc>
          <w:tcPr>
            <w:tcW w:w="1275" w:type="dxa"/>
            <w:vMerge w:val="restart"/>
            <w:noWrap/>
            <w:tcMar>
              <w:left w:w="57" w:type="dxa"/>
              <w:right w:w="57" w:type="dxa"/>
            </w:tcMar>
          </w:tcPr>
          <w:p w14:paraId="29F381A4"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Continuous between 0-1</w:t>
            </w:r>
          </w:p>
        </w:tc>
        <w:tc>
          <w:tcPr>
            <w:tcW w:w="1860" w:type="dxa"/>
            <w:tcMar>
              <w:left w:w="57" w:type="dxa"/>
              <w:right w:w="57" w:type="dxa"/>
            </w:tcMar>
          </w:tcPr>
          <w:p w14:paraId="7DC12BFE"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1 at 75%</w:t>
            </w:r>
            <w:r w:rsidR="005B2E4D">
              <w:rPr>
                <w:rFonts w:ascii="Arial Narrow" w:hAnsi="Arial Narrow"/>
                <w:sz w:val="20"/>
              </w:rPr>
              <w:t xml:space="preserve"> c</w:t>
            </w:r>
            <w:r>
              <w:rPr>
                <w:rFonts w:ascii="Arial Narrow" w:hAnsi="Arial Narrow"/>
                <w:sz w:val="20"/>
              </w:rPr>
              <w:t>over</w:t>
            </w:r>
            <w:r w:rsidR="00574569">
              <w:rPr>
                <w:rFonts w:ascii="Arial Narrow" w:hAnsi="Arial Narrow"/>
                <w:sz w:val="20"/>
              </w:rPr>
              <w:t xml:space="preserve">  </w:t>
            </w:r>
            <w:r w:rsidR="00CF5D4E">
              <w:rPr>
                <w:rFonts w:ascii="Arial Narrow" w:hAnsi="Arial Narrow"/>
                <w:sz w:val="20"/>
              </w:rPr>
              <w:t>or greater</w:t>
            </w:r>
          </w:p>
        </w:tc>
      </w:tr>
      <w:tr w:rsidR="00574569" w14:paraId="1E96D248" w14:textId="77777777" w:rsidTr="00012CD2">
        <w:tc>
          <w:tcPr>
            <w:tcW w:w="1546" w:type="dxa"/>
            <w:vMerge/>
            <w:tcMar>
              <w:left w:w="57" w:type="dxa"/>
              <w:right w:w="57" w:type="dxa"/>
            </w:tcMar>
            <w:hideMark/>
          </w:tcPr>
          <w:p w14:paraId="7FB20A46" w14:textId="77777777" w:rsidR="007F420E" w:rsidRDefault="007F420E" w:rsidP="00012CD2">
            <w:pPr>
              <w:spacing w:before="100" w:beforeAutospacing="1" w:after="100" w:afterAutospacing="1"/>
              <w:contextualSpacing/>
              <w:jc w:val="left"/>
              <w:rPr>
                <w:rFonts w:ascii="Arial Narrow" w:hAnsi="Arial Narrow"/>
                <w:sz w:val="20"/>
              </w:rPr>
            </w:pPr>
          </w:p>
        </w:tc>
        <w:tc>
          <w:tcPr>
            <w:tcW w:w="1205" w:type="dxa"/>
            <w:tcMar>
              <w:left w:w="57" w:type="dxa"/>
              <w:right w:w="57" w:type="dxa"/>
            </w:tcMar>
            <w:hideMark/>
          </w:tcPr>
          <w:p w14:paraId="6C411570" w14:textId="77777777" w:rsidR="007F420E" w:rsidRDefault="007F420E"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0.5</w:t>
            </w:r>
          </w:p>
        </w:tc>
        <w:tc>
          <w:tcPr>
            <w:tcW w:w="2268" w:type="dxa"/>
            <w:tcMar>
              <w:left w:w="57" w:type="dxa"/>
              <w:right w:w="57" w:type="dxa"/>
            </w:tcMar>
            <w:hideMark/>
          </w:tcPr>
          <w:p w14:paraId="17E06D30"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between 25% and 50%</w:t>
            </w:r>
          </w:p>
        </w:tc>
        <w:tc>
          <w:tcPr>
            <w:tcW w:w="1701" w:type="dxa"/>
            <w:vMerge/>
            <w:noWrap/>
            <w:tcMar>
              <w:left w:w="57" w:type="dxa"/>
              <w:right w:w="57" w:type="dxa"/>
            </w:tcMar>
          </w:tcPr>
          <w:p w14:paraId="17C99BE3"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vMerge/>
            <w:noWrap/>
            <w:tcMar>
              <w:left w:w="57" w:type="dxa"/>
              <w:right w:w="57" w:type="dxa"/>
            </w:tcMar>
          </w:tcPr>
          <w:p w14:paraId="2C6E17F3"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860" w:type="dxa"/>
            <w:vMerge w:val="restart"/>
            <w:tcMar>
              <w:left w:w="57" w:type="dxa"/>
              <w:right w:w="57" w:type="dxa"/>
            </w:tcMar>
          </w:tcPr>
          <w:p w14:paraId="16999FDE"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 at zero cover</w:t>
            </w:r>
          </w:p>
        </w:tc>
      </w:tr>
      <w:tr w:rsidR="00012CD2" w14:paraId="2D447079" w14:textId="77777777" w:rsidTr="00012CD2">
        <w:tc>
          <w:tcPr>
            <w:tcW w:w="1546" w:type="dxa"/>
            <w:vMerge/>
            <w:tcMar>
              <w:left w:w="57" w:type="dxa"/>
              <w:right w:w="57" w:type="dxa"/>
            </w:tcMar>
            <w:vAlign w:val="center"/>
            <w:hideMark/>
          </w:tcPr>
          <w:p w14:paraId="1B0DC456" w14:textId="77777777" w:rsidR="007F420E" w:rsidRDefault="007F420E" w:rsidP="00012CD2">
            <w:pPr>
              <w:spacing w:before="100" w:beforeAutospacing="1" w:after="100" w:afterAutospacing="1"/>
              <w:contextualSpacing/>
              <w:jc w:val="left"/>
              <w:rPr>
                <w:rFonts w:ascii="Arial Narrow" w:hAnsi="Arial Narrow"/>
                <w:sz w:val="20"/>
              </w:rPr>
            </w:pPr>
          </w:p>
        </w:tc>
        <w:tc>
          <w:tcPr>
            <w:tcW w:w="1205" w:type="dxa"/>
            <w:tcMar>
              <w:left w:w="57" w:type="dxa"/>
              <w:right w:w="57" w:type="dxa"/>
            </w:tcMar>
            <w:vAlign w:val="center"/>
            <w:hideMark/>
          </w:tcPr>
          <w:p w14:paraId="7A31E936" w14:textId="77777777" w:rsidR="007F420E" w:rsidRDefault="007F420E"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w:t>
            </w:r>
          </w:p>
        </w:tc>
        <w:tc>
          <w:tcPr>
            <w:tcW w:w="2268" w:type="dxa"/>
            <w:tcMar>
              <w:left w:w="57" w:type="dxa"/>
              <w:right w:w="57" w:type="dxa"/>
            </w:tcMar>
            <w:vAlign w:val="center"/>
            <w:hideMark/>
          </w:tcPr>
          <w:p w14:paraId="67CCB1E1"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&lt; 25%</w:t>
            </w:r>
          </w:p>
        </w:tc>
        <w:tc>
          <w:tcPr>
            <w:tcW w:w="1701" w:type="dxa"/>
            <w:vMerge/>
            <w:noWrap/>
            <w:tcMar>
              <w:left w:w="57" w:type="dxa"/>
              <w:right w:w="57" w:type="dxa"/>
            </w:tcMar>
          </w:tcPr>
          <w:p w14:paraId="32D0E8EB"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vMerge/>
            <w:noWrap/>
            <w:tcMar>
              <w:left w:w="57" w:type="dxa"/>
              <w:right w:w="57" w:type="dxa"/>
            </w:tcMar>
          </w:tcPr>
          <w:p w14:paraId="13845398"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860" w:type="dxa"/>
            <w:vMerge/>
            <w:tcMar>
              <w:left w:w="57" w:type="dxa"/>
              <w:right w:w="57" w:type="dxa"/>
            </w:tcMar>
          </w:tcPr>
          <w:p w14:paraId="5687A7FD"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r>
      <w:tr w:rsidR="00012CD2" w14:paraId="0D25EC43" w14:textId="77777777" w:rsidTr="00012CD2">
        <w:trPr>
          <w:trHeight w:val="698"/>
        </w:trPr>
        <w:tc>
          <w:tcPr>
            <w:tcW w:w="1546" w:type="dxa"/>
            <w:vMerge w:val="restart"/>
            <w:tcMar>
              <w:left w:w="57" w:type="dxa"/>
              <w:right w:w="57" w:type="dxa"/>
            </w:tcMar>
          </w:tcPr>
          <w:p w14:paraId="359BAA73"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Rate of increase in hard coral cover (preceding 3 years)</w:t>
            </w:r>
          </w:p>
        </w:tc>
        <w:tc>
          <w:tcPr>
            <w:tcW w:w="1205" w:type="dxa"/>
            <w:vMerge w:val="restart"/>
            <w:tcMar>
              <w:left w:w="57" w:type="dxa"/>
              <w:right w:w="57" w:type="dxa"/>
            </w:tcMar>
          </w:tcPr>
          <w:p w14:paraId="2FE6C51C" w14:textId="77777777" w:rsidR="003A4236" w:rsidRDefault="003A4236"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1</w:t>
            </w:r>
          </w:p>
        </w:tc>
        <w:tc>
          <w:tcPr>
            <w:tcW w:w="2268" w:type="dxa"/>
            <w:vMerge w:val="restart"/>
            <w:tcMar>
              <w:left w:w="57" w:type="dxa"/>
              <w:right w:w="57" w:type="dxa"/>
            </w:tcMar>
          </w:tcPr>
          <w:p w14:paraId="43249A04"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above upper confidence interval of model-predicted change</w:t>
            </w:r>
          </w:p>
        </w:tc>
        <w:tc>
          <w:tcPr>
            <w:tcW w:w="1701" w:type="dxa"/>
            <w:vMerge w:val="restart"/>
            <w:noWrap/>
            <w:tcMar>
              <w:left w:w="57" w:type="dxa"/>
              <w:right w:w="57" w:type="dxa"/>
            </w:tcMar>
          </w:tcPr>
          <w:p w14:paraId="6E3552EF"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Rate of increase in hard coral cover (preceding 4 years)</w:t>
            </w:r>
          </w:p>
        </w:tc>
        <w:tc>
          <w:tcPr>
            <w:tcW w:w="1275" w:type="dxa"/>
            <w:noWrap/>
            <w:tcMar>
              <w:left w:w="57" w:type="dxa"/>
              <w:right w:w="57" w:type="dxa"/>
            </w:tcMar>
          </w:tcPr>
          <w:p w14:paraId="0EBB7F9B"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1</w:t>
            </w:r>
          </w:p>
        </w:tc>
        <w:tc>
          <w:tcPr>
            <w:tcW w:w="1860" w:type="dxa"/>
            <w:tcMar>
              <w:left w:w="57" w:type="dxa"/>
              <w:right w:w="57" w:type="dxa"/>
            </w:tcMar>
          </w:tcPr>
          <w:p w14:paraId="4A1B1C9F"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 xml:space="preserve">Change </w:t>
            </w:r>
            <w:r w:rsidR="003A4236">
              <w:rPr>
                <w:rFonts w:ascii="Arial Narrow" w:hAnsi="Arial Narrow"/>
                <w:sz w:val="20"/>
              </w:rPr>
              <w:t xml:space="preserve"> &gt; 2x</w:t>
            </w:r>
            <w:r>
              <w:rPr>
                <w:rFonts w:ascii="Arial Narrow" w:hAnsi="Arial Narrow"/>
                <w:sz w:val="20"/>
              </w:rPr>
              <w:t xml:space="preserve"> upper </w:t>
            </w:r>
            <w:r w:rsidR="003A4236">
              <w:rPr>
                <w:rFonts w:ascii="Arial Narrow" w:hAnsi="Arial Narrow"/>
                <w:sz w:val="20"/>
              </w:rPr>
              <w:t xml:space="preserve">95% </w:t>
            </w:r>
            <w:r>
              <w:rPr>
                <w:rFonts w:ascii="Arial Narrow" w:hAnsi="Arial Narrow"/>
                <w:sz w:val="20"/>
              </w:rPr>
              <w:t>CI</w:t>
            </w:r>
            <w:r w:rsidR="003A4236">
              <w:rPr>
                <w:rFonts w:ascii="Arial Narrow" w:hAnsi="Arial Narrow"/>
                <w:sz w:val="20"/>
              </w:rPr>
              <w:t xml:space="preserve"> of predicted change</w:t>
            </w:r>
          </w:p>
        </w:tc>
      </w:tr>
      <w:tr w:rsidR="00012CD2" w14:paraId="783E36E6" w14:textId="77777777" w:rsidTr="00012CD2">
        <w:trPr>
          <w:trHeight w:val="928"/>
        </w:trPr>
        <w:tc>
          <w:tcPr>
            <w:tcW w:w="1546" w:type="dxa"/>
            <w:vMerge/>
            <w:tcMar>
              <w:left w:w="57" w:type="dxa"/>
              <w:right w:w="57" w:type="dxa"/>
            </w:tcMar>
          </w:tcPr>
          <w:p w14:paraId="02E57A6B" w14:textId="77777777" w:rsidR="003A4236" w:rsidRDefault="003A4236" w:rsidP="00012CD2">
            <w:pPr>
              <w:spacing w:before="100" w:beforeAutospacing="1" w:after="100" w:afterAutospacing="1"/>
              <w:contextualSpacing/>
              <w:jc w:val="left"/>
              <w:rPr>
                <w:rFonts w:ascii="Arial Narrow" w:hAnsi="Arial Narrow"/>
                <w:sz w:val="20"/>
              </w:rPr>
            </w:pPr>
          </w:p>
        </w:tc>
        <w:tc>
          <w:tcPr>
            <w:tcW w:w="1205" w:type="dxa"/>
            <w:vMerge/>
            <w:tcMar>
              <w:left w:w="57" w:type="dxa"/>
              <w:right w:w="57" w:type="dxa"/>
            </w:tcMar>
          </w:tcPr>
          <w:p w14:paraId="38961790" w14:textId="77777777" w:rsidR="003A4236" w:rsidRDefault="003A4236" w:rsidP="00012CD2">
            <w:pPr>
              <w:tabs>
                <w:tab w:val="left" w:pos="1780"/>
                <w:tab w:val="right" w:leader="dot" w:pos="8640"/>
              </w:tabs>
              <w:spacing w:before="100" w:beforeAutospacing="1" w:after="100" w:afterAutospacing="1"/>
              <w:contextualSpacing/>
              <w:jc w:val="left"/>
              <w:rPr>
                <w:rFonts w:ascii="Arial Narrow" w:hAnsi="Arial Narrow"/>
                <w:sz w:val="20"/>
              </w:rPr>
            </w:pPr>
          </w:p>
        </w:tc>
        <w:tc>
          <w:tcPr>
            <w:tcW w:w="2268" w:type="dxa"/>
            <w:vMerge/>
            <w:tcMar>
              <w:left w:w="57" w:type="dxa"/>
              <w:right w:w="57" w:type="dxa"/>
            </w:tcMar>
          </w:tcPr>
          <w:p w14:paraId="7112CE19"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701" w:type="dxa"/>
            <w:vMerge/>
            <w:noWrap/>
            <w:tcMar>
              <w:left w:w="57" w:type="dxa"/>
              <w:right w:w="57" w:type="dxa"/>
            </w:tcMar>
          </w:tcPr>
          <w:p w14:paraId="79797D4E"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noWrap/>
            <w:tcMar>
              <w:left w:w="57" w:type="dxa"/>
              <w:right w:w="57" w:type="dxa"/>
            </w:tcMar>
          </w:tcPr>
          <w:p w14:paraId="44C90CA7"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 xml:space="preserve">Continuous between 0.6 and 0.9 </w:t>
            </w:r>
          </w:p>
        </w:tc>
        <w:tc>
          <w:tcPr>
            <w:tcW w:w="1860" w:type="dxa"/>
            <w:tcMar>
              <w:left w:w="57" w:type="dxa"/>
              <w:right w:w="57" w:type="dxa"/>
            </w:tcMar>
          </w:tcPr>
          <w:p w14:paraId="6FF72B1F"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Change between upper 95% CI and 2x upper 95% CI</w:t>
            </w:r>
          </w:p>
        </w:tc>
      </w:tr>
      <w:tr w:rsidR="00012CD2" w14:paraId="6527044D" w14:textId="77777777" w:rsidTr="00012CD2">
        <w:trPr>
          <w:trHeight w:val="928"/>
        </w:trPr>
        <w:tc>
          <w:tcPr>
            <w:tcW w:w="1546" w:type="dxa"/>
            <w:vMerge/>
            <w:tcMar>
              <w:left w:w="57" w:type="dxa"/>
              <w:right w:w="57" w:type="dxa"/>
            </w:tcMar>
          </w:tcPr>
          <w:p w14:paraId="05CD1277" w14:textId="77777777" w:rsidR="003A4236" w:rsidRDefault="003A4236" w:rsidP="00012CD2">
            <w:pPr>
              <w:spacing w:before="100" w:beforeAutospacing="1" w:after="100" w:afterAutospacing="1"/>
              <w:contextualSpacing/>
              <w:jc w:val="left"/>
              <w:rPr>
                <w:rFonts w:ascii="Arial Narrow" w:hAnsi="Arial Narrow"/>
                <w:sz w:val="20"/>
              </w:rPr>
            </w:pPr>
          </w:p>
        </w:tc>
        <w:tc>
          <w:tcPr>
            <w:tcW w:w="1205" w:type="dxa"/>
            <w:vMerge w:val="restart"/>
            <w:tcMar>
              <w:left w:w="57" w:type="dxa"/>
              <w:right w:w="57" w:type="dxa"/>
            </w:tcMar>
          </w:tcPr>
          <w:p w14:paraId="274A0AEA" w14:textId="77777777" w:rsidR="003A4236" w:rsidRDefault="003A4236"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0.5</w:t>
            </w:r>
          </w:p>
        </w:tc>
        <w:tc>
          <w:tcPr>
            <w:tcW w:w="2268" w:type="dxa"/>
            <w:vMerge w:val="restart"/>
            <w:tcMar>
              <w:left w:w="57" w:type="dxa"/>
              <w:right w:w="57" w:type="dxa"/>
            </w:tcMar>
          </w:tcPr>
          <w:p w14:paraId="5E9188E0"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within confidence intervals of model-predicted change</w:t>
            </w:r>
          </w:p>
        </w:tc>
        <w:tc>
          <w:tcPr>
            <w:tcW w:w="1701" w:type="dxa"/>
            <w:vMerge/>
            <w:noWrap/>
            <w:tcMar>
              <w:left w:w="57" w:type="dxa"/>
              <w:right w:w="57" w:type="dxa"/>
            </w:tcMar>
          </w:tcPr>
          <w:p w14:paraId="103CD95D"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noWrap/>
            <w:tcMar>
              <w:left w:w="57" w:type="dxa"/>
              <w:right w:w="57" w:type="dxa"/>
            </w:tcMar>
          </w:tcPr>
          <w:p w14:paraId="096B6C0D"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Continuous between 0.4 and 0.6</w:t>
            </w:r>
          </w:p>
        </w:tc>
        <w:tc>
          <w:tcPr>
            <w:tcW w:w="1860" w:type="dxa"/>
            <w:tcMar>
              <w:left w:w="57" w:type="dxa"/>
              <w:right w:w="57" w:type="dxa"/>
            </w:tcMar>
          </w:tcPr>
          <w:p w14:paraId="791CE917"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Change within 95% CI of the predicted change</w:t>
            </w:r>
          </w:p>
        </w:tc>
      </w:tr>
      <w:tr w:rsidR="00012CD2" w14:paraId="005A0415" w14:textId="77777777" w:rsidTr="00012CD2">
        <w:trPr>
          <w:trHeight w:val="928"/>
        </w:trPr>
        <w:tc>
          <w:tcPr>
            <w:tcW w:w="1546" w:type="dxa"/>
            <w:vMerge/>
            <w:tcMar>
              <w:left w:w="57" w:type="dxa"/>
              <w:right w:w="57" w:type="dxa"/>
            </w:tcMar>
          </w:tcPr>
          <w:p w14:paraId="24DCDC02" w14:textId="77777777" w:rsidR="003A4236" w:rsidRDefault="003A4236" w:rsidP="00012CD2">
            <w:pPr>
              <w:spacing w:before="100" w:beforeAutospacing="1" w:after="100" w:afterAutospacing="1"/>
              <w:contextualSpacing/>
              <w:jc w:val="left"/>
              <w:rPr>
                <w:rFonts w:ascii="Arial Narrow" w:hAnsi="Arial Narrow"/>
                <w:sz w:val="20"/>
              </w:rPr>
            </w:pPr>
          </w:p>
        </w:tc>
        <w:tc>
          <w:tcPr>
            <w:tcW w:w="1205" w:type="dxa"/>
            <w:vMerge/>
            <w:tcMar>
              <w:left w:w="57" w:type="dxa"/>
              <w:right w:w="57" w:type="dxa"/>
            </w:tcMar>
          </w:tcPr>
          <w:p w14:paraId="47F110FE" w14:textId="77777777" w:rsidR="003A4236" w:rsidRDefault="003A4236" w:rsidP="00012CD2">
            <w:pPr>
              <w:tabs>
                <w:tab w:val="left" w:pos="1780"/>
                <w:tab w:val="right" w:leader="dot" w:pos="8640"/>
              </w:tabs>
              <w:spacing w:before="100" w:beforeAutospacing="1" w:after="100" w:afterAutospacing="1"/>
              <w:contextualSpacing/>
              <w:jc w:val="left"/>
              <w:rPr>
                <w:rFonts w:ascii="Arial Narrow" w:hAnsi="Arial Narrow"/>
                <w:sz w:val="20"/>
              </w:rPr>
            </w:pPr>
          </w:p>
        </w:tc>
        <w:tc>
          <w:tcPr>
            <w:tcW w:w="2268" w:type="dxa"/>
            <w:vMerge/>
            <w:tcMar>
              <w:left w:w="57" w:type="dxa"/>
              <w:right w:w="57" w:type="dxa"/>
            </w:tcMar>
          </w:tcPr>
          <w:p w14:paraId="0625B911"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701" w:type="dxa"/>
            <w:vMerge/>
            <w:noWrap/>
            <w:tcMar>
              <w:left w:w="57" w:type="dxa"/>
              <w:right w:w="57" w:type="dxa"/>
            </w:tcMar>
          </w:tcPr>
          <w:p w14:paraId="70397E04"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noWrap/>
            <w:tcMar>
              <w:left w:w="57" w:type="dxa"/>
              <w:right w:w="57" w:type="dxa"/>
            </w:tcMar>
          </w:tcPr>
          <w:p w14:paraId="68A44C2C"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Continuous between 0.1 and 0.4</w:t>
            </w:r>
          </w:p>
        </w:tc>
        <w:tc>
          <w:tcPr>
            <w:tcW w:w="1860" w:type="dxa"/>
            <w:tcMar>
              <w:left w:w="57" w:type="dxa"/>
              <w:right w:w="57" w:type="dxa"/>
            </w:tcMar>
          </w:tcPr>
          <w:p w14:paraId="020B2368"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Change between lower  95% CI and 2x lower  95% CI</w:t>
            </w:r>
          </w:p>
        </w:tc>
      </w:tr>
      <w:tr w:rsidR="00012CD2" w14:paraId="7F93FC1C" w14:textId="77777777" w:rsidTr="00012CD2">
        <w:tc>
          <w:tcPr>
            <w:tcW w:w="1546" w:type="dxa"/>
            <w:vMerge/>
            <w:tcMar>
              <w:left w:w="57" w:type="dxa"/>
              <w:right w:w="57" w:type="dxa"/>
            </w:tcMar>
            <w:hideMark/>
          </w:tcPr>
          <w:p w14:paraId="185B4F0F" w14:textId="77777777" w:rsidR="003A4236" w:rsidRDefault="003A4236" w:rsidP="00012CD2">
            <w:pPr>
              <w:spacing w:before="100" w:beforeAutospacing="1" w:after="100" w:afterAutospacing="1"/>
              <w:contextualSpacing/>
              <w:jc w:val="left"/>
              <w:rPr>
                <w:rFonts w:ascii="Arial Narrow" w:hAnsi="Arial Narrow"/>
                <w:sz w:val="20"/>
              </w:rPr>
            </w:pPr>
          </w:p>
        </w:tc>
        <w:tc>
          <w:tcPr>
            <w:tcW w:w="1205" w:type="dxa"/>
            <w:tcMar>
              <w:left w:w="57" w:type="dxa"/>
              <w:right w:w="57" w:type="dxa"/>
            </w:tcMar>
            <w:hideMark/>
          </w:tcPr>
          <w:p w14:paraId="01F4AA1F" w14:textId="77777777" w:rsidR="003A4236" w:rsidRDefault="003A4236"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w:t>
            </w:r>
          </w:p>
        </w:tc>
        <w:tc>
          <w:tcPr>
            <w:tcW w:w="2268" w:type="dxa"/>
            <w:tcMar>
              <w:left w:w="57" w:type="dxa"/>
              <w:right w:w="57" w:type="dxa"/>
            </w:tcMar>
            <w:hideMark/>
          </w:tcPr>
          <w:p w14:paraId="222F08E8"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below lower confidence interval of model-predicted change</w:t>
            </w:r>
          </w:p>
        </w:tc>
        <w:tc>
          <w:tcPr>
            <w:tcW w:w="1701" w:type="dxa"/>
            <w:vMerge/>
            <w:noWrap/>
            <w:tcMar>
              <w:left w:w="57" w:type="dxa"/>
              <w:right w:w="57" w:type="dxa"/>
            </w:tcMar>
          </w:tcPr>
          <w:p w14:paraId="0175751E" w14:textId="77777777" w:rsidR="003A4236" w:rsidRDefault="003A4236"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noWrap/>
            <w:tcMar>
              <w:left w:w="57" w:type="dxa"/>
              <w:right w:w="57" w:type="dxa"/>
            </w:tcMar>
          </w:tcPr>
          <w:p w14:paraId="121AB94C"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w:t>
            </w:r>
          </w:p>
        </w:tc>
        <w:tc>
          <w:tcPr>
            <w:tcW w:w="1860" w:type="dxa"/>
            <w:tcMar>
              <w:left w:w="57" w:type="dxa"/>
              <w:right w:w="57" w:type="dxa"/>
            </w:tcMar>
          </w:tcPr>
          <w:p w14:paraId="26435155" w14:textId="77777777" w:rsidR="003A4236"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change</w:t>
            </w:r>
            <w:r w:rsidR="003A4236">
              <w:rPr>
                <w:rFonts w:ascii="Arial Narrow" w:hAnsi="Arial Narrow"/>
                <w:sz w:val="20"/>
              </w:rPr>
              <w:t xml:space="preserve"> &lt; 2x</w:t>
            </w:r>
            <w:r>
              <w:rPr>
                <w:rFonts w:ascii="Arial Narrow" w:hAnsi="Arial Narrow"/>
                <w:sz w:val="20"/>
              </w:rPr>
              <w:t xml:space="preserve"> lower </w:t>
            </w:r>
            <w:r w:rsidR="003A4236">
              <w:rPr>
                <w:rFonts w:ascii="Arial Narrow" w:hAnsi="Arial Narrow"/>
                <w:sz w:val="20"/>
              </w:rPr>
              <w:t xml:space="preserve">95% </w:t>
            </w:r>
            <w:r>
              <w:rPr>
                <w:rFonts w:ascii="Arial Narrow" w:hAnsi="Arial Narrow"/>
                <w:sz w:val="20"/>
              </w:rPr>
              <w:t>CI</w:t>
            </w:r>
            <w:r w:rsidR="003A4236">
              <w:rPr>
                <w:rFonts w:ascii="Arial Narrow" w:hAnsi="Arial Narrow"/>
                <w:sz w:val="20"/>
              </w:rPr>
              <w:t xml:space="preserve"> of predicted change</w:t>
            </w:r>
          </w:p>
        </w:tc>
      </w:tr>
      <w:tr w:rsidR="00012CD2" w14:paraId="4609BFBC" w14:textId="77777777" w:rsidTr="00012CD2">
        <w:tc>
          <w:tcPr>
            <w:tcW w:w="1546" w:type="dxa"/>
            <w:vMerge w:val="restart"/>
            <w:tcMar>
              <w:left w:w="57" w:type="dxa"/>
              <w:right w:w="57" w:type="dxa"/>
            </w:tcMar>
            <w:hideMark/>
          </w:tcPr>
          <w:p w14:paraId="6B3BB8A4"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Macroalgae cover</w:t>
            </w:r>
          </w:p>
        </w:tc>
        <w:tc>
          <w:tcPr>
            <w:tcW w:w="1205" w:type="dxa"/>
            <w:tcMar>
              <w:left w:w="57" w:type="dxa"/>
              <w:right w:w="57" w:type="dxa"/>
            </w:tcMar>
            <w:hideMark/>
          </w:tcPr>
          <w:p w14:paraId="6D27548D" w14:textId="77777777" w:rsidR="00472E88" w:rsidRDefault="00472E88"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1</w:t>
            </w:r>
          </w:p>
        </w:tc>
        <w:tc>
          <w:tcPr>
            <w:tcW w:w="2268" w:type="dxa"/>
            <w:tcMar>
              <w:left w:w="57" w:type="dxa"/>
              <w:right w:w="57" w:type="dxa"/>
            </w:tcMar>
            <w:hideMark/>
          </w:tcPr>
          <w:p w14:paraId="18E3917F"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&lt; 5%</w:t>
            </w:r>
          </w:p>
        </w:tc>
        <w:tc>
          <w:tcPr>
            <w:tcW w:w="1701" w:type="dxa"/>
            <w:vMerge w:val="restart"/>
            <w:noWrap/>
            <w:tcMar>
              <w:left w:w="57" w:type="dxa"/>
              <w:right w:w="57" w:type="dxa"/>
            </w:tcMar>
          </w:tcPr>
          <w:p w14:paraId="6D517ABE"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 xml:space="preserve">Proportion of algae cover classified as Macroalgae </w:t>
            </w:r>
          </w:p>
        </w:tc>
        <w:tc>
          <w:tcPr>
            <w:tcW w:w="1275" w:type="dxa"/>
            <w:vMerge w:val="restart"/>
            <w:noWrap/>
            <w:tcMar>
              <w:left w:w="57" w:type="dxa"/>
              <w:right w:w="57" w:type="dxa"/>
            </w:tcMar>
          </w:tcPr>
          <w:p w14:paraId="69DEC168"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Continuous between 0-1</w:t>
            </w:r>
          </w:p>
        </w:tc>
        <w:tc>
          <w:tcPr>
            <w:tcW w:w="1860" w:type="dxa"/>
            <w:vMerge w:val="restart"/>
            <w:tcMar>
              <w:left w:w="57" w:type="dxa"/>
              <w:right w:w="57" w:type="dxa"/>
            </w:tcMar>
          </w:tcPr>
          <w:p w14:paraId="21AEB2B0"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 xml:space="preserve">≤ reef specific lower bound and ≥ reef specific upper bound (Table </w:t>
            </w:r>
            <w:r w:rsidR="000450F4">
              <w:rPr>
                <w:rFonts w:ascii="Arial Narrow" w:hAnsi="Arial Narrow"/>
                <w:sz w:val="20"/>
              </w:rPr>
              <w:t>4</w:t>
            </w:r>
            <w:r>
              <w:rPr>
                <w:rFonts w:ascii="Arial Narrow" w:hAnsi="Arial Narrow"/>
                <w:sz w:val="20"/>
              </w:rPr>
              <w:t>)</w:t>
            </w:r>
          </w:p>
        </w:tc>
      </w:tr>
      <w:tr w:rsidR="00012CD2" w14:paraId="60165DB7" w14:textId="77777777" w:rsidTr="00012CD2">
        <w:tc>
          <w:tcPr>
            <w:tcW w:w="1546" w:type="dxa"/>
            <w:vMerge/>
            <w:tcMar>
              <w:left w:w="57" w:type="dxa"/>
              <w:right w:w="57" w:type="dxa"/>
            </w:tcMar>
            <w:hideMark/>
          </w:tcPr>
          <w:p w14:paraId="7F0D792B" w14:textId="77777777" w:rsidR="00472E88" w:rsidRDefault="00472E88" w:rsidP="00012CD2">
            <w:pPr>
              <w:spacing w:before="100" w:beforeAutospacing="1" w:after="100" w:afterAutospacing="1"/>
              <w:contextualSpacing/>
              <w:jc w:val="left"/>
              <w:rPr>
                <w:rFonts w:ascii="Arial Narrow" w:hAnsi="Arial Narrow"/>
                <w:sz w:val="20"/>
              </w:rPr>
            </w:pPr>
          </w:p>
        </w:tc>
        <w:tc>
          <w:tcPr>
            <w:tcW w:w="1205" w:type="dxa"/>
            <w:tcMar>
              <w:left w:w="57" w:type="dxa"/>
              <w:right w:w="57" w:type="dxa"/>
            </w:tcMar>
            <w:hideMark/>
          </w:tcPr>
          <w:p w14:paraId="42EE59B6" w14:textId="77777777" w:rsidR="00472E88" w:rsidRDefault="00472E88"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0.5</w:t>
            </w:r>
          </w:p>
        </w:tc>
        <w:tc>
          <w:tcPr>
            <w:tcW w:w="2268" w:type="dxa"/>
            <w:tcMar>
              <w:left w:w="57" w:type="dxa"/>
              <w:right w:w="57" w:type="dxa"/>
            </w:tcMar>
            <w:hideMark/>
          </w:tcPr>
          <w:p w14:paraId="4CF474F5"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stable between 5-15%</w:t>
            </w:r>
          </w:p>
        </w:tc>
        <w:tc>
          <w:tcPr>
            <w:tcW w:w="1701" w:type="dxa"/>
            <w:vMerge/>
            <w:noWrap/>
            <w:tcMar>
              <w:left w:w="57" w:type="dxa"/>
              <w:right w:w="57" w:type="dxa"/>
            </w:tcMar>
          </w:tcPr>
          <w:p w14:paraId="5937ACAD"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vMerge/>
            <w:noWrap/>
            <w:tcMar>
              <w:left w:w="57" w:type="dxa"/>
              <w:right w:w="57" w:type="dxa"/>
            </w:tcMar>
          </w:tcPr>
          <w:p w14:paraId="47E8423D"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860" w:type="dxa"/>
            <w:vMerge/>
            <w:tcMar>
              <w:left w:w="57" w:type="dxa"/>
              <w:right w:w="57" w:type="dxa"/>
            </w:tcMar>
          </w:tcPr>
          <w:p w14:paraId="3441EC63"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p>
        </w:tc>
      </w:tr>
      <w:tr w:rsidR="00012CD2" w14:paraId="6C8899C2" w14:textId="77777777" w:rsidTr="00012CD2">
        <w:tc>
          <w:tcPr>
            <w:tcW w:w="1546" w:type="dxa"/>
            <w:vMerge/>
            <w:tcMar>
              <w:left w:w="57" w:type="dxa"/>
              <w:right w:w="57" w:type="dxa"/>
            </w:tcMar>
            <w:hideMark/>
          </w:tcPr>
          <w:p w14:paraId="551627D2" w14:textId="77777777" w:rsidR="00472E88" w:rsidRDefault="00472E88" w:rsidP="00012CD2">
            <w:pPr>
              <w:spacing w:before="100" w:beforeAutospacing="1" w:after="100" w:afterAutospacing="1"/>
              <w:contextualSpacing/>
              <w:jc w:val="left"/>
              <w:rPr>
                <w:rFonts w:ascii="Arial Narrow" w:hAnsi="Arial Narrow"/>
                <w:sz w:val="20"/>
              </w:rPr>
            </w:pPr>
          </w:p>
        </w:tc>
        <w:tc>
          <w:tcPr>
            <w:tcW w:w="1205" w:type="dxa"/>
            <w:tcMar>
              <w:left w:w="57" w:type="dxa"/>
              <w:right w:w="57" w:type="dxa"/>
            </w:tcMar>
            <w:hideMark/>
          </w:tcPr>
          <w:p w14:paraId="4E02842C" w14:textId="77777777" w:rsidR="00472E88" w:rsidRDefault="00472E88"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w:t>
            </w:r>
          </w:p>
        </w:tc>
        <w:tc>
          <w:tcPr>
            <w:tcW w:w="2268" w:type="dxa"/>
            <w:tcMar>
              <w:left w:w="57" w:type="dxa"/>
              <w:right w:w="57" w:type="dxa"/>
            </w:tcMar>
            <w:hideMark/>
          </w:tcPr>
          <w:p w14:paraId="51956081"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&gt; 15%</w:t>
            </w:r>
          </w:p>
        </w:tc>
        <w:tc>
          <w:tcPr>
            <w:tcW w:w="1701" w:type="dxa"/>
            <w:vMerge/>
            <w:noWrap/>
            <w:tcMar>
              <w:left w:w="57" w:type="dxa"/>
              <w:right w:w="57" w:type="dxa"/>
            </w:tcMar>
          </w:tcPr>
          <w:p w14:paraId="6AA40A81"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vMerge/>
            <w:noWrap/>
            <w:tcMar>
              <w:left w:w="57" w:type="dxa"/>
              <w:right w:w="57" w:type="dxa"/>
            </w:tcMar>
          </w:tcPr>
          <w:p w14:paraId="3233E84E"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860" w:type="dxa"/>
            <w:vMerge/>
            <w:tcMar>
              <w:left w:w="57" w:type="dxa"/>
              <w:right w:w="57" w:type="dxa"/>
            </w:tcMar>
          </w:tcPr>
          <w:p w14:paraId="0C63D254" w14:textId="77777777" w:rsidR="00472E88"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p>
        </w:tc>
      </w:tr>
      <w:tr w:rsidR="00012CD2" w14:paraId="5AF09F5A" w14:textId="77777777" w:rsidTr="00012CD2">
        <w:tc>
          <w:tcPr>
            <w:tcW w:w="1546" w:type="dxa"/>
            <w:vMerge w:val="restart"/>
            <w:tcMar>
              <w:left w:w="57" w:type="dxa"/>
              <w:right w:w="57" w:type="dxa"/>
            </w:tcMar>
            <w:hideMark/>
          </w:tcPr>
          <w:p w14:paraId="4F7F9EFD"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Density of hard coral juveniles (&lt;10cm diameter)</w:t>
            </w:r>
          </w:p>
        </w:tc>
        <w:tc>
          <w:tcPr>
            <w:tcW w:w="1205" w:type="dxa"/>
            <w:tcMar>
              <w:left w:w="57" w:type="dxa"/>
              <w:right w:w="57" w:type="dxa"/>
            </w:tcMar>
            <w:hideMark/>
          </w:tcPr>
          <w:p w14:paraId="6E031EF5" w14:textId="77777777" w:rsidR="007F420E" w:rsidRDefault="007F420E"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1</w:t>
            </w:r>
          </w:p>
        </w:tc>
        <w:tc>
          <w:tcPr>
            <w:tcW w:w="2268" w:type="dxa"/>
            <w:tcMar>
              <w:left w:w="57" w:type="dxa"/>
              <w:right w:w="57" w:type="dxa"/>
            </w:tcMar>
            <w:hideMark/>
          </w:tcPr>
          <w:p w14:paraId="08C78F0C"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&gt; 10.5 juvenile colonies per m</w:t>
            </w:r>
            <w:r>
              <w:rPr>
                <w:rFonts w:ascii="Arial Narrow" w:hAnsi="Arial Narrow"/>
                <w:sz w:val="20"/>
                <w:vertAlign w:val="superscript"/>
              </w:rPr>
              <w:t>2</w:t>
            </w:r>
            <w:r>
              <w:rPr>
                <w:rFonts w:ascii="Arial Narrow" w:hAnsi="Arial Narrow"/>
                <w:sz w:val="20"/>
              </w:rPr>
              <w:t xml:space="preserve"> of available substratum (2m depth), or</w:t>
            </w:r>
          </w:p>
          <w:p w14:paraId="6AC78484"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&gt; 13 juvenile colonies per m</w:t>
            </w:r>
            <w:r>
              <w:rPr>
                <w:rFonts w:ascii="Arial Narrow" w:hAnsi="Arial Narrow"/>
                <w:sz w:val="20"/>
                <w:vertAlign w:val="superscript"/>
              </w:rPr>
              <w:t>2</w:t>
            </w:r>
            <w:r>
              <w:rPr>
                <w:rFonts w:ascii="Arial Narrow" w:hAnsi="Arial Narrow"/>
                <w:sz w:val="20"/>
              </w:rPr>
              <w:t xml:space="preserve"> of available substratum (5m depth)</w:t>
            </w:r>
          </w:p>
        </w:tc>
        <w:tc>
          <w:tcPr>
            <w:tcW w:w="1701" w:type="dxa"/>
            <w:vMerge w:val="restart"/>
            <w:noWrap/>
            <w:tcMar>
              <w:left w:w="57" w:type="dxa"/>
              <w:right w:w="57" w:type="dxa"/>
            </w:tcMar>
          </w:tcPr>
          <w:p w14:paraId="0333AEE6"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Density of hard coral juveniles (&lt;5cm diameter)</w:t>
            </w:r>
          </w:p>
        </w:tc>
        <w:tc>
          <w:tcPr>
            <w:tcW w:w="1275" w:type="dxa"/>
            <w:noWrap/>
            <w:tcMar>
              <w:left w:w="57" w:type="dxa"/>
              <w:right w:w="57" w:type="dxa"/>
            </w:tcMar>
          </w:tcPr>
          <w:p w14:paraId="70C9533E" w14:textId="77777777" w:rsidR="007F420E"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1</w:t>
            </w:r>
          </w:p>
        </w:tc>
        <w:tc>
          <w:tcPr>
            <w:tcW w:w="1860" w:type="dxa"/>
            <w:tcMar>
              <w:left w:w="57" w:type="dxa"/>
              <w:right w:w="57" w:type="dxa"/>
            </w:tcMar>
          </w:tcPr>
          <w:p w14:paraId="768B5960" w14:textId="77777777" w:rsidR="007F420E" w:rsidRDefault="00CF5D4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 xml:space="preserve">&gt; </w:t>
            </w:r>
            <w:r w:rsidR="00472E88">
              <w:rPr>
                <w:rFonts w:ascii="Arial Narrow" w:hAnsi="Arial Narrow"/>
                <w:sz w:val="20"/>
              </w:rPr>
              <w:t xml:space="preserve">13 juveniles per m2 of available substrate </w:t>
            </w:r>
          </w:p>
        </w:tc>
      </w:tr>
      <w:tr w:rsidR="00012CD2" w14:paraId="4773D913" w14:textId="77777777" w:rsidTr="00012CD2">
        <w:tc>
          <w:tcPr>
            <w:tcW w:w="1546" w:type="dxa"/>
            <w:vMerge/>
            <w:tcMar>
              <w:left w:w="57" w:type="dxa"/>
              <w:right w:w="57" w:type="dxa"/>
            </w:tcMar>
            <w:hideMark/>
          </w:tcPr>
          <w:p w14:paraId="5C1E13B0" w14:textId="77777777" w:rsidR="007F420E" w:rsidRDefault="007F420E" w:rsidP="00012CD2">
            <w:pPr>
              <w:spacing w:before="100" w:beforeAutospacing="1" w:after="100" w:afterAutospacing="1"/>
              <w:contextualSpacing/>
              <w:jc w:val="left"/>
              <w:rPr>
                <w:rFonts w:ascii="Arial Narrow" w:hAnsi="Arial Narrow"/>
                <w:sz w:val="20"/>
              </w:rPr>
            </w:pPr>
          </w:p>
        </w:tc>
        <w:tc>
          <w:tcPr>
            <w:tcW w:w="1205" w:type="dxa"/>
            <w:tcMar>
              <w:left w:w="57" w:type="dxa"/>
              <w:right w:w="57" w:type="dxa"/>
            </w:tcMar>
            <w:hideMark/>
          </w:tcPr>
          <w:p w14:paraId="08E63888" w14:textId="77777777" w:rsidR="007F420E" w:rsidRDefault="007F420E"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0.5</w:t>
            </w:r>
          </w:p>
        </w:tc>
        <w:tc>
          <w:tcPr>
            <w:tcW w:w="2268" w:type="dxa"/>
            <w:tcMar>
              <w:left w:w="57" w:type="dxa"/>
              <w:right w:w="57" w:type="dxa"/>
            </w:tcMar>
            <w:hideMark/>
          </w:tcPr>
          <w:p w14:paraId="03137AF9"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 between 7 and 10.5 juvenile colonies per m</w:t>
            </w:r>
            <w:r>
              <w:rPr>
                <w:rFonts w:ascii="Arial Narrow" w:hAnsi="Arial Narrow"/>
                <w:sz w:val="20"/>
                <w:vertAlign w:val="superscript"/>
              </w:rPr>
              <w:t xml:space="preserve">2 </w:t>
            </w:r>
            <w:r>
              <w:rPr>
                <w:rFonts w:ascii="Arial Narrow" w:hAnsi="Arial Narrow"/>
                <w:sz w:val="20"/>
              </w:rPr>
              <w:t>of available substratum (2m depth), or</w:t>
            </w:r>
          </w:p>
          <w:p w14:paraId="1D615376"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 between 7 and 13 juvenile colonies per m</w:t>
            </w:r>
            <w:r>
              <w:rPr>
                <w:rFonts w:ascii="Arial Narrow" w:hAnsi="Arial Narrow"/>
                <w:sz w:val="20"/>
                <w:vertAlign w:val="superscript"/>
              </w:rPr>
              <w:t>2</w:t>
            </w:r>
            <w:r>
              <w:rPr>
                <w:rFonts w:ascii="Arial Narrow" w:hAnsi="Arial Narrow"/>
                <w:sz w:val="20"/>
              </w:rPr>
              <w:t xml:space="preserve"> of available substratum (5m depth)</w:t>
            </w:r>
          </w:p>
        </w:tc>
        <w:tc>
          <w:tcPr>
            <w:tcW w:w="1701" w:type="dxa"/>
            <w:vMerge/>
            <w:noWrap/>
            <w:tcMar>
              <w:left w:w="57" w:type="dxa"/>
              <w:right w:w="57" w:type="dxa"/>
            </w:tcMar>
          </w:tcPr>
          <w:p w14:paraId="39CBA7C4"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noWrap/>
            <w:tcMar>
              <w:left w:w="57" w:type="dxa"/>
              <w:right w:w="57" w:type="dxa"/>
            </w:tcMar>
          </w:tcPr>
          <w:p w14:paraId="54EFE923" w14:textId="77777777" w:rsidR="007F420E"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Continuous between 0.4 and 1</w:t>
            </w:r>
          </w:p>
        </w:tc>
        <w:tc>
          <w:tcPr>
            <w:tcW w:w="1860" w:type="dxa"/>
            <w:tcMar>
              <w:left w:w="57" w:type="dxa"/>
              <w:right w:w="57" w:type="dxa"/>
            </w:tcMar>
          </w:tcPr>
          <w:p w14:paraId="12CFC2E0" w14:textId="77777777" w:rsidR="007F420E"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4.6  to 13 juveniles per m2 of available substrate</w:t>
            </w:r>
          </w:p>
        </w:tc>
      </w:tr>
      <w:tr w:rsidR="00012CD2" w14:paraId="64C2865F" w14:textId="77777777" w:rsidTr="00012CD2">
        <w:tc>
          <w:tcPr>
            <w:tcW w:w="1546" w:type="dxa"/>
            <w:vMerge/>
            <w:tcMar>
              <w:left w:w="57" w:type="dxa"/>
              <w:right w:w="57" w:type="dxa"/>
            </w:tcMar>
            <w:hideMark/>
          </w:tcPr>
          <w:p w14:paraId="425B959A" w14:textId="77777777" w:rsidR="007F420E" w:rsidRDefault="007F420E" w:rsidP="00012CD2">
            <w:pPr>
              <w:spacing w:before="100" w:beforeAutospacing="1" w:after="100" w:afterAutospacing="1"/>
              <w:contextualSpacing/>
              <w:jc w:val="left"/>
              <w:rPr>
                <w:rFonts w:ascii="Arial Narrow" w:hAnsi="Arial Narrow"/>
                <w:sz w:val="20"/>
              </w:rPr>
            </w:pPr>
          </w:p>
        </w:tc>
        <w:tc>
          <w:tcPr>
            <w:tcW w:w="1205" w:type="dxa"/>
            <w:tcMar>
              <w:left w:w="57" w:type="dxa"/>
              <w:right w:w="57" w:type="dxa"/>
            </w:tcMar>
            <w:hideMark/>
          </w:tcPr>
          <w:p w14:paraId="4E871DC5" w14:textId="77777777" w:rsidR="007F420E" w:rsidRDefault="007F420E" w:rsidP="00012CD2">
            <w:pPr>
              <w:tabs>
                <w:tab w:val="left" w:pos="1780"/>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w:t>
            </w:r>
          </w:p>
        </w:tc>
        <w:tc>
          <w:tcPr>
            <w:tcW w:w="2268" w:type="dxa"/>
            <w:tcMar>
              <w:left w:w="57" w:type="dxa"/>
              <w:right w:w="57" w:type="dxa"/>
            </w:tcMar>
            <w:hideMark/>
          </w:tcPr>
          <w:p w14:paraId="308DECD4"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&lt; 7 juvenile colonies per m</w:t>
            </w:r>
            <w:r>
              <w:rPr>
                <w:rFonts w:ascii="Arial Narrow" w:hAnsi="Arial Narrow"/>
                <w:sz w:val="20"/>
                <w:vertAlign w:val="superscript"/>
              </w:rPr>
              <w:t>2</w:t>
            </w:r>
            <w:r>
              <w:rPr>
                <w:rFonts w:ascii="Arial Narrow" w:hAnsi="Arial Narrow"/>
                <w:sz w:val="20"/>
              </w:rPr>
              <w:t xml:space="preserve"> of available substratum</w:t>
            </w:r>
          </w:p>
        </w:tc>
        <w:tc>
          <w:tcPr>
            <w:tcW w:w="1701" w:type="dxa"/>
            <w:vMerge/>
            <w:noWrap/>
            <w:tcMar>
              <w:left w:w="57" w:type="dxa"/>
              <w:right w:w="57" w:type="dxa"/>
            </w:tcMar>
          </w:tcPr>
          <w:p w14:paraId="4FC347D2"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noWrap/>
            <w:tcMar>
              <w:left w:w="57" w:type="dxa"/>
              <w:right w:w="57" w:type="dxa"/>
            </w:tcMar>
          </w:tcPr>
          <w:p w14:paraId="11A73615" w14:textId="77777777" w:rsidR="007F420E"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Continuous between 0 and 0.4</w:t>
            </w:r>
          </w:p>
        </w:tc>
        <w:tc>
          <w:tcPr>
            <w:tcW w:w="1860" w:type="dxa"/>
            <w:tcMar>
              <w:left w:w="57" w:type="dxa"/>
              <w:right w:w="57" w:type="dxa"/>
            </w:tcMar>
          </w:tcPr>
          <w:p w14:paraId="56D28198" w14:textId="77777777" w:rsidR="007F420E" w:rsidRDefault="00472E88"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 to 4.6 juveniles per m2 of available substrate</w:t>
            </w:r>
          </w:p>
        </w:tc>
      </w:tr>
      <w:tr w:rsidR="007F420E" w14:paraId="5B86AF81" w14:textId="77777777" w:rsidTr="00012CD2">
        <w:tc>
          <w:tcPr>
            <w:tcW w:w="5019" w:type="dxa"/>
            <w:gridSpan w:val="3"/>
            <w:vMerge w:val="restart"/>
            <w:tcMar>
              <w:left w:w="57" w:type="dxa"/>
              <w:right w:w="57" w:type="dxa"/>
            </w:tcMar>
          </w:tcPr>
          <w:p w14:paraId="15A9E8C5"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701" w:type="dxa"/>
            <w:vMerge w:val="restart"/>
            <w:noWrap/>
            <w:tcMar>
              <w:left w:w="57" w:type="dxa"/>
              <w:right w:w="57" w:type="dxa"/>
            </w:tcMar>
          </w:tcPr>
          <w:p w14:paraId="32538384"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Composition of hard coral community</w:t>
            </w:r>
          </w:p>
        </w:tc>
        <w:tc>
          <w:tcPr>
            <w:tcW w:w="1275" w:type="dxa"/>
            <w:noWrap/>
            <w:tcMar>
              <w:left w:w="57" w:type="dxa"/>
              <w:right w:w="57" w:type="dxa"/>
            </w:tcMar>
          </w:tcPr>
          <w:p w14:paraId="48E93066"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1</w:t>
            </w:r>
          </w:p>
        </w:tc>
        <w:tc>
          <w:tcPr>
            <w:tcW w:w="1860" w:type="dxa"/>
            <w:tcMar>
              <w:left w:w="57" w:type="dxa"/>
              <w:right w:w="57" w:type="dxa"/>
            </w:tcMar>
          </w:tcPr>
          <w:p w14:paraId="34F2A3E7"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Beyond 95% CI of baseline condition in the direction of improved water quality</w:t>
            </w:r>
          </w:p>
        </w:tc>
      </w:tr>
      <w:tr w:rsidR="007F420E" w14:paraId="5F3CD3AB" w14:textId="77777777" w:rsidTr="00012CD2">
        <w:tc>
          <w:tcPr>
            <w:tcW w:w="5019" w:type="dxa"/>
            <w:gridSpan w:val="3"/>
            <w:vMerge/>
            <w:tcMar>
              <w:left w:w="57" w:type="dxa"/>
              <w:right w:w="57" w:type="dxa"/>
            </w:tcMar>
          </w:tcPr>
          <w:p w14:paraId="5907D8DB"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701" w:type="dxa"/>
            <w:vMerge/>
            <w:noWrap/>
            <w:tcMar>
              <w:left w:w="57" w:type="dxa"/>
              <w:right w:w="57" w:type="dxa"/>
            </w:tcMar>
          </w:tcPr>
          <w:p w14:paraId="1D17201A"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noWrap/>
            <w:tcMar>
              <w:left w:w="57" w:type="dxa"/>
              <w:right w:w="57" w:type="dxa"/>
            </w:tcMar>
          </w:tcPr>
          <w:p w14:paraId="1B37576B"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0.5</w:t>
            </w:r>
          </w:p>
        </w:tc>
        <w:tc>
          <w:tcPr>
            <w:tcW w:w="1860" w:type="dxa"/>
            <w:tcMar>
              <w:left w:w="57" w:type="dxa"/>
              <w:right w:w="57" w:type="dxa"/>
            </w:tcMar>
          </w:tcPr>
          <w:p w14:paraId="352172C6"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Within 95% Confidence intervals of baseline composition</w:t>
            </w:r>
          </w:p>
        </w:tc>
      </w:tr>
      <w:tr w:rsidR="007F420E" w14:paraId="37F49878" w14:textId="77777777" w:rsidTr="00012CD2">
        <w:tc>
          <w:tcPr>
            <w:tcW w:w="5019" w:type="dxa"/>
            <w:gridSpan w:val="3"/>
            <w:vMerge/>
            <w:tcMar>
              <w:left w:w="57" w:type="dxa"/>
              <w:right w:w="57" w:type="dxa"/>
            </w:tcMar>
          </w:tcPr>
          <w:p w14:paraId="3B913ABC"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701" w:type="dxa"/>
            <w:vMerge/>
            <w:noWrap/>
            <w:tcMar>
              <w:left w:w="57" w:type="dxa"/>
              <w:right w:w="57" w:type="dxa"/>
            </w:tcMar>
          </w:tcPr>
          <w:p w14:paraId="4D87228D"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p>
        </w:tc>
        <w:tc>
          <w:tcPr>
            <w:tcW w:w="1275" w:type="dxa"/>
            <w:noWrap/>
            <w:tcMar>
              <w:left w:w="57" w:type="dxa"/>
              <w:right w:w="57" w:type="dxa"/>
            </w:tcMar>
          </w:tcPr>
          <w:p w14:paraId="54455669"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0</w:t>
            </w:r>
          </w:p>
        </w:tc>
        <w:tc>
          <w:tcPr>
            <w:tcW w:w="1860" w:type="dxa"/>
            <w:tcMar>
              <w:left w:w="57" w:type="dxa"/>
              <w:right w:w="57" w:type="dxa"/>
            </w:tcMar>
          </w:tcPr>
          <w:p w14:paraId="0310D629" w14:textId="77777777" w:rsidR="007F420E" w:rsidRDefault="007F420E" w:rsidP="00012CD2">
            <w:pPr>
              <w:tabs>
                <w:tab w:val="left" w:pos="1152"/>
                <w:tab w:val="right" w:leader="dot" w:pos="8640"/>
              </w:tabs>
              <w:spacing w:before="100" w:beforeAutospacing="1" w:after="100" w:afterAutospacing="1"/>
              <w:contextualSpacing/>
              <w:jc w:val="left"/>
              <w:rPr>
                <w:rFonts w:ascii="Arial Narrow" w:hAnsi="Arial Narrow"/>
                <w:sz w:val="20"/>
              </w:rPr>
            </w:pPr>
            <w:r>
              <w:rPr>
                <w:rFonts w:ascii="Arial Narrow" w:hAnsi="Arial Narrow"/>
                <w:sz w:val="20"/>
              </w:rPr>
              <w:t>Beyond 95% CI of baseline condition in the direction of declined water quality</w:t>
            </w:r>
          </w:p>
        </w:tc>
      </w:tr>
    </w:tbl>
    <w:p w14:paraId="3D8A0891" w14:textId="77777777" w:rsidR="00B3738D" w:rsidRDefault="00B3738D" w:rsidP="00163853">
      <w:pPr>
        <w:spacing w:after="660"/>
        <w:rPr>
          <w:rStyle w:val="IntenseReference"/>
          <w:rFonts w:eastAsia="SimSun"/>
          <w:lang w:val="en-AU"/>
        </w:rPr>
      </w:pPr>
      <w:r>
        <w:rPr>
          <w:rFonts w:eastAsiaTheme="majorEastAsia"/>
        </w:rPr>
        <w:t>.</w:t>
      </w:r>
      <w:r>
        <w:rPr>
          <w:rStyle w:val="Heading6Char"/>
        </w:rPr>
        <w:t xml:space="preserve"> </w:t>
      </w:r>
      <w:r>
        <w:rPr>
          <w:rStyle w:val="IntenseReference"/>
        </w:rPr>
        <w:t>*Settlement of coral spat is not considered in regional assessments.</w:t>
      </w:r>
    </w:p>
    <w:p w14:paraId="73776C67" w14:textId="77777777" w:rsidR="00163853" w:rsidRDefault="00B3738D" w:rsidP="009646AA">
      <w:r>
        <w:rPr>
          <w:noProof/>
          <w:lang w:val="en-AU" w:eastAsia="en-AU"/>
        </w:rPr>
        <w:lastRenderedPageBreak/>
        <w:drawing>
          <wp:inline distT="0" distB="0" distL="0" distR="0" wp14:anchorId="7B6AEB38" wp14:editId="4FCEBFCD">
            <wp:extent cx="5958840" cy="3276434"/>
            <wp:effectExtent l="0" t="0" r="3810" b="635"/>
            <wp:docPr id="42" name="Picture 42" descr="Figure 23: Comparison between the revised and original coral index scoring systems. Revised scoring represented by round symbols and included error, original scoring system represented by square symbols. Colour coding reflects condition classification as per section A1.2.5" title="Figure 23: Comparison between the revised and original coral index scoring 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55130" cy="3274394"/>
                    </a:xfrm>
                    <a:prstGeom prst="rect">
                      <a:avLst/>
                    </a:prstGeom>
                    <a:noFill/>
                    <a:ln>
                      <a:noFill/>
                    </a:ln>
                  </pic:spPr>
                </pic:pic>
              </a:graphicData>
            </a:graphic>
          </wp:inline>
        </w:drawing>
      </w:r>
    </w:p>
    <w:p w14:paraId="4786A16E" w14:textId="77777777" w:rsidR="006B3B22" w:rsidRPr="006B3B22" w:rsidRDefault="006B3B22" w:rsidP="00E56CF1">
      <w:pPr>
        <w:pStyle w:val="Caption"/>
        <w:rPr>
          <w:vanish/>
        </w:rPr>
      </w:pPr>
      <w:bookmarkStart w:id="388" w:name="_Ref438122333"/>
      <w:bookmarkStart w:id="389" w:name="_Toc437597661"/>
      <w:bookmarkStart w:id="390" w:name="_Toc460490792"/>
      <w:bookmarkStart w:id="391" w:name="_Toc437424323"/>
      <w:r>
        <w:t xml:space="preserve">Figure </w:t>
      </w:r>
      <w:r w:rsidR="005D2F9F">
        <w:fldChar w:fldCharType="begin"/>
      </w:r>
      <w:r w:rsidR="005D2F9F">
        <w:instrText xml:space="preserve"> SEQ Figure \* ARABIC </w:instrText>
      </w:r>
      <w:r w:rsidR="005D2F9F">
        <w:fldChar w:fldCharType="separate"/>
      </w:r>
      <w:r w:rsidR="00B61881">
        <w:rPr>
          <w:noProof/>
        </w:rPr>
        <w:t>23</w:t>
      </w:r>
      <w:r w:rsidR="005D2F9F">
        <w:rPr>
          <w:noProof/>
        </w:rPr>
        <w:fldChar w:fldCharType="end"/>
      </w:r>
      <w:bookmarkEnd w:id="388"/>
      <w:r>
        <w:t xml:space="preserve">: </w:t>
      </w:r>
      <w:r w:rsidR="00B3738D">
        <w:t>Comparison between the revised and original coral index scoring systems.</w:t>
      </w:r>
      <w:bookmarkEnd w:id="389"/>
      <w:bookmarkEnd w:id="390"/>
    </w:p>
    <w:p w14:paraId="12EBD61A" w14:textId="77777777" w:rsidR="00B3738D" w:rsidRDefault="00B3738D" w:rsidP="00E56CF1">
      <w:pPr>
        <w:pStyle w:val="Caption"/>
        <w:rPr>
          <w:rStyle w:val="IntenseReference"/>
          <w:rFonts w:eastAsia="SimSun"/>
        </w:rPr>
      </w:pPr>
      <w:r>
        <w:t xml:space="preserve"> </w:t>
      </w:r>
      <w:bookmarkStart w:id="392" w:name="_Toc437597662"/>
      <w:r>
        <w:rPr>
          <w:rStyle w:val="IntenseReference"/>
          <w:rFonts w:eastAsia="SimSun"/>
        </w:rPr>
        <w:t xml:space="preserve">Revised scoring represented by round symbols and included error, original scoring system represented by square symbols. Colour coding reflects condition classification as per section </w:t>
      </w:r>
      <w:bookmarkEnd w:id="391"/>
      <w:bookmarkEnd w:id="392"/>
      <w:r w:rsidR="00BA4FA9">
        <w:rPr>
          <w:rStyle w:val="IntenseReference"/>
          <w:rFonts w:eastAsia="SimSun"/>
        </w:rPr>
        <w:t>6.7</w:t>
      </w:r>
    </w:p>
    <w:p w14:paraId="7C814E73" w14:textId="77777777" w:rsidR="009646AA" w:rsidRDefault="009646AA">
      <w:pPr>
        <w:jc w:val="left"/>
        <w:rPr>
          <w:rFonts w:cs="Arial"/>
        </w:rPr>
      </w:pPr>
      <w:r>
        <w:rPr>
          <w:rFonts w:cs="Arial"/>
        </w:rPr>
        <w:br w:type="page"/>
      </w:r>
    </w:p>
    <w:p w14:paraId="07AB9C06" w14:textId="77777777" w:rsidR="009646AA" w:rsidRPr="00001956" w:rsidRDefault="009646AA" w:rsidP="006D0A76">
      <w:pPr>
        <w:pStyle w:val="Heading1"/>
        <w:numPr>
          <w:ilvl w:val="0"/>
          <w:numId w:val="43"/>
        </w:numPr>
      </w:pPr>
      <w:bookmarkStart w:id="393" w:name="_Toc460490676"/>
      <w:r>
        <w:lastRenderedPageBreak/>
        <w:t>Conclusions</w:t>
      </w:r>
      <w:bookmarkEnd w:id="393"/>
      <w:r w:rsidRPr="006D0A76">
        <w:rPr>
          <w:rStyle w:val="Heading3Char"/>
          <w:b/>
          <w:sz w:val="36"/>
          <w:szCs w:val="28"/>
        </w:rPr>
        <w:t xml:space="preserve"> </w:t>
      </w:r>
    </w:p>
    <w:p w14:paraId="5D8D4A99" w14:textId="77777777" w:rsidR="008E2CAB" w:rsidRPr="00F30518" w:rsidRDefault="008E2CAB" w:rsidP="008E2CAB">
      <w:pPr>
        <w:rPr>
          <w:rFonts w:cs="Arial"/>
        </w:rPr>
      </w:pPr>
      <w:r w:rsidRPr="00F30518">
        <w:rPr>
          <w:rFonts w:cs="Arial"/>
        </w:rPr>
        <w:t xml:space="preserve">Observations presented in this report demonstrate recent improvements in </w:t>
      </w:r>
      <w:r w:rsidR="00DE2118">
        <w:rPr>
          <w:rFonts w:cs="Arial"/>
        </w:rPr>
        <w:t xml:space="preserve">the </w:t>
      </w:r>
      <w:r w:rsidRPr="00F30518">
        <w:rPr>
          <w:rFonts w:cs="Arial"/>
        </w:rPr>
        <w:t xml:space="preserve">coral </w:t>
      </w:r>
      <w:r w:rsidR="00DE2118">
        <w:rPr>
          <w:rFonts w:cs="Arial"/>
        </w:rPr>
        <w:t>index</w:t>
      </w:r>
      <w:r w:rsidR="009451ED">
        <w:rPr>
          <w:rFonts w:cs="Arial"/>
        </w:rPr>
        <w:t xml:space="preserve"> in all regions. </w:t>
      </w:r>
      <w:r>
        <w:rPr>
          <w:rFonts w:cs="Arial"/>
        </w:rPr>
        <w:t>This</w:t>
      </w:r>
      <w:r w:rsidRPr="00F30518">
        <w:rPr>
          <w:rFonts w:cs="Arial"/>
        </w:rPr>
        <w:t xml:space="preserve"> improvement </w:t>
      </w:r>
      <w:r>
        <w:rPr>
          <w:rFonts w:cs="Arial"/>
        </w:rPr>
        <w:t xml:space="preserve">is consistent across most community </w:t>
      </w:r>
      <w:r w:rsidRPr="00F30518">
        <w:rPr>
          <w:rFonts w:cs="Arial"/>
        </w:rPr>
        <w:t xml:space="preserve">resilience </w:t>
      </w:r>
      <w:r>
        <w:rPr>
          <w:rFonts w:cs="Arial"/>
        </w:rPr>
        <w:t xml:space="preserve">indicators and </w:t>
      </w:r>
      <w:r w:rsidRPr="00F30518">
        <w:rPr>
          <w:rFonts w:cs="Arial"/>
        </w:rPr>
        <w:t>coincide</w:t>
      </w:r>
      <w:r>
        <w:rPr>
          <w:rFonts w:cs="Arial"/>
        </w:rPr>
        <w:t>s</w:t>
      </w:r>
      <w:r w:rsidRPr="00F30518">
        <w:rPr>
          <w:rFonts w:cs="Arial"/>
        </w:rPr>
        <w:t xml:space="preserve"> with reduced loads of nutrients and sediments entering the Great Barrier Reef (</w:t>
      </w:r>
      <w:r w:rsidR="009451ED">
        <w:rPr>
          <w:rFonts w:cs="Arial"/>
        </w:rPr>
        <w:t xml:space="preserve">the </w:t>
      </w:r>
      <w:r w:rsidRPr="00F30518">
        <w:rPr>
          <w:rFonts w:cs="Arial"/>
        </w:rPr>
        <w:t xml:space="preserve">Reef) as runoff, as well </w:t>
      </w:r>
      <w:r w:rsidR="003A3C1D">
        <w:rPr>
          <w:rFonts w:cs="Arial"/>
        </w:rPr>
        <w:t xml:space="preserve">as </w:t>
      </w:r>
      <w:r w:rsidRPr="00F30518">
        <w:rPr>
          <w:rFonts w:cs="Arial"/>
        </w:rPr>
        <w:t xml:space="preserve">a recent reprieve from </w:t>
      </w:r>
      <w:r w:rsidR="009451ED">
        <w:rPr>
          <w:rFonts w:cs="Arial"/>
        </w:rPr>
        <w:t xml:space="preserve">a </w:t>
      </w:r>
      <w:r>
        <w:rPr>
          <w:rFonts w:cs="Arial"/>
        </w:rPr>
        <w:t xml:space="preserve">period of </w:t>
      </w:r>
      <w:r w:rsidRPr="00F30518">
        <w:rPr>
          <w:rFonts w:cs="Arial"/>
        </w:rPr>
        <w:t>frequent and intense acute disturbances over the last decade.</w:t>
      </w:r>
      <w:r w:rsidR="005853B6">
        <w:rPr>
          <w:rFonts w:cs="Arial"/>
        </w:rPr>
        <w:t xml:space="preserve"> The strong impact of acute disturbances</w:t>
      </w:r>
      <w:r w:rsidR="00350739">
        <w:rPr>
          <w:rFonts w:cs="Arial"/>
        </w:rPr>
        <w:t xml:space="preserve"> such as: cyclones, bleaching, and outbreaks of crown-of-thorns </w:t>
      </w:r>
      <w:r w:rsidR="009109BA">
        <w:rPr>
          <w:rFonts w:cs="Arial"/>
        </w:rPr>
        <w:t>seastars</w:t>
      </w:r>
      <w:r w:rsidR="00350739">
        <w:rPr>
          <w:rFonts w:cs="Arial"/>
        </w:rPr>
        <w:t xml:space="preserve"> on</w:t>
      </w:r>
      <w:r w:rsidR="005853B6">
        <w:rPr>
          <w:rFonts w:cs="Arial"/>
        </w:rPr>
        <w:t xml:space="preserve"> coral communities impose an unavoidable confounding influence on assessments of ecosystem state</w:t>
      </w:r>
      <w:r w:rsidR="00350739">
        <w:rPr>
          <w:rFonts w:cs="Arial"/>
        </w:rPr>
        <w:t xml:space="preserve">. </w:t>
      </w:r>
      <w:r w:rsidR="005853B6">
        <w:rPr>
          <w:rFonts w:cs="Arial"/>
        </w:rPr>
        <w:t xml:space="preserve">What has become increasingly apparent over the duration of the MMP is that it is the ability of coral communities to resist or recover from acute events </w:t>
      </w:r>
      <w:r w:rsidR="00350739">
        <w:rPr>
          <w:rFonts w:cs="Arial"/>
        </w:rPr>
        <w:t xml:space="preserve">that will allow their ongoing persistence. The role of water quality in altering the balance between rate and intensity of impacts associated with acute events and </w:t>
      </w:r>
      <w:r w:rsidR="006C02AF">
        <w:rPr>
          <w:rFonts w:cs="Arial"/>
        </w:rPr>
        <w:t>community’s</w:t>
      </w:r>
      <w:r w:rsidR="00350739">
        <w:rPr>
          <w:rFonts w:cs="Arial"/>
        </w:rPr>
        <w:t xml:space="preserve"> subsequent recovery</w:t>
      </w:r>
      <w:r w:rsidR="006C02AF">
        <w:rPr>
          <w:rFonts w:cs="Arial"/>
        </w:rPr>
        <w:t xml:space="preserve"> is the primary focus of the MMP with metrics contributing to the coral index having been formulated so as to focus on recovery potential of coral communities. The emerging pattern is that environmental conditions experienced during years </w:t>
      </w:r>
      <w:r w:rsidR="00A55112">
        <w:rPr>
          <w:rFonts w:cs="Arial"/>
        </w:rPr>
        <w:t xml:space="preserve">of high inflow from the catchments are sufficient to suppress the recovery potential of </w:t>
      </w:r>
      <w:r w:rsidR="006C02AF">
        <w:rPr>
          <w:rFonts w:cs="Arial"/>
        </w:rPr>
        <w:t>coral communities</w:t>
      </w:r>
      <w:r w:rsidR="00A55112">
        <w:rPr>
          <w:rFonts w:cs="Arial"/>
        </w:rPr>
        <w:t>. More positively the recent improvements in coral community condition imply the maintenance of recovery potential under conditions lower catchment input.</w:t>
      </w:r>
    </w:p>
    <w:p w14:paraId="1073C72C" w14:textId="77777777" w:rsidR="008E2CAB" w:rsidRPr="00F30518" w:rsidRDefault="00A55112" w:rsidP="008E2CAB">
      <w:pPr>
        <w:rPr>
          <w:rFonts w:cs="Arial"/>
        </w:rPr>
      </w:pPr>
      <w:r>
        <w:rPr>
          <w:rFonts w:cs="Arial"/>
        </w:rPr>
        <w:t>R</w:t>
      </w:r>
      <w:r w:rsidR="008E2CAB">
        <w:rPr>
          <w:rFonts w:cs="Arial"/>
        </w:rPr>
        <w:t>esults are discussed</w:t>
      </w:r>
      <w:r w:rsidR="008E2CAB" w:rsidRPr="00F30518">
        <w:rPr>
          <w:rFonts w:cs="Arial"/>
        </w:rPr>
        <w:t xml:space="preserve"> in terms of the </w:t>
      </w:r>
      <w:r w:rsidR="008E2CAB" w:rsidRPr="00F30518">
        <w:rPr>
          <w:rFonts w:cs="Arial"/>
          <w:i/>
        </w:rPr>
        <w:t>Pressure</w:t>
      </w:r>
      <w:r w:rsidR="008E2CAB" w:rsidRPr="00F30518">
        <w:rPr>
          <w:rFonts w:cs="Arial"/>
        </w:rPr>
        <w:t xml:space="preserve">, </w:t>
      </w:r>
      <w:r w:rsidR="008E2CAB" w:rsidRPr="00F30518">
        <w:rPr>
          <w:rFonts w:cs="Arial"/>
          <w:i/>
        </w:rPr>
        <w:t>State</w:t>
      </w:r>
      <w:r w:rsidR="008E2CAB" w:rsidRPr="00F30518">
        <w:rPr>
          <w:rFonts w:cs="Arial"/>
        </w:rPr>
        <w:t xml:space="preserve"> and </w:t>
      </w:r>
      <w:r w:rsidR="008E2CAB" w:rsidRPr="00F30518">
        <w:rPr>
          <w:rFonts w:cs="Arial"/>
          <w:i/>
        </w:rPr>
        <w:t>Impact</w:t>
      </w:r>
      <w:r w:rsidR="008E2CAB" w:rsidRPr="00F30518">
        <w:rPr>
          <w:rFonts w:cs="Arial"/>
        </w:rPr>
        <w:t xml:space="preserve"> components of a broader </w:t>
      </w:r>
      <w:r w:rsidR="008E2CAB" w:rsidRPr="00F30518">
        <w:rPr>
          <w:rFonts w:cs="Arial"/>
          <w:i/>
        </w:rPr>
        <w:t>Driver-Pressure-State-Impact-Response</w:t>
      </w:r>
      <w:r w:rsidR="009451ED">
        <w:rPr>
          <w:rFonts w:cs="Arial"/>
        </w:rPr>
        <w:t xml:space="preserve"> (DPSIR) framework. </w:t>
      </w:r>
      <w:r w:rsidR="008E2CAB" w:rsidRPr="00F30518">
        <w:rPr>
          <w:rFonts w:cs="Arial"/>
        </w:rPr>
        <w:t>This allows identification of some of the key pressures influencing coral community condition</w:t>
      </w:r>
      <w:r w:rsidR="009451ED">
        <w:rPr>
          <w:rFonts w:cs="Arial"/>
        </w:rPr>
        <w:t xml:space="preserve">. </w:t>
      </w:r>
      <w:r w:rsidR="008E2CAB" w:rsidRPr="00F30518">
        <w:rPr>
          <w:rFonts w:cs="Arial"/>
        </w:rPr>
        <w:t>In this context, there is a natural distinction between pressures that are beyond the realm of management under Reef Plan, such as acute disturbance</w:t>
      </w:r>
      <w:r w:rsidR="006B52C3">
        <w:rPr>
          <w:rFonts w:cs="Arial"/>
        </w:rPr>
        <w:t>s</w:t>
      </w:r>
      <w:r w:rsidR="008E2CAB" w:rsidRPr="00F30518">
        <w:rPr>
          <w:rFonts w:cs="Arial"/>
        </w:rPr>
        <w:t xml:space="preserve"> associated with severe storms or cyclones, and those related more </w:t>
      </w:r>
      <w:r w:rsidR="008E2CAB">
        <w:rPr>
          <w:rFonts w:cs="Arial"/>
        </w:rPr>
        <w:t xml:space="preserve">tangibly </w:t>
      </w:r>
      <w:r w:rsidR="008E2CAB" w:rsidRPr="00F30518">
        <w:rPr>
          <w:rFonts w:cs="Arial"/>
        </w:rPr>
        <w:t>to water quality.</w:t>
      </w:r>
    </w:p>
    <w:p w14:paraId="44AC9290" w14:textId="77777777" w:rsidR="008E2CAB" w:rsidRPr="00F30518" w:rsidRDefault="008E2CAB" w:rsidP="008E2CAB">
      <w:pPr>
        <w:rPr>
          <w:rFonts w:cs="Arial"/>
        </w:rPr>
      </w:pPr>
      <w:r w:rsidRPr="00F30518">
        <w:rPr>
          <w:rFonts w:cs="Arial"/>
        </w:rPr>
        <w:t xml:space="preserve">It is the recognition </w:t>
      </w:r>
      <w:r w:rsidR="00AF6661">
        <w:rPr>
          <w:rFonts w:cs="Arial"/>
        </w:rPr>
        <w:t>of</w:t>
      </w:r>
      <w:r w:rsidRPr="00F30518">
        <w:rPr>
          <w:rFonts w:cs="Arial"/>
        </w:rPr>
        <w:t xml:space="preserve"> the need to separate responses of coral communities to pressures associated with acute disturbances from those relating to the more chronic pressures associated with environmental conditions, and specifically water quality, that </w:t>
      </w:r>
      <w:r>
        <w:rPr>
          <w:rFonts w:cs="Arial"/>
        </w:rPr>
        <w:t xml:space="preserve">prompted the revision </w:t>
      </w:r>
      <w:r w:rsidR="00AF6661">
        <w:rPr>
          <w:rFonts w:cs="Arial"/>
        </w:rPr>
        <w:t xml:space="preserve">and improvement </w:t>
      </w:r>
      <w:r w:rsidRPr="00F30518">
        <w:rPr>
          <w:rFonts w:cs="Arial"/>
        </w:rPr>
        <w:t xml:space="preserve">of </w:t>
      </w:r>
      <w:r>
        <w:rPr>
          <w:rFonts w:cs="Arial"/>
        </w:rPr>
        <w:t>the indicator</w:t>
      </w:r>
      <w:r w:rsidRPr="00F30518">
        <w:rPr>
          <w:rFonts w:cs="Arial"/>
        </w:rPr>
        <w:t xml:space="preserve"> metrics used to summar</w:t>
      </w:r>
      <w:r w:rsidR="00AF6661">
        <w:rPr>
          <w:rFonts w:cs="Arial"/>
        </w:rPr>
        <w:t xml:space="preserve">ise coral community condition. </w:t>
      </w:r>
      <w:r w:rsidRPr="00F30518">
        <w:rPr>
          <w:rFonts w:cs="Arial"/>
        </w:rPr>
        <w:t>Collectively the revised metrics:</w:t>
      </w:r>
    </w:p>
    <w:p w14:paraId="2B7F8544" w14:textId="77777777" w:rsidR="008E2CAB" w:rsidRPr="00F30518" w:rsidRDefault="008E2CAB" w:rsidP="008E2CAB">
      <w:pPr>
        <w:pStyle w:val="ListParagraph"/>
        <w:numPr>
          <w:ilvl w:val="0"/>
          <w:numId w:val="31"/>
        </w:numPr>
        <w:spacing w:after="0"/>
        <w:rPr>
          <w:rFonts w:cs="Arial"/>
          <w:szCs w:val="22"/>
        </w:rPr>
      </w:pPr>
      <w:r w:rsidRPr="00F30518">
        <w:rPr>
          <w:rFonts w:cs="Arial"/>
          <w:szCs w:val="22"/>
        </w:rPr>
        <w:t xml:space="preserve">incorporate a continuous scoring system to more naturally scale deviations from metric thresholds, </w:t>
      </w:r>
    </w:p>
    <w:p w14:paraId="56284B35" w14:textId="77777777" w:rsidR="008E2CAB" w:rsidRPr="00F30518" w:rsidRDefault="008E2CAB" w:rsidP="008E2CAB">
      <w:pPr>
        <w:pStyle w:val="ListParagraph"/>
        <w:numPr>
          <w:ilvl w:val="0"/>
          <w:numId w:val="31"/>
        </w:numPr>
        <w:spacing w:after="0"/>
        <w:rPr>
          <w:rFonts w:cs="Arial"/>
          <w:szCs w:val="22"/>
        </w:rPr>
      </w:pPr>
      <w:r w:rsidRPr="00F30518">
        <w:rPr>
          <w:rFonts w:cs="Arial"/>
          <w:szCs w:val="22"/>
        </w:rPr>
        <w:t>include additional time-series for inshore coral communities monitoring by the AIMS long-term-monitoring program to enhance the information base on which condition assessments are based,</w:t>
      </w:r>
      <w:r w:rsidR="005A0708">
        <w:rPr>
          <w:rFonts w:cs="Arial"/>
          <w:szCs w:val="22"/>
        </w:rPr>
        <w:t xml:space="preserve"> and</w:t>
      </w:r>
    </w:p>
    <w:p w14:paraId="62DA115C" w14:textId="77777777" w:rsidR="008E2CAB" w:rsidRDefault="008E2CAB" w:rsidP="008E2CAB">
      <w:pPr>
        <w:pStyle w:val="ListParagraph"/>
        <w:numPr>
          <w:ilvl w:val="0"/>
          <w:numId w:val="31"/>
        </w:numPr>
        <w:spacing w:after="0"/>
        <w:rPr>
          <w:rFonts w:cs="Arial"/>
          <w:szCs w:val="22"/>
        </w:rPr>
      </w:pPr>
      <w:proofErr w:type="gramStart"/>
      <w:r w:rsidRPr="00F30518">
        <w:rPr>
          <w:rFonts w:cs="Arial"/>
          <w:szCs w:val="22"/>
        </w:rPr>
        <w:t>reduce</w:t>
      </w:r>
      <w:proofErr w:type="gramEnd"/>
      <w:r w:rsidRPr="00F30518">
        <w:rPr>
          <w:rFonts w:cs="Arial"/>
          <w:szCs w:val="22"/>
        </w:rPr>
        <w:t xml:space="preserve"> the inter-dependence of the indicator metrics and include community composition as an additional indicator that broadens the ecological basis of assessments</w:t>
      </w:r>
      <w:r w:rsidR="00AF6661">
        <w:rPr>
          <w:rFonts w:cs="Arial"/>
          <w:szCs w:val="22"/>
        </w:rPr>
        <w:t>.</w:t>
      </w:r>
    </w:p>
    <w:p w14:paraId="62D8DFD8" w14:textId="77777777" w:rsidR="00AF6661" w:rsidRPr="00F30518" w:rsidRDefault="00AF6661" w:rsidP="00AF6661">
      <w:pPr>
        <w:pStyle w:val="ListParagraph"/>
        <w:spacing w:after="0"/>
        <w:ind w:left="765"/>
        <w:rPr>
          <w:rFonts w:cs="Arial"/>
          <w:szCs w:val="22"/>
        </w:rPr>
      </w:pPr>
    </w:p>
    <w:p w14:paraId="3510511D" w14:textId="77777777" w:rsidR="008E2CAB" w:rsidRPr="00F30518" w:rsidRDefault="008E2CAB" w:rsidP="008E2CAB">
      <w:pPr>
        <w:rPr>
          <w:rFonts w:cs="Arial"/>
        </w:rPr>
      </w:pPr>
      <w:r w:rsidRPr="00F30518">
        <w:rPr>
          <w:rFonts w:cs="Arial"/>
        </w:rPr>
        <w:t>These changes</w:t>
      </w:r>
      <w:r>
        <w:rPr>
          <w:rFonts w:cs="Arial"/>
        </w:rPr>
        <w:t>,</w:t>
      </w:r>
      <w:r w:rsidRPr="00F30518">
        <w:rPr>
          <w:rFonts w:cs="Arial"/>
        </w:rPr>
        <w:t xml:space="preserve"> while subtle</w:t>
      </w:r>
      <w:r>
        <w:rPr>
          <w:rFonts w:cs="Arial"/>
        </w:rPr>
        <w:t>,</w:t>
      </w:r>
      <w:r w:rsidRPr="00F30518">
        <w:rPr>
          <w:rFonts w:cs="Arial"/>
        </w:rPr>
        <w:t xml:space="preserve"> </w:t>
      </w:r>
      <w:r w:rsidR="009C2F74">
        <w:rPr>
          <w:rFonts w:cs="Arial"/>
        </w:rPr>
        <w:t>in combination</w:t>
      </w:r>
      <w:r w:rsidR="00A55112">
        <w:rPr>
          <w:rFonts w:cs="Arial"/>
        </w:rPr>
        <w:t xml:space="preserve"> </w:t>
      </w:r>
      <w:r w:rsidRPr="00F30518">
        <w:rPr>
          <w:rFonts w:cs="Arial"/>
        </w:rPr>
        <w:t>allow a more intuitive interpretation of condition changes</w:t>
      </w:r>
      <w:r w:rsidR="00AF6661">
        <w:rPr>
          <w:rFonts w:cs="Arial"/>
        </w:rPr>
        <w:t xml:space="preserve">. However, we emphasise </w:t>
      </w:r>
      <w:r w:rsidRPr="00F30518">
        <w:rPr>
          <w:rFonts w:cs="Arial"/>
        </w:rPr>
        <w:t>that region</w:t>
      </w:r>
      <w:r w:rsidR="00AF6661">
        <w:rPr>
          <w:rFonts w:cs="Arial"/>
        </w:rPr>
        <w:t>-</w:t>
      </w:r>
      <w:r w:rsidRPr="00F30518">
        <w:rPr>
          <w:rFonts w:cs="Arial"/>
        </w:rPr>
        <w:t xml:space="preserve">level condition assessments do not vary substantially from those previously reported. </w:t>
      </w:r>
    </w:p>
    <w:p w14:paraId="4E0491BD" w14:textId="77777777" w:rsidR="008E2CAB" w:rsidRPr="00F30518" w:rsidRDefault="008E2CAB" w:rsidP="007E5B6D">
      <w:pPr>
        <w:pStyle w:val="Heading2"/>
        <w:spacing w:before="240"/>
      </w:pPr>
      <w:bookmarkStart w:id="394" w:name="_Toc460490677"/>
      <w:r w:rsidRPr="00F30518">
        <w:t>Pressures</w:t>
      </w:r>
      <w:bookmarkEnd w:id="394"/>
      <w:r w:rsidRPr="00F30518">
        <w:t xml:space="preserve"> </w:t>
      </w:r>
    </w:p>
    <w:p w14:paraId="2057CF16" w14:textId="77777777" w:rsidR="005853B6" w:rsidRDefault="009C2F74" w:rsidP="00FA06C2">
      <w:pPr>
        <w:pStyle w:val="Heading4"/>
        <w:rPr>
          <w:rFonts w:cs="Arial"/>
          <w:color w:val="000000" w:themeColor="text1"/>
        </w:rPr>
      </w:pPr>
      <w:r>
        <w:t>Acute disturbances</w:t>
      </w:r>
    </w:p>
    <w:p w14:paraId="63B04725" w14:textId="77777777" w:rsidR="008E2CAB" w:rsidRDefault="008E2CAB" w:rsidP="008E2CAB">
      <w:pPr>
        <w:rPr>
          <w:rFonts w:cs="Arial"/>
          <w:color w:val="000000" w:themeColor="text1"/>
        </w:rPr>
      </w:pPr>
      <w:r w:rsidRPr="00F30518">
        <w:rPr>
          <w:rFonts w:cs="Arial"/>
          <w:color w:val="000000" w:themeColor="text1"/>
        </w:rPr>
        <w:t>Since MMP surveys began in 2005, substantial loss of coral cover occurred as a result of: thermal bleaching (Fitzroy Region 2006), Cyclone Larry (Wet Tropics and Burdekin regions 2006), Cyclone Ului (Whitsunday Region 2010), Cyclone Tasha (Wet Tropics 2011), Cyclone Yasi (Wet Tropics and Burdekin regions 2011), Cyclone Ita (Wet Tropics 2014), Cyclone Marsha (Fitzroy Regi</w:t>
      </w:r>
      <w:r w:rsidR="00AF6661">
        <w:rPr>
          <w:rFonts w:cs="Arial"/>
          <w:color w:val="000000" w:themeColor="text1"/>
        </w:rPr>
        <w:t>on 2015), sub-cyclonic storms (</w:t>
      </w:r>
      <w:r w:rsidRPr="00F30518">
        <w:rPr>
          <w:rFonts w:cs="Arial"/>
          <w:color w:val="000000" w:themeColor="text1"/>
        </w:rPr>
        <w:t>Barron Daintree sub-region 2009, Burdekin 2009, Fitzroy 2008, 2010, 2013), predation by COTS (Wet Tropics 2012-2014) and exposure</w:t>
      </w:r>
      <w:r w:rsidR="00553772">
        <w:rPr>
          <w:rFonts w:cs="Arial"/>
          <w:color w:val="000000" w:themeColor="text1"/>
        </w:rPr>
        <w:t xml:space="preserve"> to low salinity flood waters (</w:t>
      </w:r>
      <w:r w:rsidRPr="00F30518">
        <w:rPr>
          <w:rFonts w:cs="Arial"/>
          <w:color w:val="000000" w:themeColor="text1"/>
        </w:rPr>
        <w:t>2m depths, Fitzroy Region in 2011). These disturbance events contribute strongly to the declines in coral community cond</w:t>
      </w:r>
      <w:r w:rsidR="00AF6661">
        <w:rPr>
          <w:rFonts w:cs="Arial"/>
          <w:color w:val="000000" w:themeColor="text1"/>
        </w:rPr>
        <w:t xml:space="preserve">ition observed in all regions. </w:t>
      </w:r>
      <w:r w:rsidRPr="00F30518">
        <w:rPr>
          <w:rFonts w:cs="Arial"/>
          <w:color w:val="000000" w:themeColor="text1"/>
        </w:rPr>
        <w:t xml:space="preserve">Acute pressures most directly influence coral cover and contribute to </w:t>
      </w:r>
      <w:r>
        <w:rPr>
          <w:rFonts w:cs="Arial"/>
          <w:color w:val="000000" w:themeColor="text1"/>
        </w:rPr>
        <w:t>between 43</w:t>
      </w:r>
      <w:r w:rsidRPr="00F30518">
        <w:rPr>
          <w:rFonts w:cs="Arial"/>
          <w:color w:val="000000" w:themeColor="text1"/>
        </w:rPr>
        <w:t xml:space="preserve">% of the coral cover lost </w:t>
      </w:r>
      <w:r>
        <w:rPr>
          <w:rFonts w:cs="Arial"/>
          <w:color w:val="000000" w:themeColor="text1"/>
        </w:rPr>
        <w:t xml:space="preserve">at 5m depth in the Fitzroy region to greater than 90% in the Tully and Baron-Daintree sub-regions. These losses </w:t>
      </w:r>
      <w:r w:rsidRPr="00F30518">
        <w:rPr>
          <w:rFonts w:cs="Arial"/>
          <w:color w:val="000000" w:themeColor="text1"/>
        </w:rPr>
        <w:t xml:space="preserve">unavoidably </w:t>
      </w:r>
      <w:r w:rsidRPr="00F30518">
        <w:rPr>
          <w:rFonts w:cs="Arial"/>
          <w:color w:val="000000" w:themeColor="text1"/>
        </w:rPr>
        <w:lastRenderedPageBreak/>
        <w:t>translate</w:t>
      </w:r>
      <w:r>
        <w:rPr>
          <w:rFonts w:cs="Arial"/>
          <w:color w:val="000000" w:themeColor="text1"/>
        </w:rPr>
        <w:t>d</w:t>
      </w:r>
      <w:r w:rsidRPr="00F30518">
        <w:rPr>
          <w:rFonts w:cs="Arial"/>
          <w:color w:val="000000" w:themeColor="text1"/>
        </w:rPr>
        <w:t xml:space="preserve"> into reduction</w:t>
      </w:r>
      <w:r>
        <w:rPr>
          <w:rFonts w:cs="Arial"/>
          <w:color w:val="000000" w:themeColor="text1"/>
        </w:rPr>
        <w:t>s</w:t>
      </w:r>
      <w:r w:rsidRPr="00F30518">
        <w:rPr>
          <w:rFonts w:cs="Arial"/>
          <w:color w:val="000000" w:themeColor="text1"/>
        </w:rPr>
        <w:t xml:space="preserve"> in the scores for the coral cover indicator metric</w:t>
      </w:r>
      <w:r>
        <w:rPr>
          <w:rFonts w:cs="Arial"/>
          <w:color w:val="000000" w:themeColor="text1"/>
        </w:rPr>
        <w:t xml:space="preserve"> and contribute to declines in overall reef condition assessments following severe disturbance events.</w:t>
      </w:r>
      <w:r w:rsidRPr="00F30518">
        <w:rPr>
          <w:rFonts w:cs="Arial"/>
          <w:color w:val="000000" w:themeColor="text1"/>
        </w:rPr>
        <w:t xml:space="preserve"> Each of the remaining four indictor metrics has been formulated to limit responsiveness to acute pressures so as to focus as directly as possible on changes in condition that can be interpreted as resulting from changes in water quality.</w:t>
      </w:r>
    </w:p>
    <w:p w14:paraId="7CA65391" w14:textId="77777777" w:rsidR="00127227" w:rsidRPr="00FA06C2" w:rsidRDefault="009C2F74" w:rsidP="007E5B6D">
      <w:pPr>
        <w:pStyle w:val="Heading4"/>
      </w:pPr>
      <w:r>
        <w:t>Chronic conditions</w:t>
      </w:r>
      <w:r w:rsidR="007E5B6D">
        <w:t xml:space="preserve"> </w:t>
      </w:r>
      <w:r w:rsidR="00777E52">
        <w:t>- water quality</w:t>
      </w:r>
    </w:p>
    <w:p w14:paraId="13E0EEEB" w14:textId="77777777" w:rsidR="008E2CAB" w:rsidRPr="00F30518" w:rsidRDefault="008E2CAB" w:rsidP="008E2CAB">
      <w:pPr>
        <w:rPr>
          <w:rFonts w:cs="Arial"/>
          <w:color w:val="000000" w:themeColor="text1"/>
          <w:lang w:val="en-US"/>
        </w:rPr>
      </w:pPr>
      <w:r w:rsidRPr="00F30518">
        <w:rPr>
          <w:rFonts w:cs="Arial"/>
          <w:color w:val="000000" w:themeColor="text1"/>
        </w:rPr>
        <w:t xml:space="preserve">As the </w:t>
      </w:r>
      <w:r w:rsidR="007E666A">
        <w:rPr>
          <w:rFonts w:cs="Arial"/>
          <w:color w:val="000000" w:themeColor="text1"/>
        </w:rPr>
        <w:t xml:space="preserve">environment </w:t>
      </w:r>
      <w:r w:rsidRPr="00F30518">
        <w:rPr>
          <w:rFonts w:cs="Arial"/>
          <w:color w:val="000000" w:themeColor="text1"/>
        </w:rPr>
        <w:t xml:space="preserve">in which corals </w:t>
      </w:r>
      <w:r w:rsidR="007E666A">
        <w:rPr>
          <w:rFonts w:cs="Arial"/>
          <w:color w:val="000000" w:themeColor="text1"/>
        </w:rPr>
        <w:t>occur</w:t>
      </w:r>
      <w:r w:rsidRPr="00F30518">
        <w:rPr>
          <w:rFonts w:cs="Arial"/>
          <w:color w:val="000000" w:themeColor="text1"/>
        </w:rPr>
        <w:t>, water quality exerts a fundamental influence on the processes governing coral commun</w:t>
      </w:r>
      <w:r w:rsidR="00AF6661">
        <w:rPr>
          <w:rFonts w:cs="Arial"/>
          <w:color w:val="000000" w:themeColor="text1"/>
        </w:rPr>
        <w:t xml:space="preserve">ity composition and condition. </w:t>
      </w:r>
      <w:r w:rsidRPr="00F30518">
        <w:rPr>
          <w:rFonts w:cs="Arial"/>
          <w:color w:val="000000" w:themeColor="text1"/>
          <w:lang w:val="en-US"/>
        </w:rPr>
        <w:t xml:space="preserve">Water quality in the inshore Reef shows </w:t>
      </w:r>
      <w:r>
        <w:rPr>
          <w:rFonts w:cs="Arial"/>
          <w:color w:val="000000" w:themeColor="text1"/>
          <w:lang w:val="en-US"/>
        </w:rPr>
        <w:t xml:space="preserve">a strong </w:t>
      </w:r>
      <w:r w:rsidRPr="00F30518">
        <w:rPr>
          <w:rFonts w:cs="Arial"/>
          <w:color w:val="000000" w:themeColor="text1"/>
          <w:lang w:val="en-US"/>
        </w:rPr>
        <w:t>gradient</w:t>
      </w:r>
      <w:r>
        <w:rPr>
          <w:rFonts w:cs="Arial"/>
          <w:color w:val="000000" w:themeColor="text1"/>
          <w:lang w:val="en-US"/>
        </w:rPr>
        <w:t xml:space="preserve">, improving with distance from the </w:t>
      </w:r>
      <w:r w:rsidRPr="00F30518">
        <w:rPr>
          <w:rFonts w:cs="Arial"/>
          <w:color w:val="000000" w:themeColor="text1"/>
          <w:lang w:val="en-US"/>
        </w:rPr>
        <w:t xml:space="preserve">coast and </w:t>
      </w:r>
      <w:r>
        <w:rPr>
          <w:rFonts w:cs="Arial"/>
          <w:color w:val="000000" w:themeColor="text1"/>
          <w:lang w:val="en-US"/>
        </w:rPr>
        <w:t>major rivers</w:t>
      </w:r>
      <w:r w:rsidR="00AF6661">
        <w:rPr>
          <w:rFonts w:cs="Arial"/>
          <w:color w:val="000000" w:themeColor="text1"/>
          <w:lang w:val="en-US"/>
        </w:rPr>
        <w:t xml:space="preserve">. </w:t>
      </w:r>
      <w:r w:rsidRPr="00F30518">
        <w:rPr>
          <w:rFonts w:cs="Arial"/>
          <w:color w:val="000000" w:themeColor="text1"/>
          <w:lang w:val="en-US"/>
        </w:rPr>
        <w:t xml:space="preserve">Variation in benthic communities on coral reefs along this water quality gradient is evidence for the selective pressures imposed by water quality </w:t>
      </w:r>
      <w:r>
        <w:rPr>
          <w:rFonts w:cs="Arial"/>
          <w:color w:val="000000" w:themeColor="text1"/>
          <w:lang w:val="en-US"/>
        </w:rPr>
        <w:t xml:space="preserve">on </w:t>
      </w:r>
      <w:r w:rsidRPr="00F30518">
        <w:rPr>
          <w:rFonts w:cs="Arial"/>
          <w:color w:val="000000" w:themeColor="text1"/>
          <w:lang w:val="en-US"/>
        </w:rPr>
        <w:t>coral reef communities</w:t>
      </w:r>
      <w:r w:rsidRPr="00F30518">
        <w:rPr>
          <w:rFonts w:cs="Arial"/>
          <w:color w:val="000000" w:themeColor="text1"/>
        </w:rPr>
        <w:t xml:space="preserve"> (van </w:t>
      </w:r>
      <w:r w:rsidRPr="00F30518">
        <w:rPr>
          <w:rFonts w:cs="Arial"/>
        </w:rPr>
        <w:t xml:space="preserve">Woesik </w:t>
      </w:r>
      <w:r w:rsidR="0001742D">
        <w:rPr>
          <w:rFonts w:cs="Arial"/>
        </w:rPr>
        <w:t>&amp;</w:t>
      </w:r>
      <w:r w:rsidRPr="00F30518">
        <w:rPr>
          <w:rFonts w:cs="Arial"/>
        </w:rPr>
        <w:t xml:space="preserve"> Done 1997, van Woesik </w:t>
      </w:r>
      <w:r w:rsidRPr="00F30518">
        <w:rPr>
          <w:rFonts w:cs="Arial"/>
          <w:i/>
        </w:rPr>
        <w:t>et al.</w:t>
      </w:r>
      <w:r w:rsidRPr="00F30518">
        <w:rPr>
          <w:rFonts w:cs="Arial"/>
        </w:rPr>
        <w:t xml:space="preserve"> 1999, Fabricius </w:t>
      </w:r>
      <w:r w:rsidRPr="00F30518">
        <w:rPr>
          <w:rFonts w:cs="Arial"/>
          <w:i/>
        </w:rPr>
        <w:t>et al.</w:t>
      </w:r>
      <w:r w:rsidRPr="00F30518">
        <w:rPr>
          <w:rFonts w:cs="Arial"/>
        </w:rPr>
        <w:t xml:space="preserve"> 2005, De’ath </w:t>
      </w:r>
      <w:r w:rsidR="005A065B">
        <w:rPr>
          <w:rFonts w:cs="Arial"/>
        </w:rPr>
        <w:t>&amp;</w:t>
      </w:r>
      <w:r w:rsidRPr="00F30518">
        <w:rPr>
          <w:rFonts w:cs="Arial"/>
        </w:rPr>
        <w:t xml:space="preserve"> Fabricius 2008, Uthicke </w:t>
      </w:r>
      <w:r w:rsidRPr="00F30518">
        <w:rPr>
          <w:rFonts w:cs="Arial"/>
          <w:i/>
        </w:rPr>
        <w:t>et al.</w:t>
      </w:r>
      <w:r w:rsidRPr="00F30518">
        <w:rPr>
          <w:rFonts w:cs="Arial"/>
        </w:rPr>
        <w:t xml:space="preserve"> 2010, Fabricius </w:t>
      </w:r>
      <w:r w:rsidRPr="00F30518">
        <w:rPr>
          <w:rFonts w:cs="Arial"/>
          <w:i/>
        </w:rPr>
        <w:t>et al.</w:t>
      </w:r>
      <w:r w:rsidRPr="00F30518">
        <w:rPr>
          <w:rFonts w:cs="Arial"/>
        </w:rPr>
        <w:t xml:space="preserve"> 2012), but also within individual reefs in response to localised hydrodynamic conditions (Uthicke </w:t>
      </w:r>
      <w:r w:rsidRPr="00F30518">
        <w:rPr>
          <w:rFonts w:cs="Arial"/>
          <w:i/>
        </w:rPr>
        <w:t>et al.</w:t>
      </w:r>
      <w:r w:rsidRPr="00F30518">
        <w:rPr>
          <w:rFonts w:cs="Arial"/>
        </w:rPr>
        <w:t xml:space="preserve"> 2010, Thompson </w:t>
      </w:r>
      <w:r w:rsidRPr="00F30518">
        <w:rPr>
          <w:rFonts w:cs="Arial"/>
          <w:i/>
        </w:rPr>
        <w:t>et al.</w:t>
      </w:r>
      <w:r w:rsidRPr="00F30518">
        <w:rPr>
          <w:rFonts w:cs="Arial"/>
        </w:rPr>
        <w:t xml:space="preserve"> 2010</w:t>
      </w:r>
      <w:r w:rsidR="007F7841">
        <w:rPr>
          <w:rFonts w:cs="Arial"/>
        </w:rPr>
        <w:t>a</w:t>
      </w:r>
      <w:r w:rsidRPr="00F30518">
        <w:rPr>
          <w:rFonts w:cs="Arial"/>
        </w:rPr>
        <w:t xml:space="preserve">, Browne </w:t>
      </w:r>
      <w:r w:rsidRPr="00F30518">
        <w:rPr>
          <w:rFonts w:cs="Arial"/>
          <w:i/>
        </w:rPr>
        <w:t>et al</w:t>
      </w:r>
      <w:r w:rsidRPr="00F30518">
        <w:rPr>
          <w:rFonts w:cs="Arial"/>
        </w:rPr>
        <w:t xml:space="preserve">. 2010). </w:t>
      </w:r>
      <w:r w:rsidRPr="00F30518">
        <w:rPr>
          <w:rFonts w:cs="Arial"/>
          <w:color w:val="000000" w:themeColor="text1"/>
          <w:lang w:val="en-US"/>
        </w:rPr>
        <w:t>Such gradients and processes are a natural part of the Reef ecosystem, albeit under far lower levels of input of runoff-derived pollutants than presently occurs (Belp</w:t>
      </w:r>
      <w:r w:rsidRPr="00F30518">
        <w:rPr>
          <w:rFonts w:cs="Arial"/>
          <w:color w:val="000000" w:themeColor="text1"/>
        </w:rPr>
        <w:t xml:space="preserve">erio </w:t>
      </w:r>
      <w:r w:rsidR="005A065B">
        <w:rPr>
          <w:rFonts w:cs="Arial"/>
          <w:color w:val="000000" w:themeColor="text1"/>
        </w:rPr>
        <w:t>&amp;</w:t>
      </w:r>
      <w:r w:rsidRPr="00F30518">
        <w:rPr>
          <w:rFonts w:cs="Arial"/>
          <w:color w:val="000000" w:themeColor="text1"/>
        </w:rPr>
        <w:t xml:space="preserve"> Searle 1988</w:t>
      </w:r>
      <w:r w:rsidRPr="00F30518">
        <w:rPr>
          <w:rFonts w:cs="Arial"/>
          <w:color w:val="000000" w:themeColor="text1"/>
          <w:lang w:val="en-US"/>
        </w:rPr>
        <w:t xml:space="preserve">, Waters </w:t>
      </w:r>
      <w:r w:rsidRPr="00F30518">
        <w:rPr>
          <w:rFonts w:cs="Arial"/>
          <w:i/>
          <w:color w:val="000000" w:themeColor="text1"/>
          <w:lang w:val="en-US"/>
        </w:rPr>
        <w:t>et al.</w:t>
      </w:r>
      <w:r w:rsidRPr="00F30518">
        <w:rPr>
          <w:rFonts w:cs="Arial"/>
          <w:color w:val="000000" w:themeColor="text1"/>
          <w:lang w:val="en-US"/>
        </w:rPr>
        <w:t xml:space="preserve"> 2014). </w:t>
      </w:r>
      <w:r w:rsidRPr="00F30518" w:rsidDel="00A45D48">
        <w:rPr>
          <w:rFonts w:cs="Arial"/>
          <w:color w:val="000000" w:themeColor="text1"/>
        </w:rPr>
        <w:t>The premise underpinning Reef</w:t>
      </w:r>
      <w:r w:rsidRPr="00F30518">
        <w:rPr>
          <w:rFonts w:cs="Arial"/>
          <w:color w:val="000000" w:themeColor="text1"/>
        </w:rPr>
        <w:t xml:space="preserve"> 2050</w:t>
      </w:r>
      <w:r w:rsidRPr="00F30518" w:rsidDel="00A45D48">
        <w:rPr>
          <w:rFonts w:cs="Arial"/>
          <w:color w:val="000000" w:themeColor="text1"/>
        </w:rPr>
        <w:t xml:space="preserve"> Plan is that </w:t>
      </w:r>
      <w:r w:rsidRPr="00F30518">
        <w:rPr>
          <w:rFonts w:cs="Arial"/>
          <w:color w:val="000000" w:themeColor="text1"/>
        </w:rPr>
        <w:t xml:space="preserve">anthropogenic </w:t>
      </w:r>
      <w:r w:rsidRPr="00F30518" w:rsidDel="00A45D48">
        <w:rPr>
          <w:rFonts w:cs="Arial"/>
          <w:color w:val="000000" w:themeColor="text1"/>
        </w:rPr>
        <w:t xml:space="preserve">contaminant loads delivered by rivers sufficiently alter the environmental conditions in inshore </w:t>
      </w:r>
      <w:r w:rsidR="00AF6661">
        <w:rPr>
          <w:rFonts w:cs="Arial"/>
          <w:color w:val="000000" w:themeColor="text1"/>
        </w:rPr>
        <w:t>Reef lagoon</w:t>
      </w:r>
      <w:r w:rsidRPr="00F30518" w:rsidDel="00A45D48">
        <w:rPr>
          <w:rFonts w:cs="Arial"/>
          <w:color w:val="000000" w:themeColor="text1"/>
        </w:rPr>
        <w:t xml:space="preserve"> to suppress ecological resilience</w:t>
      </w:r>
      <w:r w:rsidRPr="00F30518" w:rsidDel="00A45D48">
        <w:rPr>
          <w:rFonts w:cs="Arial"/>
        </w:rPr>
        <w:t>.</w:t>
      </w:r>
      <w:r w:rsidRPr="00F30518">
        <w:rPr>
          <w:rFonts w:cs="Arial"/>
        </w:rPr>
        <w:t xml:space="preserve"> </w:t>
      </w:r>
      <w:r w:rsidRPr="00F30518">
        <w:rPr>
          <w:rFonts w:cs="Arial"/>
          <w:color w:val="000000" w:themeColor="text1"/>
          <w:lang w:val="en-US"/>
        </w:rPr>
        <w:t>It is the quantification of the compounding conditions along naturally occurring gradients as a result of runoff and any subsequent improvement under the Reef 2050 Plan that is the core focus of the water quality monitoring component of the MMP</w:t>
      </w:r>
      <w:r w:rsidR="00AF6661">
        <w:rPr>
          <w:rFonts w:cs="Arial"/>
          <w:color w:val="000000" w:themeColor="text1"/>
          <w:lang w:val="en-US"/>
        </w:rPr>
        <w:t xml:space="preserve"> (see separate report by Lønborg </w:t>
      </w:r>
      <w:r w:rsidR="00AF6661" w:rsidRPr="005A0708">
        <w:rPr>
          <w:rFonts w:cs="Arial"/>
          <w:i/>
          <w:color w:val="000000" w:themeColor="text1"/>
          <w:lang w:val="en-US"/>
        </w:rPr>
        <w:t>et al</w:t>
      </w:r>
      <w:r w:rsidR="00AF6661">
        <w:rPr>
          <w:rFonts w:cs="Arial"/>
          <w:color w:val="000000" w:themeColor="text1"/>
          <w:lang w:val="en-US"/>
        </w:rPr>
        <w:t xml:space="preserve">., </w:t>
      </w:r>
      <w:r w:rsidR="008E6F11">
        <w:rPr>
          <w:rFonts w:cs="Arial"/>
          <w:color w:val="000000" w:themeColor="text1"/>
          <w:lang w:val="en-US"/>
        </w:rPr>
        <w:t>2015</w:t>
      </w:r>
      <w:r w:rsidR="00AF6661">
        <w:rPr>
          <w:rFonts w:cs="Arial"/>
          <w:color w:val="000000" w:themeColor="text1"/>
          <w:lang w:val="en-US"/>
        </w:rPr>
        <w:t>)</w:t>
      </w:r>
      <w:r w:rsidRPr="00F30518">
        <w:rPr>
          <w:rFonts w:cs="Arial"/>
          <w:color w:val="000000" w:themeColor="text1"/>
          <w:lang w:val="en-US"/>
        </w:rPr>
        <w:t>.</w:t>
      </w:r>
    </w:p>
    <w:p w14:paraId="373A6FFC" w14:textId="77777777" w:rsidR="008E2CAB" w:rsidRDefault="008E2CAB" w:rsidP="008E2CAB">
      <w:pPr>
        <w:rPr>
          <w:rFonts w:cs="Arial"/>
          <w:color w:val="000000" w:themeColor="text1"/>
        </w:rPr>
      </w:pPr>
      <w:r w:rsidRPr="00F30518">
        <w:rPr>
          <w:rFonts w:cs="Arial"/>
          <w:color w:val="000000" w:themeColor="text1"/>
        </w:rPr>
        <w:t>For coral</w:t>
      </w:r>
      <w:r>
        <w:rPr>
          <w:rFonts w:cs="Arial"/>
          <w:color w:val="000000" w:themeColor="text1"/>
        </w:rPr>
        <w:t>s,</w:t>
      </w:r>
      <w:r w:rsidRPr="00F30518">
        <w:rPr>
          <w:rFonts w:cs="Arial"/>
          <w:color w:val="000000" w:themeColor="text1"/>
        </w:rPr>
        <w:t xml:space="preserve"> the pressure relating to land management practices is the ‘state’ of marine water quality</w:t>
      </w:r>
      <w:r w:rsidR="00AF6661">
        <w:rPr>
          <w:rFonts w:cs="Arial"/>
          <w:color w:val="000000" w:themeColor="text1"/>
        </w:rPr>
        <w:t xml:space="preserve">, which </w:t>
      </w:r>
      <w:r w:rsidRPr="00F30518">
        <w:rPr>
          <w:rFonts w:cs="Arial"/>
          <w:color w:val="000000" w:themeColor="text1"/>
        </w:rPr>
        <w:t>in turn</w:t>
      </w:r>
      <w:r w:rsidR="00AF6661">
        <w:rPr>
          <w:rFonts w:cs="Arial"/>
          <w:color w:val="000000" w:themeColor="text1"/>
        </w:rPr>
        <w:t xml:space="preserve"> is </w:t>
      </w:r>
      <w:r w:rsidRPr="00F30518">
        <w:rPr>
          <w:rFonts w:cs="Arial"/>
          <w:color w:val="000000" w:themeColor="text1"/>
        </w:rPr>
        <w:t>influenced by the pressure of contaminant loads ent</w:t>
      </w:r>
      <w:r w:rsidR="00015475">
        <w:rPr>
          <w:rFonts w:cs="Arial"/>
          <w:color w:val="000000" w:themeColor="text1"/>
        </w:rPr>
        <w:t xml:space="preserve">ering marine waters as runoff. </w:t>
      </w:r>
      <w:r w:rsidRPr="00F30518">
        <w:rPr>
          <w:rFonts w:cs="Arial"/>
          <w:color w:val="000000" w:themeColor="text1"/>
        </w:rPr>
        <w:t>The loads of sediments</w:t>
      </w:r>
      <w:r w:rsidR="00015475">
        <w:rPr>
          <w:rFonts w:cs="Arial"/>
          <w:color w:val="000000" w:themeColor="text1"/>
        </w:rPr>
        <w:t>,</w:t>
      </w:r>
      <w:r w:rsidRPr="00F30518">
        <w:rPr>
          <w:rFonts w:cs="Arial"/>
          <w:color w:val="000000" w:themeColor="text1"/>
        </w:rPr>
        <w:t xml:space="preserve"> nutrients and pesticides exported by rivers into the Reef are strongly related to discharge volume. A crude c</w:t>
      </w:r>
      <w:r>
        <w:rPr>
          <w:rFonts w:cs="Arial"/>
          <w:color w:val="000000" w:themeColor="text1"/>
        </w:rPr>
        <w:t>omparison between the seven end-of-catchment load-</w:t>
      </w:r>
      <w:r w:rsidRPr="00F30518">
        <w:rPr>
          <w:rFonts w:cs="Arial"/>
          <w:color w:val="000000" w:themeColor="text1"/>
        </w:rPr>
        <w:t xml:space="preserve">monitoring sites in the Wet Tropics, Burdekin, Mackay Whitsunday and Fitzroy NRM regions, for which loads were estimated in both 2011 and 2015, show loads of total suspended solids, total nitrogen and total phosphorous </w:t>
      </w:r>
      <w:r>
        <w:rPr>
          <w:rFonts w:cs="Arial"/>
          <w:color w:val="000000" w:themeColor="text1"/>
        </w:rPr>
        <w:t xml:space="preserve">that were </w:t>
      </w:r>
      <w:r w:rsidRPr="00F30518">
        <w:rPr>
          <w:rFonts w:cs="Arial"/>
          <w:color w:val="000000" w:themeColor="text1"/>
        </w:rPr>
        <w:t>delivered into the marine system to be in the order of 22, 9 and 13 times higher</w:t>
      </w:r>
      <w:r>
        <w:rPr>
          <w:rFonts w:cs="Arial"/>
          <w:color w:val="000000" w:themeColor="text1"/>
        </w:rPr>
        <w:t xml:space="preserve"> respectively</w:t>
      </w:r>
      <w:r w:rsidRPr="00F30518">
        <w:rPr>
          <w:rFonts w:cs="Arial"/>
          <w:color w:val="000000" w:themeColor="text1"/>
        </w:rPr>
        <w:t xml:space="preserve"> in 2011 </w:t>
      </w:r>
      <w:r>
        <w:rPr>
          <w:rFonts w:cs="Arial"/>
          <w:color w:val="000000" w:themeColor="text1"/>
        </w:rPr>
        <w:t xml:space="preserve">compared to 2015 </w:t>
      </w:r>
      <w:r w:rsidRPr="00F30518">
        <w:rPr>
          <w:rFonts w:cs="Arial"/>
          <w:color w:val="000000" w:themeColor="text1"/>
        </w:rPr>
        <w:t xml:space="preserve">when the combined discharge was </w:t>
      </w:r>
      <w:r>
        <w:rPr>
          <w:rFonts w:cs="Arial"/>
          <w:color w:val="000000" w:themeColor="text1"/>
        </w:rPr>
        <w:t>1/</w:t>
      </w:r>
      <w:r w:rsidRPr="00F30518">
        <w:rPr>
          <w:rFonts w:cs="Arial"/>
          <w:color w:val="000000" w:themeColor="text1"/>
        </w:rPr>
        <w:t>8</w:t>
      </w:r>
      <w:r w:rsidRPr="004452DB">
        <w:rPr>
          <w:rFonts w:cs="Arial"/>
          <w:color w:val="000000" w:themeColor="text1"/>
          <w:vertAlign w:val="superscript"/>
        </w:rPr>
        <w:t>th</w:t>
      </w:r>
      <w:r>
        <w:rPr>
          <w:rFonts w:cs="Arial"/>
          <w:color w:val="000000" w:themeColor="text1"/>
        </w:rPr>
        <w:t xml:space="preserve"> that of </w:t>
      </w:r>
      <w:r w:rsidRPr="00F30518">
        <w:rPr>
          <w:rFonts w:cs="Arial"/>
          <w:color w:val="000000" w:themeColor="text1"/>
        </w:rPr>
        <w:t>201</w:t>
      </w:r>
      <w:r>
        <w:rPr>
          <w:rFonts w:cs="Arial"/>
          <w:color w:val="000000" w:themeColor="text1"/>
        </w:rPr>
        <w:t>1</w:t>
      </w:r>
      <w:r w:rsidRPr="00F30518">
        <w:rPr>
          <w:rFonts w:cs="Arial"/>
          <w:color w:val="000000" w:themeColor="text1"/>
        </w:rPr>
        <w:t xml:space="preserve"> (data extracted from Turner </w:t>
      </w:r>
      <w:r w:rsidRPr="00051C52">
        <w:rPr>
          <w:rFonts w:cs="Arial"/>
          <w:i/>
          <w:color w:val="000000" w:themeColor="text1"/>
        </w:rPr>
        <w:t>et al.</w:t>
      </w:r>
      <w:r w:rsidRPr="00F30518">
        <w:rPr>
          <w:rFonts w:cs="Arial"/>
          <w:color w:val="000000" w:themeColor="text1"/>
        </w:rPr>
        <w:t xml:space="preserve"> </w:t>
      </w:r>
      <w:r w:rsidR="00843642" w:rsidRPr="00F30518">
        <w:rPr>
          <w:rFonts w:cs="Arial"/>
          <w:color w:val="000000" w:themeColor="text1"/>
        </w:rPr>
        <w:t>201</w:t>
      </w:r>
      <w:r w:rsidR="00843642">
        <w:rPr>
          <w:rFonts w:cs="Arial"/>
          <w:color w:val="000000" w:themeColor="text1"/>
        </w:rPr>
        <w:t>2</w:t>
      </w:r>
      <w:r w:rsidRPr="00F30518">
        <w:rPr>
          <w:rFonts w:cs="Arial"/>
          <w:color w:val="000000" w:themeColor="text1"/>
        </w:rPr>
        <w:t xml:space="preserve">, Garzon-Garcia </w:t>
      </w:r>
      <w:r w:rsidRPr="00051C52">
        <w:rPr>
          <w:rFonts w:cs="Arial"/>
          <w:i/>
          <w:color w:val="000000" w:themeColor="text1"/>
        </w:rPr>
        <w:t>et al.</w:t>
      </w:r>
      <w:r w:rsidRPr="00F30518">
        <w:rPr>
          <w:rFonts w:cs="Arial"/>
          <w:color w:val="000000" w:themeColor="text1"/>
        </w:rPr>
        <w:t xml:space="preserve"> 2015). </w:t>
      </w:r>
    </w:p>
    <w:p w14:paraId="57E6DC61" w14:textId="77777777" w:rsidR="00B06C1B" w:rsidRPr="00F30518" w:rsidRDefault="00015475" w:rsidP="00B06C1B">
      <w:pPr>
        <w:rPr>
          <w:rFonts w:cs="Arial"/>
          <w:color w:val="000000" w:themeColor="text1"/>
        </w:rPr>
      </w:pPr>
      <w:r>
        <w:rPr>
          <w:rFonts w:cs="Arial"/>
          <w:color w:val="000000" w:themeColor="text1"/>
        </w:rPr>
        <w:t>The MMP river p</w:t>
      </w:r>
      <w:r w:rsidR="008E2CAB">
        <w:rPr>
          <w:rFonts w:cs="Arial"/>
          <w:color w:val="000000" w:themeColor="text1"/>
        </w:rPr>
        <w:t xml:space="preserve">lume monitoring </w:t>
      </w:r>
      <w:r>
        <w:rPr>
          <w:rFonts w:cs="Arial"/>
          <w:color w:val="000000" w:themeColor="text1"/>
          <w:lang w:val="en-US"/>
        </w:rPr>
        <w:t xml:space="preserve">(see Lønborg </w:t>
      </w:r>
      <w:r w:rsidRPr="005A0708">
        <w:rPr>
          <w:rFonts w:cs="Arial"/>
          <w:i/>
          <w:color w:val="000000" w:themeColor="text1"/>
          <w:lang w:val="en-US"/>
        </w:rPr>
        <w:t>et al.,</w:t>
      </w:r>
      <w:r>
        <w:rPr>
          <w:rFonts w:cs="Arial"/>
          <w:color w:val="000000" w:themeColor="text1"/>
          <w:lang w:val="en-US"/>
        </w:rPr>
        <w:t xml:space="preserve"> </w:t>
      </w:r>
      <w:r w:rsidR="008E6F11">
        <w:rPr>
          <w:rFonts w:cs="Arial"/>
          <w:color w:val="000000" w:themeColor="text1"/>
          <w:lang w:val="en-US"/>
        </w:rPr>
        <w:t>2015</w:t>
      </w:r>
      <w:r>
        <w:rPr>
          <w:rFonts w:cs="Arial"/>
          <w:color w:val="000000" w:themeColor="text1"/>
          <w:lang w:val="en-US"/>
        </w:rPr>
        <w:t xml:space="preserve">, and </w:t>
      </w:r>
      <w:r>
        <w:rPr>
          <w:rFonts w:cs="Arial"/>
          <w:color w:val="000000" w:themeColor="text1"/>
        </w:rPr>
        <w:t>key maps</w:t>
      </w:r>
      <w:r w:rsidR="008E2CAB">
        <w:rPr>
          <w:rFonts w:cs="Arial"/>
          <w:color w:val="000000" w:themeColor="text1"/>
        </w:rPr>
        <w:t xml:space="preserve"> reproduced in this report</w:t>
      </w:r>
      <w:r>
        <w:rPr>
          <w:rFonts w:cs="Arial"/>
          <w:color w:val="000000" w:themeColor="text1"/>
        </w:rPr>
        <w:t>)</w:t>
      </w:r>
      <w:r w:rsidR="008E2CAB">
        <w:rPr>
          <w:rFonts w:cs="Arial"/>
          <w:color w:val="000000" w:themeColor="text1"/>
        </w:rPr>
        <w:t xml:space="preserve"> clearly shows that inshore Reefs monitored by MMP and the LTMP are directly exposed to elevated loads of sediments and nutrients carried by flood plumes. </w:t>
      </w:r>
      <w:r w:rsidR="008E2CAB" w:rsidRPr="00F30518">
        <w:rPr>
          <w:rFonts w:cs="Arial"/>
          <w:color w:val="000000" w:themeColor="text1"/>
        </w:rPr>
        <w:t xml:space="preserve">Variability in </w:t>
      </w:r>
      <w:r w:rsidR="008E2CAB">
        <w:rPr>
          <w:rFonts w:cs="Arial"/>
          <w:color w:val="000000" w:themeColor="text1"/>
        </w:rPr>
        <w:t>flood</w:t>
      </w:r>
      <w:r>
        <w:rPr>
          <w:rFonts w:cs="Arial"/>
          <w:color w:val="000000" w:themeColor="text1"/>
        </w:rPr>
        <w:t>-</w:t>
      </w:r>
      <w:r w:rsidR="008E2CAB">
        <w:rPr>
          <w:rFonts w:cs="Arial"/>
          <w:color w:val="000000" w:themeColor="text1"/>
        </w:rPr>
        <w:t xml:space="preserve">delivered loads </w:t>
      </w:r>
      <w:r w:rsidR="008E2CAB" w:rsidRPr="00F30518">
        <w:rPr>
          <w:rFonts w:cs="Arial"/>
          <w:color w:val="000000" w:themeColor="text1"/>
        </w:rPr>
        <w:t xml:space="preserve">(Joo </w:t>
      </w:r>
      <w:r w:rsidR="008E2CAB" w:rsidRPr="00051C52">
        <w:rPr>
          <w:rFonts w:cs="Arial"/>
          <w:i/>
          <w:color w:val="000000" w:themeColor="text1"/>
        </w:rPr>
        <w:t>et al.</w:t>
      </w:r>
      <w:r w:rsidR="008E2CAB" w:rsidRPr="00F30518">
        <w:rPr>
          <w:rFonts w:cs="Arial"/>
          <w:color w:val="000000" w:themeColor="text1"/>
        </w:rPr>
        <w:t xml:space="preserve"> </w:t>
      </w:r>
      <w:r w:rsidR="00EA5E10" w:rsidRPr="00F30518">
        <w:rPr>
          <w:rFonts w:cs="Arial"/>
          <w:color w:val="000000" w:themeColor="text1"/>
        </w:rPr>
        <w:t>20</w:t>
      </w:r>
      <w:r w:rsidR="00EA5E10">
        <w:rPr>
          <w:rFonts w:cs="Arial"/>
          <w:color w:val="000000" w:themeColor="text1"/>
        </w:rPr>
        <w:t>12</w:t>
      </w:r>
      <w:r w:rsidR="008E2CAB" w:rsidRPr="00F30518">
        <w:rPr>
          <w:rFonts w:cs="Arial"/>
          <w:color w:val="000000" w:themeColor="text1"/>
        </w:rPr>
        <w:t xml:space="preserve">, Turner </w:t>
      </w:r>
      <w:r w:rsidR="008E2CAB" w:rsidRPr="00051C52">
        <w:rPr>
          <w:rFonts w:cs="Arial"/>
          <w:i/>
          <w:color w:val="000000" w:themeColor="text1"/>
        </w:rPr>
        <w:t>et al.</w:t>
      </w:r>
      <w:r w:rsidR="008E2CAB" w:rsidRPr="00F30518">
        <w:rPr>
          <w:rFonts w:cs="Arial"/>
          <w:color w:val="000000" w:themeColor="text1"/>
        </w:rPr>
        <w:t xml:space="preserve"> 2011, 2012, Wallace </w:t>
      </w:r>
      <w:r w:rsidR="008E2CAB" w:rsidRPr="00051C52">
        <w:rPr>
          <w:rFonts w:cs="Arial"/>
          <w:i/>
          <w:color w:val="000000" w:themeColor="text1"/>
        </w:rPr>
        <w:t>et al.</w:t>
      </w:r>
      <w:r w:rsidR="008E2CAB" w:rsidRPr="00F30518">
        <w:rPr>
          <w:rFonts w:cs="Arial"/>
          <w:color w:val="000000" w:themeColor="text1"/>
        </w:rPr>
        <w:t xml:space="preserve"> 2014, 2015, Garzon-Garcia </w:t>
      </w:r>
      <w:r w:rsidR="008E2CAB" w:rsidRPr="00051C52">
        <w:rPr>
          <w:rFonts w:cs="Arial"/>
          <w:i/>
          <w:color w:val="000000" w:themeColor="text1"/>
        </w:rPr>
        <w:t>et al.</w:t>
      </w:r>
      <w:r w:rsidR="008E2CAB" w:rsidRPr="00F30518">
        <w:rPr>
          <w:rFonts w:cs="Arial"/>
          <w:color w:val="000000" w:themeColor="text1"/>
        </w:rPr>
        <w:t xml:space="preserve"> 2015) </w:t>
      </w:r>
      <w:r w:rsidR="008E2CAB">
        <w:rPr>
          <w:rFonts w:cs="Arial"/>
          <w:color w:val="000000" w:themeColor="text1"/>
        </w:rPr>
        <w:t xml:space="preserve">has </w:t>
      </w:r>
      <w:r w:rsidR="000C1EF8">
        <w:rPr>
          <w:rFonts w:cs="Arial"/>
          <w:color w:val="000000" w:themeColor="text1"/>
        </w:rPr>
        <w:t xml:space="preserve">however </w:t>
      </w:r>
      <w:r w:rsidR="008E2CAB">
        <w:rPr>
          <w:rFonts w:cs="Arial"/>
          <w:color w:val="000000" w:themeColor="text1"/>
        </w:rPr>
        <w:t xml:space="preserve">not been closely linked to </w:t>
      </w:r>
      <w:r w:rsidR="008E2CAB" w:rsidRPr="00F30518">
        <w:rPr>
          <w:rFonts w:cs="Arial"/>
          <w:color w:val="000000" w:themeColor="text1"/>
        </w:rPr>
        <w:t>variability in marine water quality</w:t>
      </w:r>
      <w:r w:rsidR="008E2CAB">
        <w:rPr>
          <w:rFonts w:cs="Arial"/>
          <w:color w:val="000000" w:themeColor="text1"/>
        </w:rPr>
        <w:t xml:space="preserve"> conditions as measured by the M</w:t>
      </w:r>
      <w:r>
        <w:rPr>
          <w:rFonts w:cs="Arial"/>
          <w:color w:val="000000" w:themeColor="text1"/>
        </w:rPr>
        <w:t xml:space="preserve">MP in-situ monitoring program. </w:t>
      </w:r>
      <w:r w:rsidR="008E2CAB">
        <w:rPr>
          <w:rFonts w:cs="Arial"/>
          <w:color w:val="000000" w:themeColor="text1"/>
        </w:rPr>
        <w:t xml:space="preserve">This </w:t>
      </w:r>
      <w:r w:rsidR="008E2CAB" w:rsidRPr="00F30518">
        <w:rPr>
          <w:rFonts w:cs="Arial"/>
          <w:color w:val="000000" w:themeColor="text1"/>
        </w:rPr>
        <w:t xml:space="preserve">is not </w:t>
      </w:r>
      <w:r w:rsidR="008E2CAB">
        <w:rPr>
          <w:rFonts w:cs="Arial"/>
          <w:color w:val="000000" w:themeColor="text1"/>
        </w:rPr>
        <w:t xml:space="preserve">unexpected </w:t>
      </w:r>
      <w:r w:rsidR="008E2CAB" w:rsidRPr="00F30518">
        <w:rPr>
          <w:rFonts w:cs="Arial"/>
          <w:color w:val="000000" w:themeColor="text1"/>
        </w:rPr>
        <w:t xml:space="preserve">given the </w:t>
      </w:r>
      <w:r w:rsidR="008E2CAB">
        <w:rPr>
          <w:rFonts w:cs="Arial"/>
          <w:color w:val="000000" w:themeColor="text1"/>
        </w:rPr>
        <w:t xml:space="preserve">complexity of nutrient cycling that occurs in marine waters, dilution of plumes, and the necessarily sparse </w:t>
      </w:r>
      <w:r w:rsidRPr="00015475">
        <w:rPr>
          <w:rFonts w:cs="Arial"/>
          <w:i/>
          <w:color w:val="000000" w:themeColor="text1"/>
        </w:rPr>
        <w:t>in situ</w:t>
      </w:r>
      <w:r>
        <w:rPr>
          <w:rFonts w:cs="Arial"/>
          <w:color w:val="000000" w:themeColor="text1"/>
        </w:rPr>
        <w:t xml:space="preserve"> </w:t>
      </w:r>
      <w:r w:rsidR="008E2CAB">
        <w:rPr>
          <w:rFonts w:cs="Arial"/>
          <w:color w:val="000000" w:themeColor="text1"/>
        </w:rPr>
        <w:t>sampling regime of the long-term wat</w:t>
      </w:r>
      <w:r>
        <w:rPr>
          <w:rFonts w:cs="Arial"/>
          <w:color w:val="000000" w:themeColor="text1"/>
        </w:rPr>
        <w:t>er quality monitoring program. It</w:t>
      </w:r>
      <w:r w:rsidR="008E2CAB" w:rsidRPr="00F30518">
        <w:rPr>
          <w:rFonts w:cs="Arial"/>
          <w:color w:val="000000" w:themeColor="text1"/>
        </w:rPr>
        <w:t xml:space="preserve"> is evident from marine water quality</w:t>
      </w:r>
      <w:r w:rsidR="008E2CAB">
        <w:rPr>
          <w:rFonts w:cs="Arial"/>
          <w:color w:val="000000" w:themeColor="text1"/>
        </w:rPr>
        <w:t xml:space="preserve"> time-series </w:t>
      </w:r>
      <w:r w:rsidR="008E2CAB" w:rsidRPr="00F30518">
        <w:rPr>
          <w:rFonts w:cs="Arial"/>
          <w:color w:val="000000" w:themeColor="text1"/>
        </w:rPr>
        <w:t xml:space="preserve">that the period of high discharge into the Reef </w:t>
      </w:r>
      <w:r w:rsidR="00127227">
        <w:rPr>
          <w:rFonts w:cs="Arial"/>
          <w:color w:val="000000" w:themeColor="text1"/>
        </w:rPr>
        <w:t>(</w:t>
      </w:r>
      <w:r w:rsidR="008E2CAB" w:rsidRPr="00F30518">
        <w:rPr>
          <w:rFonts w:cs="Arial"/>
          <w:color w:val="000000" w:themeColor="text1"/>
        </w:rPr>
        <w:t>2008-2013</w:t>
      </w:r>
      <w:r w:rsidR="00127227">
        <w:rPr>
          <w:rFonts w:cs="Arial"/>
          <w:color w:val="000000" w:themeColor="text1"/>
        </w:rPr>
        <w:t>)</w:t>
      </w:r>
      <w:r w:rsidR="008E2CAB" w:rsidRPr="00F30518">
        <w:rPr>
          <w:rFonts w:cs="Arial"/>
          <w:color w:val="000000" w:themeColor="text1"/>
        </w:rPr>
        <w:t xml:space="preserve"> has resulted in a general increase in turbidity, </w:t>
      </w:r>
      <w:r w:rsidR="008E2CAB">
        <w:rPr>
          <w:rFonts w:cs="Arial"/>
          <w:color w:val="000000" w:themeColor="text1"/>
        </w:rPr>
        <w:t>oxidise</w:t>
      </w:r>
      <w:r>
        <w:rPr>
          <w:rFonts w:cs="Arial"/>
          <w:color w:val="000000" w:themeColor="text1"/>
        </w:rPr>
        <w:t>d</w:t>
      </w:r>
      <w:r w:rsidR="008E2CAB">
        <w:rPr>
          <w:rFonts w:cs="Arial"/>
          <w:color w:val="000000" w:themeColor="text1"/>
        </w:rPr>
        <w:t xml:space="preserve"> forms of </w:t>
      </w:r>
      <w:r>
        <w:rPr>
          <w:rFonts w:cs="Arial"/>
          <w:color w:val="000000" w:themeColor="text1"/>
        </w:rPr>
        <w:t xml:space="preserve">dissolved </w:t>
      </w:r>
      <w:r w:rsidR="008E2CAB">
        <w:rPr>
          <w:rFonts w:cs="Arial"/>
          <w:color w:val="000000" w:themeColor="text1"/>
        </w:rPr>
        <w:t>nitrogen (</w:t>
      </w:r>
      <w:r w:rsidR="008E2CAB" w:rsidRPr="00F30518">
        <w:rPr>
          <w:rFonts w:cs="Arial"/>
          <w:color w:val="000000" w:themeColor="text1"/>
        </w:rPr>
        <w:t>NOx</w:t>
      </w:r>
      <w:r w:rsidR="008E2CAB">
        <w:rPr>
          <w:rFonts w:cs="Arial"/>
          <w:color w:val="000000" w:themeColor="text1"/>
        </w:rPr>
        <w:t>)</w:t>
      </w:r>
      <w:r w:rsidR="008E2CAB" w:rsidRPr="00F30518">
        <w:rPr>
          <w:rFonts w:cs="Arial"/>
          <w:color w:val="000000" w:themeColor="text1"/>
        </w:rPr>
        <w:t xml:space="preserve"> and dissolved organic carbon </w:t>
      </w:r>
      <w:r w:rsidR="008E2CAB">
        <w:rPr>
          <w:rFonts w:cs="Arial"/>
          <w:color w:val="000000" w:themeColor="text1"/>
        </w:rPr>
        <w:t xml:space="preserve">(DOC) </w:t>
      </w:r>
      <w:r w:rsidR="008E2CAB" w:rsidRPr="00F30518">
        <w:rPr>
          <w:rFonts w:cs="Arial"/>
          <w:color w:val="000000" w:themeColor="text1"/>
        </w:rPr>
        <w:t xml:space="preserve">that </w:t>
      </w:r>
      <w:r w:rsidR="000C1EF8" w:rsidRPr="00F30518">
        <w:rPr>
          <w:rFonts w:cs="Arial"/>
          <w:color w:val="000000" w:themeColor="text1"/>
        </w:rPr>
        <w:t>ha</w:t>
      </w:r>
      <w:r w:rsidR="000C1EF8">
        <w:rPr>
          <w:rFonts w:cs="Arial"/>
          <w:color w:val="000000" w:themeColor="text1"/>
        </w:rPr>
        <w:t>ve</w:t>
      </w:r>
      <w:r w:rsidR="000C1EF8" w:rsidRPr="00F30518">
        <w:rPr>
          <w:rFonts w:cs="Arial"/>
          <w:color w:val="000000" w:themeColor="text1"/>
        </w:rPr>
        <w:t xml:space="preserve"> </w:t>
      </w:r>
      <w:r w:rsidR="008E2CAB" w:rsidRPr="00F30518">
        <w:rPr>
          <w:rFonts w:cs="Arial"/>
          <w:color w:val="000000" w:themeColor="text1"/>
        </w:rPr>
        <w:t>persisted through to 2015</w:t>
      </w:r>
      <w:r>
        <w:rPr>
          <w:rFonts w:cs="Arial"/>
          <w:color w:val="000000" w:themeColor="text1"/>
        </w:rPr>
        <w:t>. These</w:t>
      </w:r>
      <w:r w:rsidR="008E2CAB">
        <w:rPr>
          <w:rFonts w:cs="Arial"/>
          <w:color w:val="000000" w:themeColor="text1"/>
        </w:rPr>
        <w:t xml:space="preserve"> observations </w:t>
      </w:r>
      <w:r>
        <w:rPr>
          <w:rFonts w:cs="Arial"/>
          <w:color w:val="000000" w:themeColor="text1"/>
        </w:rPr>
        <w:t>suggest</w:t>
      </w:r>
      <w:r w:rsidR="008E2CAB">
        <w:rPr>
          <w:rFonts w:cs="Arial"/>
          <w:color w:val="000000" w:themeColor="text1"/>
        </w:rPr>
        <w:t xml:space="preserve"> that </w:t>
      </w:r>
      <w:r w:rsidR="008E2CAB">
        <w:rPr>
          <w:rFonts w:cs="Arial"/>
          <w:color w:val="000000" w:themeColor="text1"/>
          <w:lang w:eastAsia="en-AU"/>
        </w:rPr>
        <w:t xml:space="preserve">the carbon and nutrient cycling processes </w:t>
      </w:r>
      <w:r w:rsidR="008E2CAB" w:rsidRPr="00F30518">
        <w:rPr>
          <w:rFonts w:cs="Arial"/>
          <w:color w:val="000000" w:themeColor="text1"/>
          <w:lang w:eastAsia="en-AU"/>
        </w:rPr>
        <w:t>in the Reef lagoon have undergone dramatic changes</w:t>
      </w:r>
      <w:r w:rsidR="008E2CAB">
        <w:rPr>
          <w:rFonts w:cs="Arial"/>
          <w:color w:val="000000" w:themeColor="text1"/>
          <w:lang w:eastAsia="en-AU"/>
        </w:rPr>
        <w:t xml:space="preserve"> (Lønborg </w:t>
      </w:r>
      <w:r w:rsidR="008E2CAB" w:rsidRPr="009E0985">
        <w:rPr>
          <w:rFonts w:cs="Arial"/>
          <w:i/>
          <w:color w:val="000000" w:themeColor="text1"/>
          <w:lang w:eastAsia="en-AU"/>
        </w:rPr>
        <w:t>et al.</w:t>
      </w:r>
      <w:r w:rsidR="008E2CAB">
        <w:rPr>
          <w:rFonts w:cs="Arial"/>
          <w:color w:val="000000" w:themeColor="text1"/>
          <w:lang w:eastAsia="en-AU"/>
        </w:rPr>
        <w:t xml:space="preserve"> </w:t>
      </w:r>
      <w:r w:rsidR="008E6F11">
        <w:rPr>
          <w:rFonts w:cs="Arial"/>
          <w:color w:val="000000" w:themeColor="text1"/>
          <w:lang w:eastAsia="en-AU"/>
        </w:rPr>
        <w:t>2015</w:t>
      </w:r>
      <w:r w:rsidR="008E2CAB">
        <w:rPr>
          <w:rFonts w:cs="Arial"/>
          <w:color w:val="000000" w:themeColor="text1"/>
          <w:lang w:eastAsia="en-AU"/>
        </w:rPr>
        <w:t>)</w:t>
      </w:r>
      <w:r w:rsidR="008E2CAB" w:rsidRPr="00F30518">
        <w:rPr>
          <w:rFonts w:cs="Arial"/>
          <w:color w:val="000000" w:themeColor="text1"/>
          <w:lang w:eastAsia="en-AU"/>
        </w:rPr>
        <w:t>.</w:t>
      </w:r>
      <w:r w:rsidR="008E2CAB">
        <w:rPr>
          <w:rFonts w:cs="Arial"/>
          <w:color w:val="000000" w:themeColor="text1"/>
          <w:lang w:eastAsia="en-AU"/>
        </w:rPr>
        <w:t xml:space="preserve"> </w:t>
      </w:r>
      <w:r w:rsidR="008E2CAB" w:rsidRPr="003E4D39">
        <w:rPr>
          <w:rFonts w:cs="Arial"/>
          <w:color w:val="000000" w:themeColor="text1"/>
          <w:lang w:eastAsia="en-AU"/>
        </w:rPr>
        <w:t>T</w:t>
      </w:r>
      <w:r w:rsidR="008E2CAB" w:rsidRPr="003E4D39">
        <w:rPr>
          <w:rFonts w:cs="Arial"/>
          <w:color w:val="000000" w:themeColor="text1"/>
        </w:rPr>
        <w:t xml:space="preserve">urbidity in the Reef lagoon is strongly influenced by variations in the inflow of particles from the catchment and resuspension by wind, currents and tides. The trends emerging from the MMP support </w:t>
      </w:r>
      <w:r w:rsidR="00033CE3">
        <w:rPr>
          <w:rFonts w:cs="Arial"/>
          <w:color w:val="000000" w:themeColor="text1"/>
        </w:rPr>
        <w:t>other studies showing that</w:t>
      </w:r>
      <w:r w:rsidR="008E2CAB" w:rsidRPr="003E4D39">
        <w:rPr>
          <w:rFonts w:cs="Arial"/>
          <w:color w:val="000000" w:themeColor="text1"/>
        </w:rPr>
        <w:t xml:space="preserve"> the additional flux of fine sediment imported by rivers remain</w:t>
      </w:r>
      <w:r w:rsidR="00033CE3">
        <w:rPr>
          <w:rFonts w:cs="Arial"/>
          <w:color w:val="000000" w:themeColor="text1"/>
        </w:rPr>
        <w:t>s</w:t>
      </w:r>
      <w:r w:rsidR="008E2CAB" w:rsidRPr="003E4D39">
        <w:rPr>
          <w:rFonts w:cs="Arial"/>
          <w:color w:val="000000" w:themeColor="text1"/>
        </w:rPr>
        <w:t xml:space="preserve"> in the coastal zone for periods of months to years leading to chronically elevated turbidity and rates of sedimentation (Wolanski </w:t>
      </w:r>
      <w:r w:rsidR="008E2CAB" w:rsidRPr="003E4D39">
        <w:rPr>
          <w:rFonts w:cs="Arial"/>
          <w:i/>
          <w:color w:val="000000" w:themeColor="text1"/>
        </w:rPr>
        <w:t>et al.</w:t>
      </w:r>
      <w:r w:rsidR="008E2CAB" w:rsidRPr="003E4D39">
        <w:rPr>
          <w:rFonts w:cs="Arial"/>
          <w:color w:val="000000" w:themeColor="text1"/>
        </w:rPr>
        <w:t xml:space="preserve"> 2008, Lambrechts </w:t>
      </w:r>
      <w:r w:rsidR="008E2CAB" w:rsidRPr="003E4D39">
        <w:rPr>
          <w:rFonts w:cs="Arial"/>
          <w:i/>
          <w:color w:val="000000" w:themeColor="text1"/>
        </w:rPr>
        <w:t>et al.</w:t>
      </w:r>
      <w:r w:rsidR="008E2CAB" w:rsidRPr="003E4D39">
        <w:rPr>
          <w:rFonts w:cs="Arial"/>
          <w:color w:val="000000" w:themeColor="text1"/>
        </w:rPr>
        <w:t xml:space="preserve"> 2010, Brodie </w:t>
      </w:r>
      <w:r w:rsidR="008E2CAB" w:rsidRPr="003E4D39">
        <w:rPr>
          <w:rFonts w:cs="Arial"/>
          <w:i/>
          <w:color w:val="000000" w:themeColor="text1"/>
        </w:rPr>
        <w:t>et al</w:t>
      </w:r>
      <w:r w:rsidR="00A63E90">
        <w:rPr>
          <w:rFonts w:cs="Arial"/>
          <w:color w:val="000000" w:themeColor="text1"/>
        </w:rPr>
        <w:t>. 2012a</w:t>
      </w:r>
      <w:r w:rsidR="008E2CAB" w:rsidRPr="003E4D39">
        <w:rPr>
          <w:rFonts w:cs="Arial"/>
          <w:color w:val="000000" w:themeColor="text1"/>
        </w:rPr>
        <w:t xml:space="preserve">, Thompson </w:t>
      </w:r>
      <w:r w:rsidR="008E2CAB" w:rsidRPr="003E4D39">
        <w:rPr>
          <w:rFonts w:cs="Arial"/>
          <w:i/>
          <w:color w:val="000000" w:themeColor="text1"/>
        </w:rPr>
        <w:t>et al.</w:t>
      </w:r>
      <w:r w:rsidR="008E2CAB" w:rsidRPr="003E4D39">
        <w:rPr>
          <w:rFonts w:cs="Arial"/>
          <w:color w:val="000000" w:themeColor="text1"/>
        </w:rPr>
        <w:t xml:space="preserve"> 2012, Fabricius </w:t>
      </w:r>
      <w:r w:rsidR="008E2CAB" w:rsidRPr="003E4D39">
        <w:rPr>
          <w:rFonts w:cs="Arial"/>
          <w:i/>
          <w:color w:val="000000" w:themeColor="text1"/>
        </w:rPr>
        <w:t>et al.</w:t>
      </w:r>
      <w:r w:rsidR="008E2CAB" w:rsidRPr="003E4D39">
        <w:rPr>
          <w:rFonts w:cs="Arial"/>
          <w:color w:val="000000" w:themeColor="text1"/>
        </w:rPr>
        <w:t xml:space="preserve"> 2013a, Fabricius </w:t>
      </w:r>
      <w:r w:rsidR="008E2CAB" w:rsidRPr="003E4D39">
        <w:rPr>
          <w:rFonts w:cs="Arial"/>
          <w:i/>
          <w:color w:val="000000" w:themeColor="text1"/>
        </w:rPr>
        <w:t>et al.</w:t>
      </w:r>
      <w:r w:rsidR="008E2CAB" w:rsidRPr="003E4D39">
        <w:rPr>
          <w:rFonts w:cs="Arial"/>
          <w:color w:val="000000" w:themeColor="text1"/>
        </w:rPr>
        <w:t xml:space="preserve"> 2014</w:t>
      </w:r>
      <w:r w:rsidR="00DD6E15">
        <w:rPr>
          <w:rFonts w:cs="Arial"/>
          <w:color w:val="000000" w:themeColor="text1"/>
        </w:rPr>
        <w:t xml:space="preserve">, </w:t>
      </w:r>
      <w:r w:rsidR="00D448A4">
        <w:rPr>
          <w:rFonts w:cs="Arial"/>
          <w:color w:val="000000" w:themeColor="text1"/>
        </w:rPr>
        <w:t xml:space="preserve">Fabricius </w:t>
      </w:r>
      <w:r w:rsidR="00DD6E15" w:rsidRPr="00DD6E15">
        <w:rPr>
          <w:rFonts w:cs="Arial"/>
          <w:i/>
          <w:color w:val="000000" w:themeColor="text1"/>
        </w:rPr>
        <w:t>et al.</w:t>
      </w:r>
      <w:r w:rsidR="00DD6E15">
        <w:rPr>
          <w:rFonts w:cs="Arial"/>
          <w:color w:val="000000" w:themeColor="text1"/>
        </w:rPr>
        <w:t xml:space="preserve"> </w:t>
      </w:r>
      <w:r w:rsidR="00D448A4">
        <w:rPr>
          <w:rFonts w:cs="Arial"/>
          <w:color w:val="000000" w:themeColor="text1"/>
        </w:rPr>
        <w:t>2016</w:t>
      </w:r>
      <w:r w:rsidR="008E2CAB" w:rsidRPr="003E4D39">
        <w:rPr>
          <w:rFonts w:cs="Arial"/>
          <w:color w:val="000000" w:themeColor="text1"/>
        </w:rPr>
        <w:t xml:space="preserve">). </w:t>
      </w:r>
      <w:r w:rsidR="00B06C1B">
        <w:rPr>
          <w:rFonts w:cs="Arial"/>
          <w:color w:val="000000" w:themeColor="text1"/>
        </w:rPr>
        <w:t>Any increase in turbidity associated with runoff will reduce the level of photosynthetically reactive radiation reaching the benthos</w:t>
      </w:r>
      <w:r w:rsidR="000C1EF8">
        <w:rPr>
          <w:rFonts w:cs="Arial"/>
          <w:color w:val="000000" w:themeColor="text1"/>
        </w:rPr>
        <w:t xml:space="preserve"> - a</w:t>
      </w:r>
      <w:r w:rsidR="00B06C1B">
        <w:rPr>
          <w:rFonts w:cs="Arial"/>
          <w:color w:val="000000" w:themeColor="text1"/>
        </w:rPr>
        <w:t xml:space="preserve"> key </w:t>
      </w:r>
      <w:r w:rsidR="002F28C0">
        <w:rPr>
          <w:rFonts w:cs="Arial"/>
          <w:color w:val="000000" w:themeColor="text1"/>
        </w:rPr>
        <w:t xml:space="preserve">factor </w:t>
      </w:r>
      <w:r w:rsidR="00B06C1B">
        <w:rPr>
          <w:rFonts w:cs="Arial"/>
          <w:color w:val="000000" w:themeColor="text1"/>
        </w:rPr>
        <w:t xml:space="preserve">limiting coral distribution (Cooper </w:t>
      </w:r>
      <w:r w:rsidR="00B06C1B" w:rsidRPr="00297927">
        <w:rPr>
          <w:rFonts w:cs="Arial"/>
          <w:i/>
          <w:color w:val="000000" w:themeColor="text1"/>
        </w:rPr>
        <w:t>et al.</w:t>
      </w:r>
      <w:r w:rsidR="00B06C1B">
        <w:rPr>
          <w:rFonts w:cs="Arial"/>
          <w:color w:val="000000" w:themeColor="text1"/>
        </w:rPr>
        <w:t xml:space="preserve"> 2007, Muir </w:t>
      </w:r>
      <w:r w:rsidR="00B06C1B" w:rsidRPr="00297927">
        <w:rPr>
          <w:rFonts w:cs="Arial"/>
          <w:i/>
          <w:color w:val="000000" w:themeColor="text1"/>
        </w:rPr>
        <w:t>et al</w:t>
      </w:r>
      <w:r w:rsidR="00B06C1B">
        <w:rPr>
          <w:rFonts w:cs="Arial"/>
          <w:i/>
          <w:color w:val="000000" w:themeColor="text1"/>
        </w:rPr>
        <w:t>.</w:t>
      </w:r>
      <w:r w:rsidR="00B06C1B">
        <w:rPr>
          <w:rFonts w:cs="Arial"/>
          <w:color w:val="000000" w:themeColor="text1"/>
        </w:rPr>
        <w:t xml:space="preserve"> 2015). </w:t>
      </w:r>
    </w:p>
    <w:p w14:paraId="4EA15A2B" w14:textId="77777777" w:rsidR="008E2CAB" w:rsidRPr="00F30518" w:rsidRDefault="008E2CAB" w:rsidP="008E2CAB">
      <w:pPr>
        <w:rPr>
          <w:rFonts w:cs="Arial"/>
          <w:color w:val="0070C0"/>
        </w:rPr>
      </w:pPr>
    </w:p>
    <w:p w14:paraId="1F0CF0CD" w14:textId="77777777" w:rsidR="008E2CAB" w:rsidRPr="0007661E" w:rsidRDefault="005853B6" w:rsidP="008E2CAB">
      <w:pPr>
        <w:pStyle w:val="Heading2"/>
      </w:pPr>
      <w:bookmarkStart w:id="395" w:name="_Toc460490678"/>
      <w:r>
        <w:lastRenderedPageBreak/>
        <w:t>Ecosystem State</w:t>
      </w:r>
      <w:bookmarkEnd w:id="395"/>
    </w:p>
    <w:p w14:paraId="4E7E9F65" w14:textId="77777777" w:rsidR="008E2CAB" w:rsidRPr="0007661E" w:rsidRDefault="008E2CAB" w:rsidP="00E56CF1">
      <w:pPr>
        <w:pStyle w:val="Heading4"/>
      </w:pPr>
      <w:r w:rsidRPr="0007661E">
        <w:t>Coral cover</w:t>
      </w:r>
    </w:p>
    <w:p w14:paraId="6AB5C4FF" w14:textId="77777777" w:rsidR="008E2CAB" w:rsidRPr="0007661E" w:rsidRDefault="008E2CAB" w:rsidP="008E2CAB">
      <w:pPr>
        <w:rPr>
          <w:rFonts w:cs="Arial"/>
          <w:color w:val="000000" w:themeColor="text1"/>
        </w:rPr>
      </w:pPr>
      <w:r w:rsidRPr="0007661E">
        <w:rPr>
          <w:rFonts w:cs="Arial"/>
          <w:color w:val="000000" w:themeColor="text1"/>
        </w:rPr>
        <w:t xml:space="preserve">For corals to persist in a location requires that they are able to survive extremes in environmental conditions but also maintain a competitive ability </w:t>
      </w:r>
      <w:r w:rsidR="00B06C1B">
        <w:rPr>
          <w:rFonts w:cs="Arial"/>
          <w:color w:val="000000" w:themeColor="text1"/>
        </w:rPr>
        <w:t>under ambient</w:t>
      </w:r>
      <w:r w:rsidRPr="0007661E">
        <w:rPr>
          <w:rFonts w:cs="Arial"/>
          <w:color w:val="000000" w:themeColor="text1"/>
        </w:rPr>
        <w:t xml:space="preserve"> conditions. Although the coral cover metric is strongly influenced by disturbance events, </w:t>
      </w:r>
      <w:r w:rsidR="00172C37" w:rsidRPr="0007661E">
        <w:rPr>
          <w:rFonts w:cs="Arial"/>
          <w:color w:val="000000" w:themeColor="text1"/>
        </w:rPr>
        <w:t>lo</w:t>
      </w:r>
      <w:r w:rsidR="00172C37">
        <w:rPr>
          <w:rFonts w:cs="Arial"/>
          <w:color w:val="000000" w:themeColor="text1"/>
        </w:rPr>
        <w:t>w</w:t>
      </w:r>
      <w:r w:rsidR="00172C37" w:rsidRPr="0007661E">
        <w:rPr>
          <w:rFonts w:cs="Arial"/>
          <w:color w:val="000000" w:themeColor="text1"/>
        </w:rPr>
        <w:t xml:space="preserve"> </w:t>
      </w:r>
      <w:r w:rsidRPr="0007661E">
        <w:rPr>
          <w:rFonts w:cs="Arial"/>
          <w:color w:val="000000" w:themeColor="text1"/>
        </w:rPr>
        <w:t xml:space="preserve">cover as a response to water quality pressures can also be inferred. COTS outbreaks </w:t>
      </w:r>
      <w:r w:rsidR="0083201C">
        <w:rPr>
          <w:rFonts w:cs="Arial"/>
          <w:color w:val="000000" w:themeColor="text1"/>
        </w:rPr>
        <w:t xml:space="preserve">at several inshore reefs in the Wet Tropics Region have resulted in a loss of coral cover with COTS being recognised as </w:t>
      </w:r>
      <w:r w:rsidRPr="0007661E">
        <w:rPr>
          <w:rFonts w:cs="Arial"/>
          <w:color w:val="000000" w:themeColor="text1"/>
        </w:rPr>
        <w:t xml:space="preserve">a major contributor to loss of coral cover in midshelf areas of the Reef </w:t>
      </w:r>
      <w:r w:rsidR="0083201C">
        <w:rPr>
          <w:rFonts w:cs="Arial"/>
          <w:color w:val="000000" w:themeColor="text1"/>
        </w:rPr>
        <w:t xml:space="preserve">also </w:t>
      </w:r>
      <w:r w:rsidRPr="0007661E">
        <w:rPr>
          <w:rFonts w:cs="Arial"/>
          <w:color w:val="000000" w:themeColor="text1"/>
        </w:rPr>
        <w:t xml:space="preserve">(Osborne </w:t>
      </w:r>
      <w:r w:rsidRPr="0007661E">
        <w:rPr>
          <w:rFonts w:cs="Arial"/>
          <w:i/>
          <w:color w:val="000000" w:themeColor="text1"/>
        </w:rPr>
        <w:t>et al.</w:t>
      </w:r>
      <w:r w:rsidRPr="0007661E">
        <w:rPr>
          <w:rFonts w:cs="Arial"/>
          <w:color w:val="000000" w:themeColor="text1"/>
        </w:rPr>
        <w:t xml:space="preserve"> 2011, De’ath </w:t>
      </w:r>
      <w:r w:rsidRPr="0007661E">
        <w:rPr>
          <w:rFonts w:cs="Arial"/>
          <w:i/>
          <w:color w:val="000000" w:themeColor="text1"/>
        </w:rPr>
        <w:t>et al.</w:t>
      </w:r>
      <w:r w:rsidR="001B5FC9">
        <w:rPr>
          <w:rFonts w:cs="Arial"/>
          <w:color w:val="000000" w:themeColor="text1"/>
        </w:rPr>
        <w:t xml:space="preserve"> 2012). T</w:t>
      </w:r>
      <w:r w:rsidRPr="0007661E">
        <w:rPr>
          <w:rFonts w:cs="Arial"/>
          <w:color w:val="000000" w:themeColor="text1"/>
        </w:rPr>
        <w:t xml:space="preserve">he transport of coastal nutrients to the midshelf Reef has been </w:t>
      </w:r>
      <w:r w:rsidR="001B5FC9">
        <w:rPr>
          <w:rFonts w:cs="Arial"/>
          <w:color w:val="000000" w:themeColor="text1"/>
        </w:rPr>
        <w:t xml:space="preserve">associated with </w:t>
      </w:r>
      <w:r w:rsidRPr="0007661E">
        <w:rPr>
          <w:rFonts w:cs="Arial"/>
          <w:color w:val="000000" w:themeColor="text1"/>
        </w:rPr>
        <w:t xml:space="preserve">the initiation of COTS outbreaks (Brodie </w:t>
      </w:r>
      <w:r w:rsidRPr="0007661E">
        <w:rPr>
          <w:rFonts w:cs="Arial"/>
          <w:i/>
          <w:color w:val="000000" w:themeColor="text1"/>
        </w:rPr>
        <w:t>et al.</w:t>
      </w:r>
      <w:r w:rsidRPr="0007661E">
        <w:rPr>
          <w:rFonts w:cs="Arial"/>
          <w:color w:val="000000" w:themeColor="text1"/>
        </w:rPr>
        <w:t xml:space="preserve"> 2005, Fabricius </w:t>
      </w:r>
      <w:r w:rsidRPr="00051C52">
        <w:rPr>
          <w:rFonts w:cs="Arial"/>
          <w:i/>
          <w:color w:val="000000" w:themeColor="text1"/>
        </w:rPr>
        <w:t>et al.</w:t>
      </w:r>
      <w:r w:rsidRPr="0007661E">
        <w:rPr>
          <w:rFonts w:cs="Arial"/>
          <w:color w:val="000000" w:themeColor="text1"/>
        </w:rPr>
        <w:t xml:space="preserve"> 2010, </w:t>
      </w:r>
      <w:proofErr w:type="gramStart"/>
      <w:r w:rsidR="00DD6E15">
        <w:rPr>
          <w:rFonts w:cs="Arial"/>
          <w:color w:val="000000" w:themeColor="text1"/>
        </w:rPr>
        <w:t>Furnas</w:t>
      </w:r>
      <w:proofErr w:type="gramEnd"/>
      <w:r w:rsidR="00DD6E15">
        <w:rPr>
          <w:rFonts w:cs="Arial"/>
          <w:color w:val="000000" w:themeColor="text1"/>
        </w:rPr>
        <w:t xml:space="preserve"> </w:t>
      </w:r>
      <w:r w:rsidR="00DD6E15" w:rsidRPr="00DD6E15">
        <w:rPr>
          <w:rFonts w:cs="Arial"/>
          <w:i/>
          <w:color w:val="000000" w:themeColor="text1"/>
        </w:rPr>
        <w:t>et al.</w:t>
      </w:r>
      <w:r w:rsidR="00DD6E15">
        <w:rPr>
          <w:rFonts w:cs="Arial"/>
          <w:color w:val="000000" w:themeColor="text1"/>
        </w:rPr>
        <w:t xml:space="preserve"> 2013</w:t>
      </w:r>
      <w:r w:rsidR="000B42CD">
        <w:rPr>
          <w:rFonts w:cs="Arial"/>
          <w:color w:val="000000" w:themeColor="text1"/>
        </w:rPr>
        <w:t>, Wooldridge &amp; Brodie 2015</w:t>
      </w:r>
      <w:r w:rsidRPr="0007661E">
        <w:rPr>
          <w:rFonts w:cs="Arial"/>
          <w:color w:val="000000" w:themeColor="text1"/>
        </w:rPr>
        <w:t xml:space="preserve">). </w:t>
      </w:r>
      <w:r w:rsidR="00172C37">
        <w:rPr>
          <w:rFonts w:cs="Arial"/>
          <w:color w:val="000000" w:themeColor="text1"/>
        </w:rPr>
        <w:t>Additionally, there are number of reefs monitored at which coral cover has remained low and not increased during periods free from acute disturbance events. The majority of these reefs have had a persistent cover of macroalgae strongly implying an environmental suppression of coral cover to recover</w:t>
      </w:r>
      <w:r w:rsidR="00BF3F4D">
        <w:rPr>
          <w:rFonts w:cs="Arial"/>
          <w:color w:val="000000" w:themeColor="text1"/>
        </w:rPr>
        <w:t>y</w:t>
      </w:r>
      <w:r w:rsidR="00172C37">
        <w:rPr>
          <w:rFonts w:cs="Arial"/>
          <w:color w:val="000000" w:themeColor="text1"/>
        </w:rPr>
        <w:t xml:space="preserve">.  </w:t>
      </w:r>
      <w:r w:rsidR="00BF3F4D">
        <w:rPr>
          <w:rFonts w:cs="Arial"/>
          <w:color w:val="000000" w:themeColor="text1"/>
        </w:rPr>
        <w:t>High turbidity and / or n</w:t>
      </w:r>
      <w:r w:rsidR="00172C37">
        <w:rPr>
          <w:rFonts w:cs="Arial"/>
          <w:color w:val="000000" w:themeColor="text1"/>
        </w:rPr>
        <w:t xml:space="preserve">utrient levels do not however preclude high cover of corals on inshore reefs. In the </w:t>
      </w:r>
      <w:r w:rsidR="00BF3F4D">
        <w:rPr>
          <w:rFonts w:cs="Arial"/>
          <w:color w:val="000000" w:themeColor="text1"/>
        </w:rPr>
        <w:t xml:space="preserve">Mackay </w:t>
      </w:r>
      <w:r w:rsidR="00172C37">
        <w:rPr>
          <w:rFonts w:cs="Arial"/>
          <w:color w:val="000000" w:themeColor="text1"/>
        </w:rPr>
        <w:t>Whitsunday Region</w:t>
      </w:r>
      <w:r w:rsidR="00BF3F4D">
        <w:rPr>
          <w:rFonts w:cs="Arial"/>
          <w:color w:val="000000" w:themeColor="text1"/>
        </w:rPr>
        <w:t>,</w:t>
      </w:r>
      <w:r w:rsidR="00172C37">
        <w:rPr>
          <w:rFonts w:cs="Arial"/>
          <w:color w:val="000000" w:themeColor="text1"/>
        </w:rPr>
        <w:t xml:space="preserve"> for example</w:t>
      </w:r>
      <w:r w:rsidR="00BF3F4D">
        <w:rPr>
          <w:rFonts w:cs="Arial"/>
          <w:color w:val="000000" w:themeColor="text1"/>
        </w:rPr>
        <w:t>,</w:t>
      </w:r>
      <w:r w:rsidR="00172C37">
        <w:rPr>
          <w:rFonts w:cs="Arial"/>
          <w:color w:val="000000" w:themeColor="text1"/>
        </w:rPr>
        <w:t xml:space="preserve"> turbidity is regionally high and </w:t>
      </w:r>
      <w:r w:rsidR="00BF3F4D">
        <w:rPr>
          <w:rFonts w:cs="Arial"/>
          <w:color w:val="000000" w:themeColor="text1"/>
        </w:rPr>
        <w:t xml:space="preserve">coral cover has been consistently high. This observation demonstrates the importance of disturbance history but also community composition when considering coral cover as the high cover maintained in the Mackay Whitsunday region is influenced both by a lack of acute disturbances in recent decades as well as the selection for species tolerant of high turbidity. </w:t>
      </w:r>
    </w:p>
    <w:p w14:paraId="5A536CA3" w14:textId="77777777" w:rsidR="008E2CAB" w:rsidRPr="002E0101" w:rsidRDefault="008E2CAB" w:rsidP="00E56CF1">
      <w:pPr>
        <w:pStyle w:val="Heading4"/>
      </w:pPr>
      <w:r w:rsidRPr="002E0101">
        <w:t>Rate of change in coral cover</w:t>
      </w:r>
    </w:p>
    <w:p w14:paraId="4D7B88AC" w14:textId="77777777" w:rsidR="008E2CAB" w:rsidRDefault="008E2CAB" w:rsidP="008E2CAB">
      <w:pPr>
        <w:rPr>
          <w:rFonts w:cs="Arial"/>
          <w:color w:val="0070C0"/>
        </w:rPr>
      </w:pPr>
      <w:r w:rsidRPr="002E0101">
        <w:rPr>
          <w:rFonts w:cs="Arial"/>
        </w:rPr>
        <w:t xml:space="preserve">The rate of change indicator estimates the rate of change in coral cover (growth) during years free from acute disturbances. An adequate rate of coral cover increase is essential to ensure the </w:t>
      </w:r>
      <w:r w:rsidR="00B06C1B">
        <w:rPr>
          <w:rFonts w:cs="Arial"/>
        </w:rPr>
        <w:t xml:space="preserve">long term balance between </w:t>
      </w:r>
      <w:r w:rsidR="001B5FC9" w:rsidRPr="002E0101">
        <w:rPr>
          <w:rFonts w:cs="Arial"/>
        </w:rPr>
        <w:t>cover lost to disturbances</w:t>
      </w:r>
      <w:r w:rsidR="00AE26CF">
        <w:rPr>
          <w:rFonts w:cs="Arial"/>
        </w:rPr>
        <w:t xml:space="preserve"> and that regained during periods of ambient conditions</w:t>
      </w:r>
      <w:r w:rsidRPr="002E0101">
        <w:rPr>
          <w:rFonts w:cs="Arial"/>
        </w:rPr>
        <w:t>. The indicator for rate of cover change has shown general declines in most regions through to 2014. These declines in rate of cover increase coincided broadly with the period of high loads of sediments and nutrients entering the reefs and, in turn, the increases in NO</w:t>
      </w:r>
      <w:r w:rsidRPr="002E0101">
        <w:rPr>
          <w:rFonts w:cs="Arial"/>
          <w:vertAlign w:val="subscript"/>
        </w:rPr>
        <w:t>x</w:t>
      </w:r>
      <w:r w:rsidRPr="002E0101">
        <w:rPr>
          <w:rFonts w:cs="Arial"/>
        </w:rPr>
        <w:t>, turbidity and DOC</w:t>
      </w:r>
      <w:r w:rsidR="00BF5A09">
        <w:rPr>
          <w:rFonts w:cs="Arial"/>
        </w:rPr>
        <w:t xml:space="preserve"> (Joo </w:t>
      </w:r>
      <w:r w:rsidR="00BF5A09" w:rsidRPr="00FA06C2">
        <w:rPr>
          <w:rFonts w:cs="Arial"/>
          <w:i/>
        </w:rPr>
        <w:t>et al.</w:t>
      </w:r>
      <w:r w:rsidR="00BF5A09">
        <w:rPr>
          <w:rFonts w:cs="Arial"/>
        </w:rPr>
        <w:t xml:space="preserve"> 2012, Turner </w:t>
      </w:r>
      <w:r w:rsidR="00BF5A09" w:rsidRPr="00FA06C2">
        <w:rPr>
          <w:rFonts w:cs="Arial"/>
          <w:i/>
        </w:rPr>
        <w:t>et al.</w:t>
      </w:r>
      <w:r w:rsidR="00BF5A09">
        <w:rPr>
          <w:rFonts w:cs="Arial"/>
        </w:rPr>
        <w:t xml:space="preserve"> 2012, 2013, Wallace </w:t>
      </w:r>
      <w:r w:rsidR="00BF5A09" w:rsidRPr="00FA06C2">
        <w:rPr>
          <w:rFonts w:cs="Arial"/>
          <w:i/>
        </w:rPr>
        <w:t>et al.</w:t>
      </w:r>
      <w:r w:rsidR="00BF5A09">
        <w:rPr>
          <w:rFonts w:cs="Arial"/>
        </w:rPr>
        <w:t xml:space="preserve"> 2014, 2015</w:t>
      </w:r>
      <w:r w:rsidRPr="002E0101">
        <w:rPr>
          <w:rFonts w:cs="Arial"/>
        </w:rPr>
        <w:t xml:space="preserve"> </w:t>
      </w:r>
      <w:r w:rsidR="00BF5A09">
        <w:rPr>
          <w:rFonts w:cs="Arial"/>
        </w:rPr>
        <w:t xml:space="preserve">Lonborg </w:t>
      </w:r>
      <w:r w:rsidR="00BF5A09" w:rsidRPr="00FA06C2">
        <w:rPr>
          <w:rFonts w:cs="Arial"/>
          <w:i/>
        </w:rPr>
        <w:t>et al.</w:t>
      </w:r>
      <w:r w:rsidR="00BF5A09">
        <w:rPr>
          <w:rFonts w:cs="Arial"/>
        </w:rPr>
        <w:t xml:space="preserve"> 2015)</w:t>
      </w:r>
      <w:r w:rsidRPr="002E0101">
        <w:rPr>
          <w:rFonts w:cs="Arial"/>
        </w:rPr>
        <w:t xml:space="preserve">. </w:t>
      </w:r>
      <w:r w:rsidRPr="002E0101">
        <w:rPr>
          <w:rFonts w:cs="Arial"/>
          <w:lang w:eastAsia="en-AU"/>
        </w:rPr>
        <w:t xml:space="preserve">DOC </w:t>
      </w:r>
      <w:r w:rsidRPr="0007661E">
        <w:rPr>
          <w:rFonts w:cs="Arial"/>
          <w:color w:val="000000" w:themeColor="text1"/>
          <w:lang w:eastAsia="en-AU"/>
        </w:rPr>
        <w:t xml:space="preserve">constitutes the major carbon source for heterotrophic microbial growth in marine pelagic systems (e.g. Lønborg </w:t>
      </w:r>
      <w:r w:rsidRPr="00522D23">
        <w:rPr>
          <w:rFonts w:cs="Arial"/>
          <w:i/>
          <w:color w:val="000000" w:themeColor="text1"/>
          <w:lang w:eastAsia="en-AU"/>
        </w:rPr>
        <w:t>et al.</w:t>
      </w:r>
      <w:r w:rsidRPr="0007661E">
        <w:rPr>
          <w:rFonts w:cs="Arial"/>
          <w:color w:val="000000" w:themeColor="text1"/>
          <w:lang w:eastAsia="en-AU"/>
        </w:rPr>
        <w:t xml:space="preserve"> 2011) and increases in DOC </w:t>
      </w:r>
      <w:r w:rsidRPr="0007661E">
        <w:rPr>
          <w:rFonts w:cs="Arial"/>
          <w:color w:val="000000" w:themeColor="text1"/>
        </w:rPr>
        <w:t>have been shown to promote m</w:t>
      </w:r>
      <w:r w:rsidRPr="0007661E">
        <w:rPr>
          <w:rFonts w:cs="Arial"/>
          <w:color w:val="000000" w:themeColor="text1"/>
          <w:lang w:eastAsia="en-AU"/>
        </w:rPr>
        <w:t xml:space="preserve">icrobial activity and </w:t>
      </w:r>
      <w:r w:rsidRPr="0007661E">
        <w:rPr>
          <w:rFonts w:cs="Arial"/>
          <w:color w:val="000000" w:themeColor="text1"/>
        </w:rPr>
        <w:t xml:space="preserve">coral diseases (Kline </w:t>
      </w:r>
      <w:r w:rsidRPr="00522D23">
        <w:rPr>
          <w:rFonts w:cs="Arial"/>
          <w:i/>
          <w:color w:val="000000" w:themeColor="text1"/>
        </w:rPr>
        <w:t>et al.</w:t>
      </w:r>
      <w:r w:rsidRPr="0007661E">
        <w:rPr>
          <w:rFonts w:cs="Arial"/>
          <w:color w:val="000000" w:themeColor="text1"/>
        </w:rPr>
        <w:t xml:space="preserve"> 2006, Kuntz </w:t>
      </w:r>
      <w:r w:rsidRPr="00522D23">
        <w:rPr>
          <w:rFonts w:cs="Arial"/>
          <w:i/>
          <w:color w:val="000000" w:themeColor="text1"/>
        </w:rPr>
        <w:t>et al.</w:t>
      </w:r>
      <w:r w:rsidRPr="0007661E">
        <w:rPr>
          <w:rFonts w:cs="Arial"/>
          <w:color w:val="000000" w:themeColor="text1"/>
        </w:rPr>
        <w:t xml:space="preserve"> 2005). </w:t>
      </w:r>
      <w:r w:rsidRPr="002E0101">
        <w:rPr>
          <w:rFonts w:cs="Arial"/>
        </w:rPr>
        <w:t xml:space="preserve">In each region we noted peaks in coral disease that corresponded to either the onset of flooding, or, in the case of the Johnstone Russell-Mulgrave region, changed water quality that preceded flooding in that catchment but corresponded with flooding in catchments to the south. </w:t>
      </w:r>
      <w:r>
        <w:rPr>
          <w:rFonts w:cs="Arial"/>
        </w:rPr>
        <w:t xml:space="preserve">The conclusion </w:t>
      </w:r>
      <w:r w:rsidRPr="002E0101">
        <w:rPr>
          <w:rFonts w:cs="Arial"/>
        </w:rPr>
        <w:t>that environmental conditions associated with increased loads of sediments and nutrients have been sufficiently stressful to corals to reduce growth rates and/or induce disease in susceptible species</w:t>
      </w:r>
      <w:r>
        <w:rPr>
          <w:rFonts w:cs="Arial"/>
        </w:rPr>
        <w:t xml:space="preserve"> is well supported by previous observations linking </w:t>
      </w:r>
      <w:r w:rsidRPr="002E0101">
        <w:rPr>
          <w:rFonts w:cs="Arial"/>
        </w:rPr>
        <w:t xml:space="preserve">nutrients and organic matter </w:t>
      </w:r>
      <w:r>
        <w:rPr>
          <w:rFonts w:cs="Arial"/>
        </w:rPr>
        <w:t xml:space="preserve">availability to higher </w:t>
      </w:r>
      <w:r w:rsidRPr="002E0101">
        <w:rPr>
          <w:rFonts w:cs="Arial"/>
        </w:rPr>
        <w:t xml:space="preserve">incidence and severity of coral disease (Bruno </w:t>
      </w:r>
      <w:r w:rsidRPr="002E0101">
        <w:rPr>
          <w:rFonts w:cs="Arial"/>
          <w:i/>
        </w:rPr>
        <w:t>et al.</w:t>
      </w:r>
      <w:r w:rsidRPr="002E0101">
        <w:rPr>
          <w:rFonts w:cs="Arial"/>
        </w:rPr>
        <w:t xml:space="preserve"> 2003, Haapkylä </w:t>
      </w:r>
      <w:r w:rsidRPr="002E0101">
        <w:rPr>
          <w:rFonts w:cs="Arial"/>
          <w:i/>
        </w:rPr>
        <w:t>et al</w:t>
      </w:r>
      <w:r w:rsidRPr="002E0101">
        <w:rPr>
          <w:rFonts w:cs="Arial"/>
        </w:rPr>
        <w:t xml:space="preserve">. 2011, Vega Thurber </w:t>
      </w:r>
      <w:r w:rsidRPr="002E0101">
        <w:rPr>
          <w:rFonts w:cs="Arial"/>
          <w:i/>
        </w:rPr>
        <w:t>et al.</w:t>
      </w:r>
      <w:r w:rsidRPr="002E0101">
        <w:rPr>
          <w:rFonts w:cs="Arial"/>
        </w:rPr>
        <w:t xml:space="preserve"> 2013). </w:t>
      </w:r>
    </w:p>
    <w:p w14:paraId="17371810" w14:textId="77777777" w:rsidR="008E2CAB" w:rsidRPr="00F41829" w:rsidRDefault="001B5FC9" w:rsidP="008E2CAB">
      <w:pPr>
        <w:rPr>
          <w:rFonts w:cs="Arial"/>
        </w:rPr>
      </w:pPr>
      <w:r>
        <w:rPr>
          <w:rFonts w:cs="Arial"/>
        </w:rPr>
        <w:t>In</w:t>
      </w:r>
      <w:r w:rsidR="008E2CAB" w:rsidRPr="00F41829">
        <w:rPr>
          <w:rFonts w:cs="Arial"/>
        </w:rPr>
        <w:t xml:space="preserve"> the pie diagrams that are used </w:t>
      </w:r>
      <w:r>
        <w:rPr>
          <w:rFonts w:cs="Arial"/>
        </w:rPr>
        <w:t xml:space="preserve">in this report </w:t>
      </w:r>
      <w:r w:rsidR="008E2CAB" w:rsidRPr="00F41829">
        <w:rPr>
          <w:rFonts w:cs="Arial"/>
        </w:rPr>
        <w:t xml:space="preserve">to </w:t>
      </w:r>
      <w:r>
        <w:rPr>
          <w:rFonts w:cs="Arial"/>
        </w:rPr>
        <w:t>illustrate</w:t>
      </w:r>
      <w:r w:rsidR="008E2CAB" w:rsidRPr="00F41829">
        <w:rPr>
          <w:rFonts w:cs="Arial"/>
        </w:rPr>
        <w:t xml:space="preserve"> causes of coral loss within the regions the shortfall in observed increase in cover compared to that predicted based on the coral growth model</w:t>
      </w:r>
      <w:r>
        <w:rPr>
          <w:rFonts w:cs="Arial"/>
        </w:rPr>
        <w:t xml:space="preserve"> </w:t>
      </w:r>
      <w:r w:rsidR="00AE26CF">
        <w:rPr>
          <w:rFonts w:cs="Arial"/>
        </w:rPr>
        <w:t xml:space="preserve">are categorised into </w:t>
      </w:r>
      <w:r w:rsidR="0009044B">
        <w:rPr>
          <w:rFonts w:cs="Arial"/>
        </w:rPr>
        <w:t xml:space="preserve">a variety of </w:t>
      </w:r>
      <w:r w:rsidR="00AE26CF">
        <w:rPr>
          <w:rFonts w:cs="Arial"/>
        </w:rPr>
        <w:t xml:space="preserve">acute disturbances, </w:t>
      </w:r>
      <w:r w:rsidR="0009044B">
        <w:rPr>
          <w:rFonts w:cs="Arial"/>
        </w:rPr>
        <w:t>“</w:t>
      </w:r>
      <w:r w:rsidR="00AE26CF">
        <w:rPr>
          <w:rFonts w:cs="Arial"/>
        </w:rPr>
        <w:t>disease</w:t>
      </w:r>
      <w:r w:rsidR="0009044B">
        <w:rPr>
          <w:rFonts w:cs="Arial"/>
        </w:rPr>
        <w:t>”</w:t>
      </w:r>
      <w:r w:rsidR="00AE26CF">
        <w:rPr>
          <w:rFonts w:cs="Arial"/>
        </w:rPr>
        <w:t xml:space="preserve"> and </w:t>
      </w:r>
      <w:r w:rsidR="0009044B">
        <w:rPr>
          <w:rFonts w:cs="Arial"/>
        </w:rPr>
        <w:t>“</w:t>
      </w:r>
      <w:r w:rsidR="00AE26CF">
        <w:rPr>
          <w:rFonts w:cs="Arial"/>
        </w:rPr>
        <w:t>none</w:t>
      </w:r>
      <w:r w:rsidR="0009044B">
        <w:rPr>
          <w:rFonts w:cs="Arial"/>
        </w:rPr>
        <w:t xml:space="preserve">”. </w:t>
      </w:r>
      <w:r w:rsidR="0009044B" w:rsidRPr="00F41829">
        <w:rPr>
          <w:rFonts w:cs="Arial"/>
        </w:rPr>
        <w:t>In practice</w:t>
      </w:r>
      <w:r w:rsidR="0009044B">
        <w:rPr>
          <w:rFonts w:cs="Arial"/>
        </w:rPr>
        <w:t>,</w:t>
      </w:r>
      <w:r w:rsidR="0009044B" w:rsidRPr="00F41829">
        <w:rPr>
          <w:rFonts w:cs="Arial"/>
        </w:rPr>
        <w:t xml:space="preserve"> disease is only noted as a disturbance when highly prevalent as a way in capturing </w:t>
      </w:r>
      <w:r w:rsidR="0009044B">
        <w:rPr>
          <w:rFonts w:cs="Arial"/>
        </w:rPr>
        <w:t xml:space="preserve">obvious </w:t>
      </w:r>
      <w:r w:rsidR="0009044B" w:rsidRPr="00F41829">
        <w:rPr>
          <w:rFonts w:cs="Arial"/>
        </w:rPr>
        <w:t xml:space="preserve">outbreaks explicitly in the data. </w:t>
      </w:r>
      <w:r w:rsidR="0009044B">
        <w:rPr>
          <w:rFonts w:cs="Arial"/>
        </w:rPr>
        <w:t>In reality d</w:t>
      </w:r>
      <w:r w:rsidR="0009044B" w:rsidRPr="00F41829">
        <w:rPr>
          <w:rFonts w:cs="Arial"/>
        </w:rPr>
        <w:t>isease</w:t>
      </w:r>
      <w:r w:rsidR="0009044B">
        <w:rPr>
          <w:rFonts w:cs="Arial"/>
        </w:rPr>
        <w:t xml:space="preserve"> prevalence</w:t>
      </w:r>
      <w:r w:rsidR="0009044B" w:rsidRPr="00F41829">
        <w:rPr>
          <w:rFonts w:cs="Arial"/>
        </w:rPr>
        <w:t xml:space="preserve"> </w:t>
      </w:r>
      <w:r w:rsidR="0009044B">
        <w:rPr>
          <w:rFonts w:cs="Arial"/>
        </w:rPr>
        <w:t>occurs along</w:t>
      </w:r>
      <w:r w:rsidR="0009044B" w:rsidRPr="00F41829">
        <w:rPr>
          <w:rFonts w:cs="Arial"/>
        </w:rPr>
        <w:t xml:space="preserve"> a continuum from very low levels</w:t>
      </w:r>
      <w:r w:rsidR="0009044B">
        <w:rPr>
          <w:rFonts w:cs="Arial"/>
        </w:rPr>
        <w:t xml:space="preserve"> on individual colonies to major outbreaks infecting a high proportion of susceptible species.</w:t>
      </w:r>
      <w:r w:rsidR="0009044B" w:rsidRPr="00F41829">
        <w:rPr>
          <w:rFonts w:cs="Arial"/>
        </w:rPr>
        <w:t xml:space="preserve"> The mortality of sensitive species as a result of disease </w:t>
      </w:r>
      <w:r w:rsidR="0009044B">
        <w:t xml:space="preserve">indicates a selection pressure for species not tolerant or adapted to the environmental conditions realised at the site. It is reasonable to interpret the combined loss of coral to “disease” and “none as representing the relative influence of chronic environmental pressures on </w:t>
      </w:r>
      <w:r w:rsidR="00C74114">
        <w:t>the rate that coral communities can recover</w:t>
      </w:r>
      <w:r w:rsidR="0009044B">
        <w:t xml:space="preserve">.  </w:t>
      </w:r>
      <w:r w:rsidR="000A7571">
        <w:t xml:space="preserve">In addition to influencing </w:t>
      </w:r>
      <w:r w:rsidR="0095110B">
        <w:t>the coral change</w:t>
      </w:r>
      <w:r w:rsidR="000A7571">
        <w:t xml:space="preserve"> metric through disease, </w:t>
      </w:r>
      <w:r w:rsidR="00CA0CC3">
        <w:t>regression tree analyses indicated that macro-algal abundance was linked to nutrient availability and in turn limited coral change</w:t>
      </w:r>
      <w:r w:rsidR="000A7571">
        <w:t>. The</w:t>
      </w:r>
      <w:r w:rsidR="0095110B">
        <w:t>se are just two examples of the way</w:t>
      </w:r>
      <w:r w:rsidR="000A7571">
        <w:t xml:space="preserve"> in which environmental conditions can influence recover rates of coral cover</w:t>
      </w:r>
      <w:r w:rsidR="0095110B">
        <w:t xml:space="preserve"> and demonstrate that </w:t>
      </w:r>
      <w:r w:rsidR="000A7571">
        <w:t xml:space="preserve">differing mechanisms of influence </w:t>
      </w:r>
      <w:r w:rsidR="0095110B">
        <w:t xml:space="preserve">may be expected </w:t>
      </w:r>
      <w:r w:rsidR="000A7571">
        <w:t>dependant on community type and position along a water quality gradient</w:t>
      </w:r>
      <w:r w:rsidR="0095110B">
        <w:t xml:space="preserve">. </w:t>
      </w:r>
    </w:p>
    <w:p w14:paraId="37A2CEAB" w14:textId="77777777" w:rsidR="008E2CAB" w:rsidRPr="00203BFD" w:rsidRDefault="008E2CAB" w:rsidP="00E56CF1">
      <w:pPr>
        <w:pStyle w:val="Heading4"/>
      </w:pPr>
      <w:r w:rsidRPr="00203BFD">
        <w:lastRenderedPageBreak/>
        <w:t>Composition</w:t>
      </w:r>
    </w:p>
    <w:p w14:paraId="7BDF3A14" w14:textId="77777777" w:rsidR="008E2CAB" w:rsidRPr="00203BFD" w:rsidRDefault="00D21C3F" w:rsidP="008E2CAB">
      <w:pPr>
        <w:rPr>
          <w:rFonts w:cs="Arial"/>
        </w:rPr>
      </w:pPr>
      <w:r>
        <w:rPr>
          <w:rFonts w:cs="Arial"/>
        </w:rPr>
        <w:t xml:space="preserve">It </w:t>
      </w:r>
      <w:r w:rsidRPr="00203BFD">
        <w:rPr>
          <w:rFonts w:cs="Arial"/>
        </w:rPr>
        <w:t xml:space="preserve">is well documented </w:t>
      </w:r>
      <w:r>
        <w:rPr>
          <w:rFonts w:cs="Arial"/>
        </w:rPr>
        <w:t>t</w:t>
      </w:r>
      <w:r w:rsidR="008E2CAB" w:rsidRPr="00203BFD">
        <w:rPr>
          <w:rFonts w:cs="Arial"/>
        </w:rPr>
        <w:t xml:space="preserve">hat compositional differences in coral communities occur along environmental gradients (Done 1982, van Woesik </w:t>
      </w:r>
      <w:r w:rsidR="0001742D">
        <w:rPr>
          <w:rFonts w:cs="Arial"/>
        </w:rPr>
        <w:t>&amp;</w:t>
      </w:r>
      <w:r w:rsidR="008E2CAB" w:rsidRPr="00203BFD">
        <w:rPr>
          <w:rFonts w:cs="Arial"/>
        </w:rPr>
        <w:t xml:space="preserve"> Done 1997, van Woesik </w:t>
      </w:r>
      <w:r w:rsidR="008E2CAB" w:rsidRPr="00203BFD">
        <w:rPr>
          <w:rFonts w:cs="Arial"/>
          <w:i/>
        </w:rPr>
        <w:t>et al.</w:t>
      </w:r>
      <w:r w:rsidR="008E2CAB" w:rsidRPr="00203BFD">
        <w:rPr>
          <w:rFonts w:cs="Arial"/>
        </w:rPr>
        <w:t xml:space="preserve"> 1999, Fabricius </w:t>
      </w:r>
      <w:r w:rsidR="008E2CAB" w:rsidRPr="00203BFD">
        <w:rPr>
          <w:rFonts w:cs="Arial"/>
          <w:i/>
        </w:rPr>
        <w:t>et al.</w:t>
      </w:r>
      <w:r w:rsidR="008E2CAB" w:rsidRPr="00203BFD">
        <w:rPr>
          <w:rFonts w:cs="Arial"/>
        </w:rPr>
        <w:t xml:space="preserve"> 2005, De’ath </w:t>
      </w:r>
      <w:r w:rsidR="005A065B">
        <w:rPr>
          <w:rFonts w:cs="Arial"/>
        </w:rPr>
        <w:t>&amp;</w:t>
      </w:r>
      <w:r w:rsidR="008E2CAB" w:rsidRPr="00203BFD">
        <w:rPr>
          <w:rFonts w:cs="Arial"/>
        </w:rPr>
        <w:t xml:space="preserve"> Fabricius 2008, Browne </w:t>
      </w:r>
      <w:r w:rsidR="008E2CAB" w:rsidRPr="00203BFD">
        <w:rPr>
          <w:rFonts w:cs="Arial"/>
          <w:i/>
        </w:rPr>
        <w:t>et al</w:t>
      </w:r>
      <w:r w:rsidR="008E2CAB" w:rsidRPr="00203BFD">
        <w:rPr>
          <w:rFonts w:cs="Arial"/>
        </w:rPr>
        <w:t xml:space="preserve">. 2010, De’ath </w:t>
      </w:r>
      <w:r w:rsidR="005A065B">
        <w:rPr>
          <w:rFonts w:cs="Arial"/>
        </w:rPr>
        <w:t>&amp;</w:t>
      </w:r>
      <w:r w:rsidR="008E2CAB" w:rsidRPr="00203BFD">
        <w:rPr>
          <w:rFonts w:cs="Arial"/>
        </w:rPr>
        <w:t xml:space="preserve"> Fabricius 2010, Thompson </w:t>
      </w:r>
      <w:r w:rsidR="008E2CAB" w:rsidRPr="00203BFD">
        <w:rPr>
          <w:rFonts w:cs="Arial"/>
          <w:i/>
        </w:rPr>
        <w:t>et al.</w:t>
      </w:r>
      <w:r w:rsidR="008E2CAB" w:rsidRPr="00203BFD">
        <w:rPr>
          <w:rFonts w:cs="Arial"/>
        </w:rPr>
        <w:t xml:space="preserve"> 2010</w:t>
      </w:r>
      <w:r w:rsidR="007F7841">
        <w:rPr>
          <w:rFonts w:cs="Arial"/>
        </w:rPr>
        <w:t>a</w:t>
      </w:r>
      <w:r w:rsidR="008E2CAB" w:rsidRPr="00203BFD">
        <w:rPr>
          <w:rFonts w:cs="Arial"/>
        </w:rPr>
        <w:t xml:space="preserve">, Uthicke </w:t>
      </w:r>
      <w:r w:rsidR="008E2CAB" w:rsidRPr="00203BFD">
        <w:rPr>
          <w:rFonts w:cs="Arial"/>
          <w:i/>
        </w:rPr>
        <w:t>et al</w:t>
      </w:r>
      <w:r w:rsidR="008E2CAB" w:rsidRPr="00203BFD">
        <w:rPr>
          <w:rFonts w:cs="Arial"/>
        </w:rPr>
        <w:t xml:space="preserve">. 2010, Browne </w:t>
      </w:r>
      <w:r w:rsidR="008E2CAB" w:rsidRPr="00203BFD">
        <w:rPr>
          <w:rFonts w:cs="Arial"/>
          <w:i/>
        </w:rPr>
        <w:t>et al</w:t>
      </w:r>
      <w:r w:rsidR="008E2CAB" w:rsidRPr="00203BFD">
        <w:rPr>
          <w:rFonts w:cs="Arial"/>
        </w:rPr>
        <w:t xml:space="preserve">. 2012, Fabricius </w:t>
      </w:r>
      <w:r w:rsidR="008E2CAB" w:rsidRPr="00203BFD">
        <w:rPr>
          <w:rFonts w:cs="Arial"/>
          <w:i/>
        </w:rPr>
        <w:t>et al</w:t>
      </w:r>
      <w:r>
        <w:rPr>
          <w:rFonts w:cs="Arial"/>
        </w:rPr>
        <w:t xml:space="preserve">. 2012). The </w:t>
      </w:r>
      <w:r w:rsidR="008E2CAB" w:rsidRPr="00203BFD">
        <w:rPr>
          <w:rFonts w:cs="Arial"/>
        </w:rPr>
        <w:t>relationships between disease and altered environmental conditions presented above demonstrates the dynamic nature of coral community selection occurring on inshore reefs, with sensitive species gaining a foot</w:t>
      </w:r>
      <w:r>
        <w:rPr>
          <w:rFonts w:cs="Arial"/>
        </w:rPr>
        <w:t>-</w:t>
      </w:r>
      <w:r w:rsidR="008E2CAB" w:rsidRPr="00203BFD">
        <w:rPr>
          <w:rFonts w:cs="Arial"/>
        </w:rPr>
        <w:t>hold during relatively benign conditions</w:t>
      </w:r>
      <w:r>
        <w:rPr>
          <w:rFonts w:cs="Arial"/>
        </w:rPr>
        <w:t>,</w:t>
      </w:r>
      <w:r w:rsidR="008E2CAB" w:rsidRPr="00203BFD">
        <w:rPr>
          <w:rFonts w:cs="Arial"/>
        </w:rPr>
        <w:t xml:space="preserve"> only to be removed during periods of environmental conditions beyond their tolerance. The newly included coral community composition indicator tended to decline along with coral cover indicating the disproportionate loss of species sensitive to water quality. </w:t>
      </w:r>
      <w:r>
        <w:rPr>
          <w:rFonts w:cs="Arial"/>
        </w:rPr>
        <w:t>T</w:t>
      </w:r>
      <w:r w:rsidR="008E2CAB" w:rsidRPr="00203BFD">
        <w:rPr>
          <w:rFonts w:cs="Arial"/>
        </w:rPr>
        <w:t xml:space="preserve">he genus most susceptible to poor water quality is </w:t>
      </w:r>
      <w:r w:rsidR="008E2CAB" w:rsidRPr="00203BFD">
        <w:rPr>
          <w:rFonts w:cs="Arial"/>
          <w:i/>
        </w:rPr>
        <w:t>Acropora</w:t>
      </w:r>
      <w:r>
        <w:rPr>
          <w:rFonts w:cs="Arial"/>
        </w:rPr>
        <w:t xml:space="preserve">. </w:t>
      </w:r>
      <w:r w:rsidR="008E2CAB" w:rsidRPr="00203BFD">
        <w:rPr>
          <w:rFonts w:cs="Arial"/>
        </w:rPr>
        <w:t xml:space="preserve">This genus is also fragile and </w:t>
      </w:r>
      <w:r>
        <w:rPr>
          <w:rFonts w:cs="Arial"/>
        </w:rPr>
        <w:t>very</w:t>
      </w:r>
      <w:r w:rsidR="008E2CAB" w:rsidRPr="00203BFD">
        <w:rPr>
          <w:rFonts w:cs="Arial"/>
        </w:rPr>
        <w:t xml:space="preserve"> susceptible to loss of cover during cyclones, as well as being a preferred prey group for COTS (Pratchett </w:t>
      </w:r>
      <w:r w:rsidR="008E2CAB">
        <w:rPr>
          <w:rFonts w:cs="Arial"/>
        </w:rPr>
        <w:t>2007</w:t>
      </w:r>
      <w:r w:rsidR="008E2CAB" w:rsidRPr="00203BFD">
        <w:rPr>
          <w:rFonts w:cs="Arial"/>
        </w:rPr>
        <w:t>)</w:t>
      </w:r>
      <w:r>
        <w:rPr>
          <w:rFonts w:cs="Arial"/>
        </w:rPr>
        <w:t>. This means</w:t>
      </w:r>
      <w:r w:rsidR="008E2CAB" w:rsidRPr="00203BFD">
        <w:rPr>
          <w:rFonts w:cs="Arial"/>
        </w:rPr>
        <w:t xml:space="preserve"> that these declines, and the </w:t>
      </w:r>
      <w:r w:rsidR="009142F0" w:rsidRPr="00203BFD">
        <w:rPr>
          <w:rFonts w:cs="Arial"/>
        </w:rPr>
        <w:t>subsequent</w:t>
      </w:r>
      <w:r w:rsidR="008E2CAB" w:rsidRPr="00203BFD">
        <w:rPr>
          <w:rFonts w:cs="Arial"/>
        </w:rPr>
        <w:t xml:space="preserve"> </w:t>
      </w:r>
      <w:r>
        <w:rPr>
          <w:rFonts w:cs="Arial"/>
        </w:rPr>
        <w:t>recovery,</w:t>
      </w:r>
      <w:r w:rsidR="008E2CAB" w:rsidRPr="00203BFD">
        <w:rPr>
          <w:rFonts w:cs="Arial"/>
        </w:rPr>
        <w:t xml:space="preserve"> cannot unambiguously be interpreted as representing a response to and subsequent release from water quality pressures alone.</w:t>
      </w:r>
      <w:r w:rsidR="00C15536">
        <w:rPr>
          <w:rFonts w:cs="Arial"/>
        </w:rPr>
        <w:t xml:space="preserve"> </w:t>
      </w:r>
      <w:r w:rsidR="0095110B">
        <w:rPr>
          <w:rFonts w:cs="Arial"/>
        </w:rPr>
        <w:t xml:space="preserve">Over the longer term, however, there is evidence that the representation of </w:t>
      </w:r>
      <w:r w:rsidR="0095110B" w:rsidRPr="00FA06C2">
        <w:rPr>
          <w:rFonts w:cs="Arial"/>
          <w:i/>
        </w:rPr>
        <w:t>Acropora</w:t>
      </w:r>
      <w:r w:rsidR="0095110B">
        <w:rPr>
          <w:rFonts w:cs="Arial"/>
        </w:rPr>
        <w:t xml:space="preserve"> on reefs in the Burdekin region has declined since the </w:t>
      </w:r>
      <w:r w:rsidR="00012CD2">
        <w:rPr>
          <w:rFonts w:cs="Arial"/>
        </w:rPr>
        <w:t>mid-20</w:t>
      </w:r>
      <w:r w:rsidR="00012CD2" w:rsidRPr="00FA06C2">
        <w:rPr>
          <w:rFonts w:cs="Arial"/>
          <w:vertAlign w:val="superscript"/>
        </w:rPr>
        <w:t>th</w:t>
      </w:r>
      <w:r w:rsidR="0095110B">
        <w:rPr>
          <w:rFonts w:cs="Arial"/>
        </w:rPr>
        <w:t xml:space="preserve"> century, possible as a result of increased runoff from the adjacent catchments (Roff </w:t>
      </w:r>
      <w:r w:rsidR="0095110B" w:rsidRPr="00FA06C2">
        <w:rPr>
          <w:rFonts w:cs="Arial"/>
          <w:i/>
        </w:rPr>
        <w:t>et al.</w:t>
      </w:r>
      <w:r w:rsidR="0095110B">
        <w:rPr>
          <w:rFonts w:cs="Arial"/>
        </w:rPr>
        <w:t xml:space="preserve"> 2013). As a rapidly growing </w:t>
      </w:r>
      <w:r w:rsidR="008B7D50">
        <w:rPr>
          <w:rFonts w:cs="Arial"/>
        </w:rPr>
        <w:t>and diverse group the reduced representation o</w:t>
      </w:r>
      <w:r w:rsidR="00C15536">
        <w:rPr>
          <w:rFonts w:cs="Arial"/>
        </w:rPr>
        <w:t xml:space="preserve">f </w:t>
      </w:r>
      <w:r w:rsidR="00C15536" w:rsidRPr="00C15536">
        <w:rPr>
          <w:rFonts w:cs="Arial"/>
          <w:i/>
        </w:rPr>
        <w:t>Acropora</w:t>
      </w:r>
      <w:r w:rsidR="00C15536">
        <w:rPr>
          <w:rFonts w:cs="Arial"/>
        </w:rPr>
        <w:t xml:space="preserve"> </w:t>
      </w:r>
      <w:r w:rsidR="008B7D50">
        <w:rPr>
          <w:rFonts w:cs="Arial"/>
        </w:rPr>
        <w:t>will have a logical impact on both the rate of recovery of coral cover and diversity on inshore reefs.</w:t>
      </w:r>
      <w:r w:rsidR="00C15536">
        <w:rPr>
          <w:rFonts w:cs="Arial"/>
        </w:rPr>
        <w:t xml:space="preserve"> </w:t>
      </w:r>
    </w:p>
    <w:p w14:paraId="3DC407CD" w14:textId="77777777" w:rsidR="008E2CAB" w:rsidRPr="00146661" w:rsidRDefault="008E2CAB" w:rsidP="00E56CF1">
      <w:pPr>
        <w:pStyle w:val="Heading4"/>
      </w:pPr>
      <w:r w:rsidRPr="00146661">
        <w:t xml:space="preserve">Macroalgae </w:t>
      </w:r>
    </w:p>
    <w:p w14:paraId="246C2B1A" w14:textId="77777777" w:rsidR="008E2CAB" w:rsidRDefault="008E2CAB" w:rsidP="008E2CAB">
      <w:pPr>
        <w:rPr>
          <w:rFonts w:cs="Arial"/>
        </w:rPr>
      </w:pPr>
      <w:r w:rsidRPr="00146661">
        <w:rPr>
          <w:rFonts w:cs="Arial"/>
        </w:rPr>
        <w:t xml:space="preserve">Macroalgae generally benefit from increased nutrient availability due to runoff (e.g., Schaffelke </w:t>
      </w:r>
      <w:r w:rsidRPr="00146661">
        <w:rPr>
          <w:rFonts w:cs="Arial"/>
          <w:i/>
        </w:rPr>
        <w:t>et al.</w:t>
      </w:r>
      <w:r w:rsidRPr="00146661">
        <w:rPr>
          <w:rFonts w:cs="Arial"/>
        </w:rPr>
        <w:t xml:space="preserve"> 2005) and, as coral competitors, supress both coral growth and juvenile settlement or survival (e.g., Tanner 1995, McCook </w:t>
      </w:r>
      <w:r w:rsidRPr="00146661">
        <w:rPr>
          <w:rFonts w:cs="Arial"/>
          <w:i/>
        </w:rPr>
        <w:t>et al.</w:t>
      </w:r>
      <w:r w:rsidRPr="00146661">
        <w:rPr>
          <w:rFonts w:cs="Arial"/>
        </w:rPr>
        <w:t xml:space="preserve"> 2001, Birrell </w:t>
      </w:r>
      <w:r w:rsidRPr="00146661">
        <w:rPr>
          <w:rFonts w:cs="Arial"/>
          <w:i/>
        </w:rPr>
        <w:t>et al.</w:t>
      </w:r>
      <w:r w:rsidRPr="00146661">
        <w:rPr>
          <w:rFonts w:cs="Arial"/>
        </w:rPr>
        <w:t xml:space="preserve"> 2005, 2008). </w:t>
      </w:r>
      <w:r w:rsidRPr="008E7AEE">
        <w:rPr>
          <w:rFonts w:cs="Arial"/>
        </w:rPr>
        <w:t>The</w:t>
      </w:r>
      <w:r w:rsidR="008E7AEE" w:rsidRPr="008E7AEE">
        <w:rPr>
          <w:rFonts w:cs="Arial"/>
        </w:rPr>
        <w:t>re was a</w:t>
      </w:r>
      <w:r w:rsidRPr="008E7AEE">
        <w:rPr>
          <w:rFonts w:cs="Arial"/>
        </w:rPr>
        <w:t xml:space="preserve"> clear relationship </w:t>
      </w:r>
      <w:r w:rsidR="008E7AEE" w:rsidRPr="008E7AEE">
        <w:rPr>
          <w:rFonts w:cs="Arial"/>
        </w:rPr>
        <w:t>between</w:t>
      </w:r>
      <w:r w:rsidRPr="008E7AEE">
        <w:rPr>
          <w:rFonts w:cs="Arial"/>
        </w:rPr>
        <w:t xml:space="preserve"> </w:t>
      </w:r>
      <w:r w:rsidR="009109BA">
        <w:rPr>
          <w:rFonts w:cs="Arial"/>
        </w:rPr>
        <w:t xml:space="preserve">chlorophyll </w:t>
      </w:r>
      <w:r w:rsidR="008B7D50">
        <w:rPr>
          <w:rFonts w:cs="Arial"/>
        </w:rPr>
        <w:t xml:space="preserve">a concentration – a proxy for nutrient availability </w:t>
      </w:r>
      <w:r w:rsidR="00D21C3F" w:rsidRPr="008E7AEE">
        <w:rPr>
          <w:rFonts w:cs="Arial"/>
        </w:rPr>
        <w:t xml:space="preserve">and </w:t>
      </w:r>
      <w:r w:rsidRPr="008E7AEE">
        <w:rPr>
          <w:rFonts w:cs="Arial"/>
        </w:rPr>
        <w:t>the proportion of macroalgae</w:t>
      </w:r>
      <w:r w:rsidR="00D21C3F" w:rsidRPr="008E7AEE">
        <w:rPr>
          <w:rFonts w:cs="Arial"/>
        </w:rPr>
        <w:t>,</w:t>
      </w:r>
      <w:r w:rsidRPr="008E7AEE">
        <w:rPr>
          <w:rFonts w:cs="Arial"/>
        </w:rPr>
        <w:t xml:space="preserve"> demonstra</w:t>
      </w:r>
      <w:r w:rsidRPr="00146661">
        <w:rPr>
          <w:rFonts w:cs="Arial"/>
        </w:rPr>
        <w:t>ted in our analyses aimed at determining reef</w:t>
      </w:r>
      <w:r w:rsidR="00D21C3F">
        <w:rPr>
          <w:rFonts w:cs="Arial"/>
        </w:rPr>
        <w:t>-</w:t>
      </w:r>
      <w:r w:rsidRPr="00146661">
        <w:rPr>
          <w:rFonts w:cs="Arial"/>
        </w:rPr>
        <w:t>specific macroalgae indicator metric thresholds. The occurrence of macroalgae was much higher on reefs with chlorophyll a concentrations &gt; 0.4 µgL</w:t>
      </w:r>
      <w:r w:rsidRPr="00146661">
        <w:rPr>
          <w:rFonts w:cs="Arial"/>
          <w:vertAlign w:val="superscript"/>
        </w:rPr>
        <w:t>-1</w:t>
      </w:r>
      <w:r w:rsidR="00D21C3F">
        <w:rPr>
          <w:rFonts w:cs="Arial"/>
        </w:rPr>
        <w:t xml:space="preserve">, which is </w:t>
      </w:r>
      <w:r w:rsidRPr="00146661">
        <w:rPr>
          <w:rFonts w:cs="Arial"/>
        </w:rPr>
        <w:t xml:space="preserve">in close agreement to the analysis of De’ath </w:t>
      </w:r>
      <w:r w:rsidR="005A065B">
        <w:rPr>
          <w:rFonts w:cs="Arial"/>
        </w:rPr>
        <w:t>&amp;</w:t>
      </w:r>
      <w:r w:rsidRPr="00146661">
        <w:rPr>
          <w:rFonts w:cs="Arial"/>
        </w:rPr>
        <w:t xml:space="preserve"> Fabricius </w:t>
      </w:r>
      <w:r w:rsidR="00D21C3F">
        <w:rPr>
          <w:rFonts w:cs="Arial"/>
        </w:rPr>
        <w:t>(</w:t>
      </w:r>
      <w:r w:rsidRPr="00146661">
        <w:rPr>
          <w:rFonts w:cs="Arial"/>
        </w:rPr>
        <w:t>200</w:t>
      </w:r>
      <w:r w:rsidR="005A065B">
        <w:rPr>
          <w:rFonts w:cs="Arial"/>
        </w:rPr>
        <w:t>8</w:t>
      </w:r>
      <w:r w:rsidRPr="00146661">
        <w:rPr>
          <w:rFonts w:cs="Arial"/>
        </w:rPr>
        <w:t>) and the resulting guideline of 0.45 µgL</w:t>
      </w:r>
      <w:r w:rsidRPr="00146661">
        <w:rPr>
          <w:rFonts w:cs="Arial"/>
          <w:vertAlign w:val="superscript"/>
        </w:rPr>
        <w:t>-1</w:t>
      </w:r>
      <w:r w:rsidRPr="00146661">
        <w:rPr>
          <w:rFonts w:cs="Arial"/>
        </w:rPr>
        <w:t xml:space="preserve"> (GBRMPA 20</w:t>
      </w:r>
      <w:r w:rsidR="009D73E5">
        <w:rPr>
          <w:rFonts w:cs="Arial"/>
        </w:rPr>
        <w:t>10</w:t>
      </w:r>
      <w:r w:rsidRPr="00146661">
        <w:rPr>
          <w:rFonts w:cs="Arial"/>
        </w:rPr>
        <w:t>). Unlike the coral indicators that are plausibly responsive to environmental extremes</w:t>
      </w:r>
      <w:r w:rsidR="00D21C3F">
        <w:rPr>
          <w:rFonts w:cs="Arial"/>
        </w:rPr>
        <w:t>,</w:t>
      </w:r>
      <w:r w:rsidRPr="00146661">
        <w:rPr>
          <w:rFonts w:cs="Arial"/>
        </w:rPr>
        <w:t xml:space="preserve"> macroalgae must persist throughout a substantial </w:t>
      </w:r>
      <w:r w:rsidR="007F2887">
        <w:rPr>
          <w:rFonts w:cs="Arial"/>
        </w:rPr>
        <w:t>period</w:t>
      </w:r>
      <w:r w:rsidRPr="00146661">
        <w:rPr>
          <w:rFonts w:cs="Arial"/>
        </w:rPr>
        <w:t xml:space="preserve"> of the year </w:t>
      </w:r>
      <w:r w:rsidR="007F2887">
        <w:rPr>
          <w:rFonts w:cs="Arial"/>
        </w:rPr>
        <w:t>suggesting</w:t>
      </w:r>
      <w:r w:rsidRPr="00146661">
        <w:rPr>
          <w:rFonts w:cs="Arial"/>
        </w:rPr>
        <w:t xml:space="preserve"> that ambient water quality levels may be more important</w:t>
      </w:r>
      <w:r w:rsidR="007F2887">
        <w:rPr>
          <w:rFonts w:cs="Arial"/>
        </w:rPr>
        <w:t xml:space="preserve"> than extremes. </w:t>
      </w:r>
      <w:r w:rsidRPr="00146661">
        <w:rPr>
          <w:rFonts w:cs="Arial"/>
        </w:rPr>
        <w:t>Despite o</w:t>
      </w:r>
      <w:r w:rsidR="00E426B6">
        <w:rPr>
          <w:rFonts w:cs="Arial"/>
        </w:rPr>
        <w:t>u</w:t>
      </w:r>
      <w:r w:rsidRPr="00146661">
        <w:rPr>
          <w:rFonts w:cs="Arial"/>
        </w:rPr>
        <w:t xml:space="preserve">r development of reef specific thresholds for macroalgae in 2015 this indicator </w:t>
      </w:r>
      <w:r w:rsidR="00E426B6">
        <w:rPr>
          <w:rFonts w:cs="Arial"/>
        </w:rPr>
        <w:t>is</w:t>
      </w:r>
      <w:r w:rsidRPr="00146661">
        <w:rPr>
          <w:rFonts w:cs="Arial"/>
        </w:rPr>
        <w:t xml:space="preserve"> strongly biased toward low scores at the reefs with poorer water quality. This arose due </w:t>
      </w:r>
      <w:r w:rsidR="008E7AEE">
        <w:rPr>
          <w:rFonts w:cs="Arial"/>
        </w:rPr>
        <w:t xml:space="preserve">the proportion of </w:t>
      </w:r>
      <w:r w:rsidRPr="00146661">
        <w:rPr>
          <w:rFonts w:cs="Arial"/>
        </w:rPr>
        <w:t xml:space="preserve">macroalgae </w:t>
      </w:r>
      <w:r w:rsidR="008E7AEE">
        <w:rPr>
          <w:rFonts w:cs="Arial"/>
        </w:rPr>
        <w:t xml:space="preserve">on </w:t>
      </w:r>
      <w:r w:rsidRPr="00146661">
        <w:rPr>
          <w:rFonts w:cs="Arial"/>
        </w:rPr>
        <w:t xml:space="preserve">reefs with high long-term median chlorophyll a </w:t>
      </w:r>
      <w:r w:rsidR="008E7AEE">
        <w:rPr>
          <w:rFonts w:cs="Arial"/>
        </w:rPr>
        <w:t xml:space="preserve">being consistently at levels likely to have detrimental influences </w:t>
      </w:r>
      <w:r w:rsidR="005455E7">
        <w:rPr>
          <w:rFonts w:cs="Arial"/>
        </w:rPr>
        <w:t xml:space="preserve">on </w:t>
      </w:r>
      <w:r w:rsidR="008E7AEE">
        <w:rPr>
          <w:rFonts w:cs="Arial"/>
        </w:rPr>
        <w:t>coral recruitment and growth.</w:t>
      </w:r>
    </w:p>
    <w:p w14:paraId="64BE3FF0" w14:textId="77777777" w:rsidR="008E2CAB" w:rsidRPr="00146661" w:rsidRDefault="00E426B6" w:rsidP="008E2CAB">
      <w:pPr>
        <w:rPr>
          <w:rFonts w:cs="Arial"/>
        </w:rPr>
      </w:pPr>
      <w:r w:rsidRPr="008E7AEE">
        <w:rPr>
          <w:rFonts w:cs="Arial"/>
        </w:rPr>
        <w:t>It</w:t>
      </w:r>
      <w:r w:rsidR="008E2CAB" w:rsidRPr="008E7AEE">
        <w:rPr>
          <w:rFonts w:cs="Arial"/>
        </w:rPr>
        <w:t xml:space="preserve"> is </w:t>
      </w:r>
      <w:r w:rsidRPr="008E7AEE">
        <w:rPr>
          <w:rFonts w:cs="Arial"/>
        </w:rPr>
        <w:t xml:space="preserve">important to note </w:t>
      </w:r>
      <w:r w:rsidR="008E2CAB" w:rsidRPr="008E7AEE">
        <w:rPr>
          <w:rFonts w:cs="Arial"/>
        </w:rPr>
        <w:t>that the relationship between high chlorophyll concentration and macroalgae cover is correlative only</w:t>
      </w:r>
      <w:r w:rsidRPr="008E7AEE">
        <w:rPr>
          <w:rFonts w:cs="Arial"/>
        </w:rPr>
        <w:t xml:space="preserve"> and does not indicate a proven cause-effect relationship. C</w:t>
      </w:r>
      <w:r w:rsidR="008E2CAB" w:rsidRPr="008E7AEE">
        <w:rPr>
          <w:rFonts w:cs="Arial"/>
        </w:rPr>
        <w:t xml:space="preserve">hlorophyll may </w:t>
      </w:r>
      <w:r w:rsidR="005455E7">
        <w:rPr>
          <w:rFonts w:cs="Arial"/>
        </w:rPr>
        <w:t xml:space="preserve">be </w:t>
      </w:r>
      <w:r w:rsidR="008E7AEE" w:rsidRPr="008E7AEE">
        <w:rPr>
          <w:rFonts w:cs="Arial"/>
        </w:rPr>
        <w:t xml:space="preserve">a proxy for other </w:t>
      </w:r>
      <w:r w:rsidR="008E2CAB" w:rsidRPr="008E7AEE">
        <w:rPr>
          <w:rFonts w:cs="Arial"/>
        </w:rPr>
        <w:t>environmental variables or ecological processes that influence macroalgae on inshore reefs.</w:t>
      </w:r>
      <w:r w:rsidR="008E2CAB">
        <w:rPr>
          <w:rFonts w:cs="Arial"/>
        </w:rPr>
        <w:t xml:space="preserve"> </w:t>
      </w:r>
      <w:r w:rsidR="00782ECB">
        <w:rPr>
          <w:rFonts w:cs="Arial"/>
        </w:rPr>
        <w:t xml:space="preserve">Wismer </w:t>
      </w:r>
      <w:r w:rsidR="00782ECB" w:rsidRPr="00890762">
        <w:rPr>
          <w:rFonts w:cs="Arial"/>
          <w:i/>
        </w:rPr>
        <w:t>et al.</w:t>
      </w:r>
      <w:r w:rsidR="00782ECB">
        <w:rPr>
          <w:rFonts w:cs="Arial"/>
        </w:rPr>
        <w:t xml:space="preserve"> (2009) and Cheal </w:t>
      </w:r>
      <w:r w:rsidR="00782ECB" w:rsidRPr="00B06E2B">
        <w:rPr>
          <w:rFonts w:cs="Arial"/>
          <w:i/>
        </w:rPr>
        <w:t>et al.</w:t>
      </w:r>
      <w:r w:rsidR="00782ECB">
        <w:rPr>
          <w:rFonts w:cs="Arial"/>
        </w:rPr>
        <w:t xml:space="preserve"> (2013), for example, demonstrate a decline in herbivorous fish populations with increasing turbidity</w:t>
      </w:r>
      <w:r w:rsidR="00782ECB" w:rsidRPr="00146661">
        <w:rPr>
          <w:rFonts w:cs="Arial"/>
        </w:rPr>
        <w:t xml:space="preserve">. </w:t>
      </w:r>
      <w:r w:rsidR="008E2CAB">
        <w:rPr>
          <w:rFonts w:cs="Arial"/>
        </w:rPr>
        <w:t xml:space="preserve">Grazing is a key process for the control of macroalgal blooms and there is a wealth of research demonstrating the importance of the maintenance of herbivore populations </w:t>
      </w:r>
      <w:r>
        <w:rPr>
          <w:rFonts w:cs="Arial"/>
        </w:rPr>
        <w:t>to avoid</w:t>
      </w:r>
      <w:r w:rsidR="008E2CAB">
        <w:rPr>
          <w:rFonts w:cs="Arial"/>
        </w:rPr>
        <w:t xml:space="preserve"> a phase shift to macroalgae (e.g. Hughes </w:t>
      </w:r>
      <w:r w:rsidR="008E2CAB" w:rsidRPr="00B06E2B">
        <w:rPr>
          <w:rFonts w:cs="Arial"/>
          <w:i/>
        </w:rPr>
        <w:t>et al.</w:t>
      </w:r>
      <w:r w:rsidR="008E2CAB">
        <w:rPr>
          <w:rFonts w:cs="Arial"/>
        </w:rPr>
        <w:t xml:space="preserve"> 2007). Within the Burdekin region </w:t>
      </w:r>
      <w:r w:rsidR="00842429">
        <w:rPr>
          <w:rFonts w:cs="Arial"/>
        </w:rPr>
        <w:t xml:space="preserve">Hughes </w:t>
      </w:r>
      <w:r w:rsidR="00842429" w:rsidRPr="00842429">
        <w:rPr>
          <w:rFonts w:cs="Arial"/>
          <w:i/>
        </w:rPr>
        <w:t>et al.</w:t>
      </w:r>
      <w:r w:rsidR="00842429">
        <w:rPr>
          <w:rFonts w:cs="Arial"/>
        </w:rPr>
        <w:t xml:space="preserve"> 2007 demonstrated </w:t>
      </w:r>
      <w:r w:rsidR="008E2CAB">
        <w:rPr>
          <w:rFonts w:cs="Arial"/>
        </w:rPr>
        <w:t xml:space="preserve">that dense macroalgal communities could be supported in the absence of grazing on a reef </w:t>
      </w:r>
      <w:r>
        <w:rPr>
          <w:rFonts w:cs="Arial"/>
        </w:rPr>
        <w:t xml:space="preserve">with generally low cover of fleshy macroalgae, </w:t>
      </w:r>
      <w:r w:rsidR="00842429">
        <w:rPr>
          <w:rFonts w:cs="Arial"/>
        </w:rPr>
        <w:t xml:space="preserve">partly divorcing macroalgae biomass from </w:t>
      </w:r>
      <w:r w:rsidR="00782ECB">
        <w:rPr>
          <w:rFonts w:cs="Arial"/>
        </w:rPr>
        <w:t>direct relationship to nutrient levels alone</w:t>
      </w:r>
      <w:r w:rsidR="008E2CAB">
        <w:rPr>
          <w:rFonts w:cs="Arial"/>
        </w:rPr>
        <w:t xml:space="preserve">. </w:t>
      </w:r>
      <w:r w:rsidR="00782ECB">
        <w:rPr>
          <w:rFonts w:cs="Arial"/>
        </w:rPr>
        <w:t>The relative influences of herbivory and nutrients on coral reef macroalgae is undoubtedly complex and likely to “depend on the species, circumstances and life-history processes under consideration” (Diaz-Pulido &amp; McCook 2003)</w:t>
      </w:r>
      <w:r w:rsidR="005455E7">
        <w:rPr>
          <w:rFonts w:cs="Arial"/>
        </w:rPr>
        <w:t xml:space="preserve">. Irrespective of the underlying mechanism limiting macroalgae on reefs with lower </w:t>
      </w:r>
      <w:r w:rsidR="009109BA">
        <w:rPr>
          <w:rFonts w:cs="Arial"/>
        </w:rPr>
        <w:t xml:space="preserve">chlorophyll </w:t>
      </w:r>
      <w:r w:rsidR="005455E7">
        <w:rPr>
          <w:rFonts w:cs="Arial"/>
        </w:rPr>
        <w:t xml:space="preserve">a concentrations </w:t>
      </w:r>
      <w:r w:rsidR="00782ECB">
        <w:rPr>
          <w:rFonts w:cs="Arial"/>
        </w:rPr>
        <w:t xml:space="preserve">our results do </w:t>
      </w:r>
      <w:r w:rsidR="005455E7">
        <w:rPr>
          <w:rFonts w:cs="Arial"/>
        </w:rPr>
        <w:t>demonstrate that th</w:t>
      </w:r>
      <w:r w:rsidR="009142F0">
        <w:rPr>
          <w:rFonts w:cs="Arial"/>
        </w:rPr>
        <w:t xml:space="preserve">e nutrient availability where </w:t>
      </w:r>
      <w:r w:rsidR="009109BA">
        <w:rPr>
          <w:rFonts w:cs="Arial"/>
        </w:rPr>
        <w:t xml:space="preserve">chlorophyll </w:t>
      </w:r>
      <w:r w:rsidR="005455E7">
        <w:rPr>
          <w:rFonts w:cs="Arial"/>
        </w:rPr>
        <w:t xml:space="preserve">a </w:t>
      </w:r>
      <w:r w:rsidR="009142F0">
        <w:rPr>
          <w:rFonts w:cs="Arial"/>
        </w:rPr>
        <w:t>concentrations</w:t>
      </w:r>
      <w:r w:rsidR="005455E7">
        <w:rPr>
          <w:rFonts w:cs="Arial"/>
        </w:rPr>
        <w:t xml:space="preserve"> are above guideline values are sufficient to support </w:t>
      </w:r>
      <w:r w:rsidR="00782ECB">
        <w:rPr>
          <w:rFonts w:cs="Arial"/>
        </w:rPr>
        <w:t xml:space="preserve"> macroalgal biomass </w:t>
      </w:r>
      <w:r w:rsidR="005455E7">
        <w:rPr>
          <w:rFonts w:cs="Arial"/>
        </w:rPr>
        <w:t>at levels detrimental to coral community resilience</w:t>
      </w:r>
      <w:r w:rsidR="00782ECB">
        <w:rPr>
          <w:rFonts w:cs="Arial"/>
        </w:rPr>
        <w:t>.</w:t>
      </w:r>
    </w:p>
    <w:p w14:paraId="71A7BC91" w14:textId="77777777" w:rsidR="008E2CAB" w:rsidRPr="0072257D" w:rsidRDefault="008E2CAB" w:rsidP="00E56CF1">
      <w:pPr>
        <w:pStyle w:val="Heading4"/>
      </w:pPr>
      <w:r w:rsidRPr="0072257D">
        <w:t>Juvenile density</w:t>
      </w:r>
    </w:p>
    <w:p w14:paraId="4AF9F379" w14:textId="77777777" w:rsidR="008E2CAB" w:rsidRPr="0072257D" w:rsidRDefault="008E2CAB" w:rsidP="008E2CAB">
      <w:pPr>
        <w:rPr>
          <w:rFonts w:cs="Arial"/>
          <w:color w:val="000000" w:themeColor="text1"/>
        </w:rPr>
      </w:pPr>
      <w:r w:rsidRPr="0072257D">
        <w:rPr>
          <w:rFonts w:cs="Arial"/>
          <w:color w:val="000000" w:themeColor="text1"/>
        </w:rPr>
        <w:t xml:space="preserve">The density of juvenile corals has remained stable or improved in all regions since 2013. This reverses the declining trends that coincided with the period of high </w:t>
      </w:r>
      <w:r w:rsidR="007D0ABB">
        <w:rPr>
          <w:rFonts w:cs="Arial"/>
          <w:color w:val="000000" w:themeColor="text1"/>
        </w:rPr>
        <w:t xml:space="preserve">nutrient, sediment and pesticide </w:t>
      </w:r>
      <w:r w:rsidRPr="0072257D">
        <w:rPr>
          <w:rFonts w:cs="Arial"/>
          <w:color w:val="000000" w:themeColor="text1"/>
        </w:rPr>
        <w:t xml:space="preserve">loads entering the Reef </w:t>
      </w:r>
      <w:r w:rsidR="007D0ABB">
        <w:rPr>
          <w:rFonts w:cs="Arial"/>
          <w:color w:val="000000" w:themeColor="text1"/>
        </w:rPr>
        <w:t>from 2008-</w:t>
      </w:r>
      <w:r w:rsidR="002877C4">
        <w:rPr>
          <w:rFonts w:cs="Arial"/>
          <w:color w:val="000000" w:themeColor="text1"/>
        </w:rPr>
        <w:t>20</w:t>
      </w:r>
      <w:r w:rsidR="007D0ABB">
        <w:rPr>
          <w:rFonts w:cs="Arial"/>
          <w:color w:val="000000" w:themeColor="text1"/>
        </w:rPr>
        <w:t>12</w:t>
      </w:r>
      <w:r w:rsidRPr="0072257D">
        <w:rPr>
          <w:rFonts w:cs="Arial"/>
          <w:color w:val="000000" w:themeColor="text1"/>
        </w:rPr>
        <w:t xml:space="preserve">. The early life history stages of corals are sensitive to a </w:t>
      </w:r>
      <w:r w:rsidRPr="0072257D">
        <w:rPr>
          <w:rFonts w:cs="Arial"/>
          <w:color w:val="000000" w:themeColor="text1"/>
        </w:rPr>
        <w:lastRenderedPageBreak/>
        <w:t xml:space="preserve">range of water quality parameters that vary in response to runoff (see Fabricius 2011 for a synthesis). The observed declines in the number of juvenile corals occurred at reefs across the range of exposures to poor water quality, which indicates that the causes of these declines are not clearly linked to a single environmental threshold. Rather, the stressors influencing larval settlement and/or subsequent survival are likely to vary across environmental gradients. Confounding direct links between water quality and coral recruitment will be secondary influences of water quality, such as the presence/absence of persistent macroalgal communities, as well as factors like reduced brood-stock due to disturbance events that are not linked directly to water quality. </w:t>
      </w:r>
      <w:r w:rsidR="007D0ABB">
        <w:rPr>
          <w:rFonts w:cs="Arial"/>
          <w:color w:val="000000" w:themeColor="text1"/>
        </w:rPr>
        <w:t>As t</w:t>
      </w:r>
      <w:r w:rsidRPr="0072257D">
        <w:rPr>
          <w:rFonts w:cs="Arial"/>
          <w:color w:val="000000" w:themeColor="text1"/>
        </w:rPr>
        <w:t>his indicator aggregates over at least 2 cohorts of juvenile corals</w:t>
      </w:r>
      <w:r w:rsidR="007D0ABB">
        <w:rPr>
          <w:rFonts w:cs="Arial"/>
          <w:color w:val="000000" w:themeColor="text1"/>
        </w:rPr>
        <w:t>,</w:t>
      </w:r>
      <w:r w:rsidRPr="0072257D">
        <w:rPr>
          <w:rFonts w:cs="Arial"/>
          <w:color w:val="000000" w:themeColor="text1"/>
        </w:rPr>
        <w:t xml:space="preserve"> the influence of acute disturbances that remove juvenile corals will </w:t>
      </w:r>
      <w:r w:rsidR="007D0ABB">
        <w:rPr>
          <w:rFonts w:cs="Arial"/>
          <w:color w:val="000000" w:themeColor="text1"/>
        </w:rPr>
        <w:t>lead to</w:t>
      </w:r>
      <w:r w:rsidRPr="0072257D">
        <w:rPr>
          <w:rFonts w:cs="Arial"/>
          <w:color w:val="000000" w:themeColor="text1"/>
        </w:rPr>
        <w:t xml:space="preserve"> a reduction in juvenile densities for at least 2 years. </w:t>
      </w:r>
      <w:r w:rsidR="007D0ABB" w:rsidRPr="0072257D">
        <w:rPr>
          <w:rFonts w:cs="Arial"/>
          <w:color w:val="000000" w:themeColor="text1"/>
        </w:rPr>
        <w:t>The density of juvenile corals remains low in</w:t>
      </w:r>
      <w:r w:rsidRPr="0072257D">
        <w:rPr>
          <w:rFonts w:cs="Arial"/>
          <w:color w:val="000000" w:themeColor="text1"/>
        </w:rPr>
        <w:t xml:space="preserve"> both the Barron Daintree sub-region, where Cyclone Ita substantial</w:t>
      </w:r>
      <w:r w:rsidR="002877C4">
        <w:rPr>
          <w:rFonts w:cs="Arial"/>
          <w:color w:val="000000" w:themeColor="text1"/>
        </w:rPr>
        <w:t>ly</w:t>
      </w:r>
      <w:r w:rsidRPr="0072257D">
        <w:rPr>
          <w:rFonts w:cs="Arial"/>
          <w:color w:val="000000" w:themeColor="text1"/>
        </w:rPr>
        <w:t xml:space="preserve"> impact</w:t>
      </w:r>
      <w:r w:rsidR="002877C4">
        <w:rPr>
          <w:rFonts w:cs="Arial"/>
          <w:color w:val="000000" w:themeColor="text1"/>
        </w:rPr>
        <w:t xml:space="preserve">ed </w:t>
      </w:r>
      <w:r w:rsidR="009142F0">
        <w:rPr>
          <w:rFonts w:cs="Arial"/>
          <w:color w:val="000000" w:themeColor="text1"/>
        </w:rPr>
        <w:t>communities</w:t>
      </w:r>
      <w:r w:rsidR="002877C4">
        <w:rPr>
          <w:rFonts w:cs="Arial"/>
          <w:color w:val="000000" w:themeColor="text1"/>
        </w:rPr>
        <w:t xml:space="preserve"> in 2014</w:t>
      </w:r>
      <w:r w:rsidR="007D0ABB">
        <w:rPr>
          <w:rFonts w:cs="Arial"/>
          <w:color w:val="000000" w:themeColor="text1"/>
        </w:rPr>
        <w:t>,</w:t>
      </w:r>
      <w:r w:rsidRPr="0072257D">
        <w:rPr>
          <w:rFonts w:cs="Arial"/>
          <w:color w:val="000000" w:themeColor="text1"/>
        </w:rPr>
        <w:t xml:space="preserve"> and the Fitzroy Region where a high cover of macroalgae has persisted at most reefs</w:t>
      </w:r>
      <w:r w:rsidR="005859DE">
        <w:rPr>
          <w:rFonts w:cs="Arial"/>
          <w:color w:val="000000" w:themeColor="text1"/>
        </w:rPr>
        <w:t xml:space="preserve"> and</w:t>
      </w:r>
      <w:r w:rsidR="002877C4">
        <w:rPr>
          <w:rFonts w:cs="Arial"/>
          <w:color w:val="000000" w:themeColor="text1"/>
        </w:rPr>
        <w:t xml:space="preserve"> flooding in 2011 has resulted in a marked reduction </w:t>
      </w:r>
      <w:r w:rsidR="001111CB">
        <w:rPr>
          <w:rFonts w:cs="Arial"/>
          <w:color w:val="000000" w:themeColor="text1"/>
        </w:rPr>
        <w:t xml:space="preserve">of </w:t>
      </w:r>
      <w:r w:rsidR="002877C4">
        <w:rPr>
          <w:rFonts w:cs="Arial"/>
          <w:color w:val="000000" w:themeColor="text1"/>
        </w:rPr>
        <w:t xml:space="preserve">local broodstock by removing a high proportion of reef flat and shallow reef crest corals (Berkelmans </w:t>
      </w:r>
      <w:r w:rsidR="002877C4" w:rsidRPr="00FA06C2">
        <w:rPr>
          <w:rFonts w:cs="Arial"/>
          <w:i/>
          <w:color w:val="000000" w:themeColor="text1"/>
        </w:rPr>
        <w:t>et al.</w:t>
      </w:r>
      <w:r w:rsidR="002877C4">
        <w:rPr>
          <w:rFonts w:cs="Arial"/>
          <w:color w:val="000000" w:themeColor="text1"/>
        </w:rPr>
        <w:t xml:space="preserve"> 2012, data herein)</w:t>
      </w:r>
      <w:r w:rsidRPr="0072257D">
        <w:rPr>
          <w:rFonts w:cs="Arial"/>
          <w:color w:val="000000" w:themeColor="text1"/>
        </w:rPr>
        <w:t>.</w:t>
      </w:r>
    </w:p>
    <w:p w14:paraId="71FE38E7" w14:textId="77777777" w:rsidR="008E2CAB" w:rsidRDefault="008E2CAB" w:rsidP="008E2CAB">
      <w:pPr>
        <w:rPr>
          <w:rFonts w:cs="Arial"/>
          <w:color w:val="000000" w:themeColor="text1"/>
        </w:rPr>
      </w:pPr>
      <w:r w:rsidRPr="0072257D">
        <w:rPr>
          <w:rFonts w:cs="Arial"/>
          <w:color w:val="000000" w:themeColor="text1"/>
        </w:rPr>
        <w:t xml:space="preserve">In the Herbert Tully sub-region, the increase in juvenile density was predominantly due to very high numbers of the </w:t>
      </w:r>
      <w:r w:rsidR="007D0ABB">
        <w:rPr>
          <w:rFonts w:cs="Arial"/>
          <w:color w:val="000000" w:themeColor="text1"/>
        </w:rPr>
        <w:t xml:space="preserve">coral </w:t>
      </w:r>
      <w:r w:rsidRPr="0072257D">
        <w:rPr>
          <w:rFonts w:cs="Arial"/>
          <w:color w:val="000000" w:themeColor="text1"/>
        </w:rPr>
        <w:t xml:space="preserve">genus </w:t>
      </w:r>
      <w:r w:rsidRPr="0072257D">
        <w:rPr>
          <w:rFonts w:cs="Arial"/>
          <w:i/>
          <w:color w:val="000000" w:themeColor="text1"/>
        </w:rPr>
        <w:t xml:space="preserve">Turbinaria. </w:t>
      </w:r>
      <w:r w:rsidRPr="0072257D">
        <w:rPr>
          <w:rFonts w:cs="Arial"/>
          <w:color w:val="000000" w:themeColor="text1"/>
        </w:rPr>
        <w:t xml:space="preserve">As this genus was not well represented in the adult community prior to the successive cyclonic disturbances in 2006 and 2011, it is unclear whether this recruitment pattern is simply due to natural variability or indicates the selection for species more suited to the recent environmental conditions than those previously present. Although less extreme, the genus </w:t>
      </w:r>
      <w:r w:rsidRPr="0072257D">
        <w:rPr>
          <w:rFonts w:cs="Arial"/>
          <w:i/>
          <w:color w:val="000000" w:themeColor="text1"/>
        </w:rPr>
        <w:t>Turbinaria</w:t>
      </w:r>
      <w:r w:rsidRPr="0072257D">
        <w:rPr>
          <w:rFonts w:cs="Arial"/>
          <w:color w:val="000000" w:themeColor="text1"/>
        </w:rPr>
        <w:t xml:space="preserve"> has also recruited in higher proportions to several of the more turbid water reefs in the adjacent Burdekin Region. In contrast</w:t>
      </w:r>
      <w:r w:rsidR="007D0ABB">
        <w:rPr>
          <w:rFonts w:cs="Arial"/>
          <w:color w:val="000000" w:themeColor="text1"/>
        </w:rPr>
        <w:t>,</w:t>
      </w:r>
      <w:r w:rsidRPr="0072257D">
        <w:rPr>
          <w:rFonts w:cs="Arial"/>
          <w:color w:val="000000" w:themeColor="text1"/>
        </w:rPr>
        <w:t xml:space="preserve"> at a number of reefs at which water quality</w:t>
      </w:r>
      <w:r w:rsidR="001E7922">
        <w:rPr>
          <w:rFonts w:cs="Arial"/>
          <w:color w:val="000000" w:themeColor="text1"/>
        </w:rPr>
        <w:t xml:space="preserve"> is better,</w:t>
      </w:r>
      <w:r w:rsidRPr="0072257D">
        <w:rPr>
          <w:rFonts w:cs="Arial"/>
          <w:color w:val="000000" w:themeColor="text1"/>
        </w:rPr>
        <w:t xml:space="preserve"> </w:t>
      </w:r>
      <w:r w:rsidR="001E7922" w:rsidRPr="0072257D">
        <w:rPr>
          <w:rFonts w:cs="Arial"/>
          <w:color w:val="000000" w:themeColor="text1"/>
        </w:rPr>
        <w:t xml:space="preserve">increased number of juveniles </w:t>
      </w:r>
      <w:r w:rsidR="001E7922">
        <w:rPr>
          <w:rFonts w:cs="Arial"/>
          <w:color w:val="000000" w:themeColor="text1"/>
        </w:rPr>
        <w:t xml:space="preserve">of the </w:t>
      </w:r>
      <w:r w:rsidR="001E7922" w:rsidRPr="0072257D">
        <w:rPr>
          <w:rFonts w:cs="Arial"/>
          <w:color w:val="000000" w:themeColor="text1"/>
        </w:rPr>
        <w:t xml:space="preserve">genus </w:t>
      </w:r>
      <w:r w:rsidR="001E7922" w:rsidRPr="0072257D">
        <w:rPr>
          <w:rFonts w:cs="Arial"/>
          <w:i/>
          <w:color w:val="000000" w:themeColor="text1"/>
        </w:rPr>
        <w:t>Acropora</w:t>
      </w:r>
      <w:r w:rsidR="001E7922" w:rsidRPr="0072257D">
        <w:rPr>
          <w:rFonts w:cs="Arial"/>
          <w:color w:val="000000" w:themeColor="text1"/>
        </w:rPr>
        <w:t xml:space="preserve"> </w:t>
      </w:r>
      <w:r w:rsidR="001E7922">
        <w:rPr>
          <w:rFonts w:cs="Arial"/>
          <w:color w:val="000000" w:themeColor="text1"/>
        </w:rPr>
        <w:t xml:space="preserve">indicates the recovery of this </w:t>
      </w:r>
      <w:r w:rsidRPr="0072257D">
        <w:rPr>
          <w:rFonts w:cs="Arial"/>
          <w:color w:val="000000" w:themeColor="text1"/>
        </w:rPr>
        <w:t>disturbance</w:t>
      </w:r>
      <w:r w:rsidR="007D0ABB">
        <w:rPr>
          <w:rFonts w:cs="Arial"/>
          <w:color w:val="000000" w:themeColor="text1"/>
        </w:rPr>
        <w:t>-</w:t>
      </w:r>
      <w:r w:rsidRPr="0072257D">
        <w:rPr>
          <w:rFonts w:cs="Arial"/>
          <w:color w:val="000000" w:themeColor="text1"/>
        </w:rPr>
        <w:t xml:space="preserve">sensitive </w:t>
      </w:r>
      <w:r w:rsidR="001E7922">
        <w:rPr>
          <w:rFonts w:cs="Arial"/>
          <w:color w:val="000000" w:themeColor="text1"/>
        </w:rPr>
        <w:t>group of coral</w:t>
      </w:r>
      <w:r w:rsidRPr="0072257D">
        <w:rPr>
          <w:rFonts w:cs="Arial"/>
          <w:color w:val="000000" w:themeColor="text1"/>
        </w:rPr>
        <w:t xml:space="preserve">. </w:t>
      </w:r>
    </w:p>
    <w:p w14:paraId="40D9EEDA" w14:textId="77777777" w:rsidR="008E2CAB" w:rsidRPr="0072257D" w:rsidRDefault="008E2CAB" w:rsidP="00D44891">
      <w:pPr>
        <w:pStyle w:val="Heading2"/>
      </w:pPr>
      <w:bookmarkStart w:id="396" w:name="_Toc460490679"/>
      <w:r>
        <w:t>Summary</w:t>
      </w:r>
      <w:bookmarkEnd w:id="396"/>
    </w:p>
    <w:p w14:paraId="03AD01A2" w14:textId="77777777" w:rsidR="008E2CAB" w:rsidRPr="00EB7113" w:rsidRDefault="008E2CAB" w:rsidP="008E2CAB">
      <w:pPr>
        <w:rPr>
          <w:rFonts w:cs="Arial"/>
          <w:color w:val="000000" w:themeColor="text1"/>
        </w:rPr>
      </w:pPr>
      <w:r w:rsidRPr="00EB7113">
        <w:rPr>
          <w:rFonts w:cs="Arial"/>
          <w:color w:val="000000" w:themeColor="text1"/>
        </w:rPr>
        <w:t xml:space="preserve">The cumulative impacts of physical disturbance associated with tropical cyclones and storms </w:t>
      </w:r>
      <w:r w:rsidR="005859DE" w:rsidRPr="00EB7113">
        <w:rPr>
          <w:rFonts w:cs="Arial"/>
          <w:color w:val="000000" w:themeColor="text1"/>
        </w:rPr>
        <w:t>a</w:t>
      </w:r>
      <w:r w:rsidR="005859DE">
        <w:rPr>
          <w:rFonts w:cs="Arial"/>
          <w:color w:val="000000" w:themeColor="text1"/>
        </w:rPr>
        <w:t>long with</w:t>
      </w:r>
      <w:r w:rsidR="005859DE" w:rsidRPr="00EB7113">
        <w:rPr>
          <w:rFonts w:cs="Arial"/>
          <w:color w:val="000000" w:themeColor="text1"/>
        </w:rPr>
        <w:t xml:space="preserve"> </w:t>
      </w:r>
      <w:r w:rsidRPr="00EB7113">
        <w:rPr>
          <w:rFonts w:cs="Arial"/>
          <w:color w:val="000000" w:themeColor="text1"/>
        </w:rPr>
        <w:t xml:space="preserve">elevated loads of contaminants introduced to the Reef </w:t>
      </w:r>
      <w:r w:rsidR="005859DE">
        <w:rPr>
          <w:rFonts w:cs="Arial"/>
          <w:color w:val="000000" w:themeColor="text1"/>
        </w:rPr>
        <w:t>over the last decade</w:t>
      </w:r>
      <w:r w:rsidRPr="00EB7113">
        <w:rPr>
          <w:rFonts w:cs="Arial"/>
          <w:color w:val="000000" w:themeColor="text1"/>
        </w:rPr>
        <w:t xml:space="preserve"> has resulted in clear declines in the condition of coral communities. Encouragingly, the release from these pressures in most regions over the last few years has resulted </w:t>
      </w:r>
      <w:r w:rsidR="00FA0E69">
        <w:rPr>
          <w:rFonts w:cs="Arial"/>
          <w:color w:val="000000" w:themeColor="text1"/>
        </w:rPr>
        <w:t xml:space="preserve">in </w:t>
      </w:r>
      <w:r w:rsidRPr="00EB7113">
        <w:rPr>
          <w:rFonts w:cs="Arial"/>
          <w:color w:val="000000" w:themeColor="text1"/>
        </w:rPr>
        <w:t>observable recovery of communities</w:t>
      </w:r>
      <w:r w:rsidR="00FA0E69">
        <w:rPr>
          <w:rFonts w:cs="Arial"/>
          <w:color w:val="000000" w:themeColor="text1"/>
        </w:rPr>
        <w:t>,</w:t>
      </w:r>
      <w:r w:rsidRPr="00EB7113">
        <w:rPr>
          <w:rFonts w:cs="Arial"/>
          <w:color w:val="000000" w:themeColor="text1"/>
        </w:rPr>
        <w:t xml:space="preserve"> indicating a degree of resilience under location</w:t>
      </w:r>
      <w:r w:rsidR="00FA0E69">
        <w:rPr>
          <w:rFonts w:cs="Arial"/>
          <w:color w:val="000000" w:themeColor="text1"/>
        </w:rPr>
        <w:t>-</w:t>
      </w:r>
      <w:r w:rsidRPr="00EB7113">
        <w:rPr>
          <w:rFonts w:cs="Arial"/>
          <w:color w:val="000000" w:themeColor="text1"/>
        </w:rPr>
        <w:t>specific ambient water quality conditions.</w:t>
      </w:r>
    </w:p>
    <w:p w14:paraId="1F244E90" w14:textId="77777777" w:rsidR="00065B97" w:rsidRPr="008E2CAB" w:rsidRDefault="008E2CAB" w:rsidP="00065B97">
      <w:pPr>
        <w:rPr>
          <w:rFonts w:cs="Arial"/>
          <w:color w:val="000000" w:themeColor="text1"/>
        </w:rPr>
      </w:pPr>
      <w:r w:rsidRPr="00EB7113">
        <w:rPr>
          <w:rFonts w:cs="Arial"/>
          <w:color w:val="000000" w:themeColor="text1"/>
        </w:rPr>
        <w:t>The emerging picture is that for coral communities the pressures assoc</w:t>
      </w:r>
      <w:r w:rsidR="00FA0E69">
        <w:rPr>
          <w:rFonts w:cs="Arial"/>
          <w:color w:val="000000" w:themeColor="text1"/>
        </w:rPr>
        <w:t xml:space="preserve">iated with runoff are twofold. </w:t>
      </w:r>
      <w:r w:rsidRPr="00EB7113">
        <w:rPr>
          <w:rFonts w:cs="Arial"/>
          <w:color w:val="000000" w:themeColor="text1"/>
        </w:rPr>
        <w:t xml:space="preserve">The location of sampling sites along underlying environmental gradients and adjacent to different catchments influences the exposure to the various components of runoff either as peak loads associated with flood plumes, or as more </w:t>
      </w:r>
      <w:r w:rsidR="005859DE">
        <w:rPr>
          <w:rFonts w:cs="Arial"/>
          <w:color w:val="000000" w:themeColor="text1"/>
        </w:rPr>
        <w:t>chronic</w:t>
      </w:r>
      <w:r w:rsidRPr="00EB7113">
        <w:rPr>
          <w:rFonts w:cs="Arial"/>
          <w:color w:val="000000" w:themeColor="text1"/>
        </w:rPr>
        <w:t xml:space="preserve"> conditions. </w:t>
      </w:r>
      <w:r w:rsidR="00065B97" w:rsidRPr="008E2CAB">
        <w:rPr>
          <w:rFonts w:cs="Arial"/>
          <w:color w:val="000000" w:themeColor="text1"/>
        </w:rPr>
        <w:t>It is increasingly apparent that, within a location, stress to coral communities is most obvious during extremes in environmental conditions that expose corals to conditions beyond those to which they are either adapted or acclimated. Links between coral disease, poor rates of increase in coral cover and declines in the community composition metric all point to water quality pressures experienced either during, or in the period of months following major floods as being sufficiently removed from ambient conditions so as to select against sensitive species on a site</w:t>
      </w:r>
      <w:r w:rsidR="00065B97">
        <w:rPr>
          <w:rFonts w:cs="Arial"/>
          <w:color w:val="000000" w:themeColor="text1"/>
        </w:rPr>
        <w:t>-</w:t>
      </w:r>
      <w:r w:rsidR="00065B97" w:rsidRPr="008E2CAB">
        <w:rPr>
          <w:rFonts w:cs="Arial"/>
          <w:color w:val="000000" w:themeColor="text1"/>
        </w:rPr>
        <w:t>by</w:t>
      </w:r>
      <w:r w:rsidR="00065B97">
        <w:rPr>
          <w:rFonts w:cs="Arial"/>
          <w:color w:val="000000" w:themeColor="text1"/>
        </w:rPr>
        <w:t>-</w:t>
      </w:r>
      <w:r w:rsidR="00065B97" w:rsidRPr="008E2CAB">
        <w:rPr>
          <w:rFonts w:cs="Arial"/>
          <w:color w:val="000000" w:themeColor="text1"/>
        </w:rPr>
        <w:t xml:space="preserve">site basis. Beyond the direct influence of water quality pressures the initiation of outbreaks of COTS have also been linked to increased nutrient loads delivered to the Reef lagoon during flood events, extending the influence of pulses of high nutrient loads to large tracts of the Reef (Fabricius </w:t>
      </w:r>
      <w:r w:rsidR="00065B97" w:rsidRPr="008E2CAB">
        <w:rPr>
          <w:rFonts w:cs="Arial"/>
          <w:i/>
          <w:color w:val="000000" w:themeColor="text1"/>
        </w:rPr>
        <w:t>et al.</w:t>
      </w:r>
      <w:r w:rsidR="00065B97" w:rsidRPr="008E2CAB">
        <w:rPr>
          <w:rFonts w:cs="Arial"/>
          <w:color w:val="000000" w:themeColor="text1"/>
        </w:rPr>
        <w:t xml:space="preserve"> 2010, Caballes </w:t>
      </w:r>
      <w:r w:rsidR="00065B97">
        <w:rPr>
          <w:rFonts w:cs="Arial"/>
          <w:color w:val="000000" w:themeColor="text1"/>
        </w:rPr>
        <w:t>&amp;</w:t>
      </w:r>
      <w:r w:rsidR="00065B97" w:rsidRPr="008E2CAB">
        <w:rPr>
          <w:rFonts w:cs="Arial"/>
          <w:color w:val="000000" w:themeColor="text1"/>
        </w:rPr>
        <w:t xml:space="preserve"> Pratchett 2014</w:t>
      </w:r>
      <w:r w:rsidR="00065B97">
        <w:rPr>
          <w:rFonts w:cs="Arial"/>
          <w:color w:val="000000" w:themeColor="text1"/>
        </w:rPr>
        <w:t>, Wooldridge &amp; Brodie 2015</w:t>
      </w:r>
      <w:r w:rsidR="00065B97" w:rsidRPr="008E2CAB">
        <w:rPr>
          <w:rFonts w:cs="Arial"/>
          <w:color w:val="000000" w:themeColor="text1"/>
        </w:rPr>
        <w:t>).</w:t>
      </w:r>
    </w:p>
    <w:p w14:paraId="4EE6B251" w14:textId="77777777" w:rsidR="008E2CAB" w:rsidRDefault="008E2CAB" w:rsidP="008E2CAB">
      <w:pPr>
        <w:rPr>
          <w:rFonts w:cs="Arial"/>
          <w:color w:val="0070C0"/>
        </w:rPr>
      </w:pPr>
      <w:r w:rsidRPr="00EB7113">
        <w:rPr>
          <w:rFonts w:cs="Arial"/>
          <w:color w:val="000000" w:themeColor="text1"/>
        </w:rPr>
        <w:t>The ambient conditions of a site can influence the resilience of reef communities, for example by supporting a sustained high cover of macroalgae. In addition</w:t>
      </w:r>
      <w:r w:rsidR="00FA0E69">
        <w:rPr>
          <w:rFonts w:cs="Arial"/>
          <w:color w:val="000000" w:themeColor="text1"/>
        </w:rPr>
        <w:t>,</w:t>
      </w:r>
      <w:r w:rsidRPr="00EB7113">
        <w:rPr>
          <w:rFonts w:cs="Arial"/>
          <w:color w:val="000000" w:themeColor="text1"/>
        </w:rPr>
        <w:t xml:space="preserve"> degraded water quality may increase the susceptibility of corals to disturbance. Evidence from recent research into the interactions between water quality and climate change</w:t>
      </w:r>
      <w:r w:rsidRPr="00EB7113" w:rsidDel="00657E98">
        <w:rPr>
          <w:rFonts w:cs="Arial"/>
          <w:color w:val="000000" w:themeColor="text1"/>
        </w:rPr>
        <w:t xml:space="preserve"> </w:t>
      </w:r>
      <w:r w:rsidRPr="00EB7113">
        <w:rPr>
          <w:rFonts w:cs="Arial"/>
          <w:color w:val="000000" w:themeColor="text1"/>
        </w:rPr>
        <w:t>suggests that the tolerance to heat stress of corals is reduced by exposure to contaminants including nutrients, herbicides and suspended particulate matter (</w:t>
      </w:r>
      <w:r w:rsidR="00793C48">
        <w:rPr>
          <w:rFonts w:cs="Arial"/>
          <w:color w:val="000000" w:themeColor="text1"/>
        </w:rPr>
        <w:t xml:space="preserve">Wooldridge &amp; Done 2004, </w:t>
      </w:r>
      <w:r w:rsidRPr="00EB7113">
        <w:rPr>
          <w:rFonts w:cs="Arial"/>
          <w:color w:val="000000" w:themeColor="text1"/>
        </w:rPr>
        <w:t xml:space="preserve">Negri </w:t>
      </w:r>
      <w:r w:rsidRPr="00EB7113">
        <w:rPr>
          <w:rFonts w:cs="Arial"/>
          <w:i/>
          <w:color w:val="000000" w:themeColor="text1"/>
        </w:rPr>
        <w:t>et al</w:t>
      </w:r>
      <w:r w:rsidRPr="00EB7113">
        <w:rPr>
          <w:rFonts w:cs="Arial"/>
          <w:color w:val="000000" w:themeColor="text1"/>
        </w:rPr>
        <w:t xml:space="preserve">. 2011, Wiedenmann </w:t>
      </w:r>
      <w:r w:rsidRPr="00EB7113">
        <w:rPr>
          <w:rFonts w:cs="Arial"/>
          <w:i/>
          <w:color w:val="000000" w:themeColor="text1"/>
        </w:rPr>
        <w:t>et al</w:t>
      </w:r>
      <w:r w:rsidRPr="00EB7113">
        <w:rPr>
          <w:rFonts w:cs="Arial"/>
          <w:color w:val="000000" w:themeColor="text1"/>
        </w:rPr>
        <w:t xml:space="preserve">. 2013, Fabricius </w:t>
      </w:r>
      <w:r w:rsidRPr="00EB7113">
        <w:rPr>
          <w:rFonts w:cs="Arial"/>
          <w:i/>
          <w:color w:val="000000" w:themeColor="text1"/>
        </w:rPr>
        <w:t>et al.</w:t>
      </w:r>
      <w:r w:rsidRPr="00EB7113">
        <w:rPr>
          <w:rFonts w:cs="Arial"/>
          <w:color w:val="000000" w:themeColor="text1"/>
        </w:rPr>
        <w:t xml:space="preserve"> 2013b). With the exception of the Fitzroy Region in 2006</w:t>
      </w:r>
      <w:r w:rsidR="00FA0E69">
        <w:rPr>
          <w:rFonts w:cs="Arial"/>
          <w:color w:val="000000" w:themeColor="text1"/>
        </w:rPr>
        <w:t>,</w:t>
      </w:r>
      <w:r w:rsidRPr="00EB7113">
        <w:rPr>
          <w:rFonts w:cs="Arial"/>
          <w:color w:val="000000" w:themeColor="text1"/>
        </w:rPr>
        <w:t xml:space="preserve"> the water temperatures have not shown substantial deviations from summer climatology over the first 10</w:t>
      </w:r>
      <w:r w:rsidR="00FA0E69">
        <w:rPr>
          <w:rFonts w:cs="Arial"/>
          <w:color w:val="000000" w:themeColor="text1"/>
        </w:rPr>
        <w:t xml:space="preserve"> years of the MMP.</w:t>
      </w:r>
      <w:r w:rsidRPr="00EB7113">
        <w:rPr>
          <w:rFonts w:cs="Arial"/>
          <w:color w:val="000000" w:themeColor="text1"/>
        </w:rPr>
        <w:t xml:space="preserve"> </w:t>
      </w:r>
      <w:r w:rsidR="005859DE">
        <w:rPr>
          <w:rFonts w:cs="Arial"/>
          <w:color w:val="000000" w:themeColor="text1"/>
        </w:rPr>
        <w:t xml:space="preserve">This does not </w:t>
      </w:r>
      <w:r w:rsidR="005859DE">
        <w:rPr>
          <w:rFonts w:cs="Arial"/>
          <w:color w:val="000000" w:themeColor="text1"/>
        </w:rPr>
        <w:lastRenderedPageBreak/>
        <w:t xml:space="preserve">however diminish the </w:t>
      </w:r>
      <w:r w:rsidR="001648C9">
        <w:rPr>
          <w:rFonts w:cs="Arial"/>
          <w:color w:val="000000" w:themeColor="text1"/>
        </w:rPr>
        <w:t>concern for inshore reefs given</w:t>
      </w:r>
      <w:r w:rsidRPr="00EB7113">
        <w:rPr>
          <w:rFonts w:cs="Arial"/>
          <w:color w:val="000000" w:themeColor="text1"/>
        </w:rPr>
        <w:t xml:space="preserve"> that </w:t>
      </w:r>
      <w:r w:rsidR="005859DE">
        <w:rPr>
          <w:rFonts w:cs="Arial"/>
          <w:color w:val="000000" w:themeColor="text1"/>
        </w:rPr>
        <w:t xml:space="preserve">persistence of </w:t>
      </w:r>
      <w:r w:rsidRPr="00EB7113">
        <w:rPr>
          <w:rFonts w:cs="Arial"/>
          <w:color w:val="000000" w:themeColor="text1"/>
        </w:rPr>
        <w:t xml:space="preserve">altered water quality conditions </w:t>
      </w:r>
      <w:r w:rsidR="005859DE">
        <w:rPr>
          <w:rFonts w:cs="Arial"/>
          <w:color w:val="000000" w:themeColor="text1"/>
        </w:rPr>
        <w:t xml:space="preserve">and </w:t>
      </w:r>
      <w:r w:rsidRPr="00EB7113">
        <w:rPr>
          <w:rFonts w:cs="Arial"/>
          <w:color w:val="000000" w:themeColor="text1"/>
        </w:rPr>
        <w:t>ongoing threat of summer temperature anomalies</w:t>
      </w:r>
      <w:r w:rsidR="005859DE">
        <w:rPr>
          <w:rFonts w:cs="Arial"/>
          <w:color w:val="000000" w:themeColor="text1"/>
        </w:rPr>
        <w:t xml:space="preserve"> in a changing climate</w:t>
      </w:r>
      <w:r w:rsidRPr="00EB7113">
        <w:rPr>
          <w:rFonts w:cs="Arial"/>
          <w:color w:val="000000" w:themeColor="text1"/>
        </w:rPr>
        <w:t xml:space="preserve">. </w:t>
      </w:r>
    </w:p>
    <w:p w14:paraId="0353BCA0" w14:textId="77777777" w:rsidR="008A1A24" w:rsidRPr="00EB5372" w:rsidRDefault="008E2CAB" w:rsidP="00406BD7">
      <w:pPr>
        <w:rPr>
          <w:rFonts w:cs="Arial"/>
          <w:color w:val="000000" w:themeColor="text1"/>
        </w:rPr>
      </w:pPr>
      <w:r w:rsidRPr="008E2CAB">
        <w:rPr>
          <w:rFonts w:cs="Arial"/>
          <w:color w:val="000000" w:themeColor="text1"/>
        </w:rPr>
        <w:t xml:space="preserve">The amount and variability of rainfall has significantly increased in northern Australia over the past 100 years (Lough 2011) and the severity of disturbance events is projected to increase as a result of climate change (Steffen </w:t>
      </w:r>
      <w:r w:rsidRPr="008E2CAB">
        <w:rPr>
          <w:rFonts w:cs="Arial"/>
          <w:i/>
          <w:color w:val="000000" w:themeColor="text1"/>
        </w:rPr>
        <w:t>et al</w:t>
      </w:r>
      <w:r w:rsidRPr="008E2CAB">
        <w:rPr>
          <w:rFonts w:cs="Arial"/>
          <w:color w:val="000000" w:themeColor="text1"/>
        </w:rPr>
        <w:t xml:space="preserve">. 2013). Any increase in susceptibility to these disturbances as a result of local stressors will compound the pressures imposed on sensitive species and potentially lead to profound changes in coral communities for Reef inshore communities. At present, there is a limited understanding of the cumulative impacts of these multiple pressures. The GBRMPA Strategic Assessment identified this as a key knowledge gap and the management of these impacts as a major strategic challenge (GBRMPA 2014a). What can be </w:t>
      </w:r>
      <w:r w:rsidR="00FA0E69">
        <w:rPr>
          <w:rFonts w:cs="Arial"/>
          <w:color w:val="000000" w:themeColor="text1"/>
        </w:rPr>
        <w:t>concluded</w:t>
      </w:r>
      <w:r w:rsidRPr="008E2CAB">
        <w:rPr>
          <w:rFonts w:cs="Arial"/>
          <w:color w:val="000000" w:themeColor="text1"/>
        </w:rPr>
        <w:t xml:space="preserve"> from the observed responses of coral communities on inshore reefs, and COTS population outbreaks</w:t>
      </w:r>
      <w:r w:rsidR="00FA0E69">
        <w:rPr>
          <w:rFonts w:cs="Arial"/>
          <w:color w:val="000000" w:themeColor="text1"/>
        </w:rPr>
        <w:t>,</w:t>
      </w:r>
      <w:r w:rsidRPr="008E2CAB">
        <w:rPr>
          <w:rFonts w:cs="Arial"/>
          <w:color w:val="000000" w:themeColor="text1"/>
        </w:rPr>
        <w:t xml:space="preserve"> is the clear need to reduce the anthropogenic loads entering the Reef</w:t>
      </w:r>
      <w:r w:rsidR="00FA0E69">
        <w:rPr>
          <w:rFonts w:cs="Arial"/>
          <w:color w:val="000000" w:themeColor="text1"/>
        </w:rPr>
        <w:t>. In</w:t>
      </w:r>
      <w:r w:rsidRPr="008E2CAB">
        <w:rPr>
          <w:rFonts w:cs="Arial"/>
          <w:color w:val="000000" w:themeColor="text1"/>
        </w:rPr>
        <w:t xml:space="preserve"> particular </w:t>
      </w:r>
      <w:r w:rsidR="00FA0E69">
        <w:rPr>
          <w:rFonts w:cs="Arial"/>
          <w:color w:val="000000" w:themeColor="text1"/>
        </w:rPr>
        <w:t>the loads</w:t>
      </w:r>
      <w:r w:rsidRPr="008E2CAB">
        <w:rPr>
          <w:rFonts w:cs="Arial"/>
          <w:color w:val="000000" w:themeColor="text1"/>
        </w:rPr>
        <w:t xml:space="preserve"> carried </w:t>
      </w:r>
      <w:r w:rsidR="00FA0E69">
        <w:rPr>
          <w:rFonts w:cs="Arial"/>
          <w:color w:val="000000" w:themeColor="text1"/>
        </w:rPr>
        <w:t>during</w:t>
      </w:r>
      <w:r w:rsidRPr="008E2CAB">
        <w:rPr>
          <w:rFonts w:cs="Arial"/>
          <w:color w:val="000000" w:themeColor="text1"/>
        </w:rPr>
        <w:t xml:space="preserve"> the larger flood events appear to have the most direct effect on coral community condition, </w:t>
      </w:r>
      <w:r w:rsidR="00FA0E69">
        <w:rPr>
          <w:rFonts w:cs="Arial"/>
          <w:color w:val="000000" w:themeColor="text1"/>
        </w:rPr>
        <w:t>and</w:t>
      </w:r>
      <w:r w:rsidRPr="008E2CAB">
        <w:rPr>
          <w:rFonts w:cs="Arial"/>
          <w:color w:val="000000" w:themeColor="text1"/>
        </w:rPr>
        <w:t xml:space="preserve"> also incur a persistent change in ambient conditions. </w:t>
      </w:r>
    </w:p>
    <w:p w14:paraId="3E77E884" w14:textId="77777777" w:rsidR="006D0A76" w:rsidRDefault="006D0A76">
      <w:pPr>
        <w:jc w:val="left"/>
        <w:rPr>
          <w:rFonts w:eastAsiaTheme="majorEastAsia" w:cstheme="majorBidi"/>
          <w:b/>
          <w:bCs/>
          <w:sz w:val="26"/>
          <w:szCs w:val="26"/>
        </w:rPr>
      </w:pPr>
      <w:bookmarkStart w:id="397" w:name="_Toc437424442"/>
      <w:bookmarkStart w:id="398" w:name="_Toc437424566"/>
      <w:bookmarkStart w:id="399" w:name="_Toc437432495"/>
      <w:bookmarkStart w:id="400" w:name="_Toc437432568"/>
      <w:r>
        <w:br w:type="page"/>
      </w:r>
    </w:p>
    <w:p w14:paraId="191FF81C" w14:textId="77777777" w:rsidR="008A1A24" w:rsidRPr="009F400E" w:rsidRDefault="008A1A24">
      <w:pPr>
        <w:pStyle w:val="Heading2"/>
        <w:rPr>
          <w:color w:val="auto"/>
        </w:rPr>
      </w:pPr>
      <w:bookmarkStart w:id="401" w:name="_Toc460490680"/>
      <w:r w:rsidRPr="009F400E">
        <w:rPr>
          <w:color w:val="auto"/>
        </w:rPr>
        <w:lastRenderedPageBreak/>
        <w:t>Acknowledgments</w:t>
      </w:r>
      <w:bookmarkEnd w:id="397"/>
      <w:bookmarkEnd w:id="398"/>
      <w:bookmarkEnd w:id="399"/>
      <w:bookmarkEnd w:id="400"/>
      <w:bookmarkEnd w:id="401"/>
    </w:p>
    <w:p w14:paraId="7A7E00B7" w14:textId="77777777" w:rsidR="008A1A24" w:rsidRPr="009F400E" w:rsidRDefault="008A1A24">
      <w:r w:rsidRPr="009F400E">
        <w:t xml:space="preserve">We thank Aaron Anderson, Joe Gioffre, Charlotte Johansson, </w:t>
      </w:r>
      <w:r w:rsidR="009F400E" w:rsidRPr="009F400E">
        <w:t>Kate Osborne</w:t>
      </w:r>
      <w:r w:rsidR="009F400E">
        <w:t>,</w:t>
      </w:r>
      <w:r w:rsidR="009F400E" w:rsidRPr="009F400E">
        <w:t xml:space="preserve"> </w:t>
      </w:r>
      <w:r w:rsidRPr="009F400E">
        <w:t xml:space="preserve">Shawn Smith, Marcus Stowar and </w:t>
      </w:r>
      <w:r w:rsidR="009F400E">
        <w:t xml:space="preserve">Irena Zagorskis </w:t>
      </w:r>
      <w:r w:rsidRPr="009F400E">
        <w:t xml:space="preserve">for valuable field assistance over the years. We also thank Ed Butler, Terry Done, Johanna Johnson, Katherine Martin and a number of anonymous reviewers for their detailed reviews that improved the previous reports on which this current instalment builds. Finally we acknowledge the valuable contributions to data collection, sampling integrity and reporting of John Carlton, Stephen Neale and Damian Thomson over the first few </w:t>
      </w:r>
      <w:r w:rsidR="009F400E" w:rsidRPr="009F400E">
        <w:t>years of the monitoring program.</w:t>
      </w:r>
    </w:p>
    <w:p w14:paraId="4EEE75AC" w14:textId="77777777" w:rsidR="008A1A24" w:rsidRPr="00920495" w:rsidRDefault="008A1A24">
      <w:pPr>
        <w:rPr>
          <w:color w:val="0070C0"/>
        </w:rPr>
      </w:pPr>
    </w:p>
    <w:p w14:paraId="2D2537CE" w14:textId="77777777" w:rsidR="008A1A24" w:rsidRPr="00920495" w:rsidRDefault="008A1A24" w:rsidP="006D0A76">
      <w:pPr>
        <w:pStyle w:val="Heading1"/>
        <w:rPr>
          <w:color w:val="0070C0"/>
        </w:rPr>
      </w:pPr>
      <w:r w:rsidRPr="00920495">
        <w:br w:type="page"/>
      </w:r>
      <w:bookmarkStart w:id="402" w:name="_Toc374701391"/>
      <w:bookmarkEnd w:id="67"/>
      <w:bookmarkEnd w:id="68"/>
      <w:bookmarkEnd w:id="69"/>
      <w:bookmarkEnd w:id="70"/>
      <w:bookmarkEnd w:id="71"/>
      <w:bookmarkEnd w:id="72"/>
      <w:bookmarkEnd w:id="73"/>
      <w:bookmarkEnd w:id="74"/>
      <w:bookmarkEnd w:id="75"/>
    </w:p>
    <w:p w14:paraId="07DA9808" w14:textId="77777777" w:rsidR="009E3F08" w:rsidRPr="00920495" w:rsidRDefault="009E3F08" w:rsidP="006D0A76">
      <w:pPr>
        <w:pStyle w:val="Heading1"/>
        <w:numPr>
          <w:ilvl w:val="0"/>
          <w:numId w:val="44"/>
        </w:numPr>
      </w:pPr>
      <w:bookmarkStart w:id="403" w:name="_Toc437424443"/>
      <w:bookmarkStart w:id="404" w:name="_Toc437424567"/>
      <w:bookmarkStart w:id="405" w:name="_Toc437432496"/>
      <w:bookmarkStart w:id="406" w:name="_Toc437432569"/>
      <w:bookmarkStart w:id="407" w:name="_Toc460490681"/>
      <w:bookmarkStart w:id="408" w:name="_Toc229069174"/>
      <w:bookmarkStart w:id="409" w:name="_Toc334990242"/>
      <w:r w:rsidRPr="00920495">
        <w:lastRenderedPageBreak/>
        <w:t>References</w:t>
      </w:r>
      <w:bookmarkEnd w:id="403"/>
      <w:bookmarkEnd w:id="404"/>
      <w:bookmarkEnd w:id="405"/>
      <w:bookmarkEnd w:id="406"/>
      <w:bookmarkEnd w:id="407"/>
    </w:p>
    <w:p w14:paraId="6807153D" w14:textId="77777777" w:rsidR="009F400E" w:rsidRPr="00D34527" w:rsidRDefault="009F400E" w:rsidP="009F400E">
      <w:pPr>
        <w:ind w:left="284" w:hanging="284"/>
        <w:rPr>
          <w:rFonts w:cs="Arial"/>
          <w:szCs w:val="22"/>
          <w:lang w:val="en-AU" w:eastAsia="en-AU"/>
        </w:rPr>
      </w:pPr>
      <w:r w:rsidRPr="00D34527">
        <w:rPr>
          <w:rFonts w:cs="Arial"/>
          <w:szCs w:val="22"/>
          <w:lang w:val="en-AU" w:eastAsia="en-AU"/>
        </w:rPr>
        <w:t xml:space="preserve">Álvarez-Romero JG, Devlin MJ, Teixeira da Silva E, Petus C, Ban N, Pressey RJ, Kool J, Roberts S, Cerdeira WA, Brodie J (2013) A novel approach to model exposure of coastal-marine ecosystems to riverine flood plumes based on remote sensing techniques. </w:t>
      </w:r>
      <w:r w:rsidRPr="00065B97">
        <w:rPr>
          <w:rFonts w:cs="Arial"/>
          <w:szCs w:val="22"/>
          <w:lang w:val="en-AU" w:eastAsia="en-AU"/>
        </w:rPr>
        <w:t>J</w:t>
      </w:r>
      <w:r w:rsidR="008D482D" w:rsidRPr="00065B97">
        <w:rPr>
          <w:rFonts w:cs="Arial"/>
          <w:szCs w:val="22"/>
          <w:lang w:val="en-AU" w:eastAsia="en-AU"/>
        </w:rPr>
        <w:t>ournal of</w:t>
      </w:r>
      <w:r w:rsidRPr="00065B97">
        <w:rPr>
          <w:rFonts w:cs="Arial"/>
          <w:szCs w:val="22"/>
          <w:lang w:val="en-AU" w:eastAsia="en-AU"/>
        </w:rPr>
        <w:t xml:space="preserve"> Environ</w:t>
      </w:r>
      <w:r w:rsidR="008D482D" w:rsidRPr="00065B97">
        <w:rPr>
          <w:rFonts w:cs="Arial"/>
          <w:szCs w:val="22"/>
          <w:lang w:val="en-AU" w:eastAsia="en-AU"/>
        </w:rPr>
        <w:t>mental</w:t>
      </w:r>
      <w:r w:rsidRPr="00065B97">
        <w:rPr>
          <w:rFonts w:cs="Arial"/>
          <w:szCs w:val="22"/>
          <w:lang w:val="en-AU" w:eastAsia="en-AU"/>
        </w:rPr>
        <w:t xml:space="preserve"> Manage</w:t>
      </w:r>
      <w:r w:rsidR="008D482D" w:rsidRPr="00065B97">
        <w:rPr>
          <w:rFonts w:cs="Arial"/>
          <w:szCs w:val="22"/>
          <w:lang w:val="en-AU" w:eastAsia="en-AU"/>
        </w:rPr>
        <w:t>ment</w:t>
      </w:r>
      <w:r w:rsidRPr="00D34527">
        <w:rPr>
          <w:rFonts w:cs="Arial"/>
          <w:szCs w:val="22"/>
          <w:lang w:val="en-AU" w:eastAsia="en-AU"/>
        </w:rPr>
        <w:t xml:space="preserve"> 119:194–207</w:t>
      </w:r>
    </w:p>
    <w:p w14:paraId="72C6B70C" w14:textId="77777777" w:rsidR="009F400E" w:rsidRPr="00D34527" w:rsidRDefault="009F400E" w:rsidP="009F400E">
      <w:pPr>
        <w:ind w:left="284" w:hanging="284"/>
        <w:rPr>
          <w:rFonts w:cs="Arial"/>
          <w:szCs w:val="22"/>
          <w:lang w:val="en-US"/>
        </w:rPr>
      </w:pPr>
      <w:r w:rsidRPr="00D34527">
        <w:rPr>
          <w:rFonts w:cs="Arial"/>
          <w:szCs w:val="22"/>
          <w:lang w:val="en-US"/>
        </w:rPr>
        <w:t xml:space="preserve">Anderson MJ, Willis TJ (2003) </w:t>
      </w:r>
      <w:r w:rsidRPr="00D34527">
        <w:rPr>
          <w:rStyle w:val="apple-style-span"/>
          <w:rFonts w:eastAsia="SimSun" w:cs="Arial"/>
          <w:szCs w:val="22"/>
        </w:rPr>
        <w:t>Canonical analysis of principal coordinates: a useful method of constrained ordination for ecology.</w:t>
      </w:r>
      <w:r w:rsidRPr="00D34527">
        <w:rPr>
          <w:rStyle w:val="apple-converted-space"/>
          <w:rFonts w:cs="Arial"/>
          <w:szCs w:val="22"/>
        </w:rPr>
        <w:t> </w:t>
      </w:r>
      <w:r w:rsidRPr="00C853A6">
        <w:rPr>
          <w:rStyle w:val="Emphasis"/>
          <w:rFonts w:cs="Arial"/>
          <w:i w:val="0"/>
          <w:szCs w:val="22"/>
        </w:rPr>
        <w:t>Ecology</w:t>
      </w:r>
      <w:r w:rsidRPr="00FA06C2">
        <w:rPr>
          <w:rStyle w:val="apple-converted-space"/>
          <w:rFonts w:cs="Arial"/>
          <w:i/>
          <w:szCs w:val="22"/>
        </w:rPr>
        <w:t> </w:t>
      </w:r>
      <w:r w:rsidRPr="00D34527">
        <w:rPr>
          <w:rStyle w:val="apple-style-span"/>
          <w:rFonts w:eastAsia="SimSun" w:cs="Arial"/>
          <w:szCs w:val="22"/>
        </w:rPr>
        <w:t>84</w:t>
      </w:r>
      <w:r w:rsidR="008D482D">
        <w:rPr>
          <w:rStyle w:val="apple-style-span"/>
          <w:rFonts w:eastAsia="SimSun" w:cs="Arial"/>
          <w:szCs w:val="22"/>
        </w:rPr>
        <w:t>:</w:t>
      </w:r>
      <w:r w:rsidRPr="00D34527">
        <w:rPr>
          <w:rStyle w:val="apple-style-span"/>
          <w:rFonts w:eastAsia="SimSun" w:cs="Arial"/>
          <w:szCs w:val="22"/>
        </w:rPr>
        <w:t>511–525</w:t>
      </w:r>
    </w:p>
    <w:p w14:paraId="4C694B28" w14:textId="77777777" w:rsidR="009F400E" w:rsidRPr="00D34527" w:rsidRDefault="009F400E" w:rsidP="009F400E">
      <w:pPr>
        <w:pStyle w:val="Reportrefs"/>
        <w:spacing w:after="120"/>
        <w:ind w:left="284" w:hanging="284"/>
        <w:rPr>
          <w:rFonts w:cs="Arial"/>
          <w:sz w:val="22"/>
          <w:szCs w:val="22"/>
        </w:rPr>
      </w:pPr>
      <w:proofErr w:type="gramStart"/>
      <w:r w:rsidRPr="00D34527">
        <w:rPr>
          <w:rFonts w:cs="Arial"/>
          <w:sz w:val="22"/>
          <w:szCs w:val="22"/>
        </w:rPr>
        <w:t>Anon (2003) Reef Water Quality Protection Plan for catchments adjacent to the Great Barrier Reef World Heritage Area.</w:t>
      </w:r>
      <w:proofErr w:type="gramEnd"/>
      <w:r w:rsidRPr="00D34527">
        <w:rPr>
          <w:rFonts w:cs="Arial"/>
          <w:sz w:val="22"/>
          <w:szCs w:val="22"/>
        </w:rPr>
        <w:t xml:space="preserve"> </w:t>
      </w:r>
      <w:proofErr w:type="gramStart"/>
      <w:r w:rsidRPr="00D34527">
        <w:rPr>
          <w:rFonts w:cs="Arial"/>
          <w:sz w:val="22"/>
          <w:szCs w:val="22"/>
        </w:rPr>
        <w:t>The State of Queensland and Commonwealth of Australia.</w:t>
      </w:r>
      <w:proofErr w:type="gramEnd"/>
      <w:r w:rsidRPr="00D34527">
        <w:rPr>
          <w:rFonts w:cs="Arial"/>
          <w:sz w:val="22"/>
          <w:szCs w:val="22"/>
        </w:rPr>
        <w:t xml:space="preserve"> </w:t>
      </w:r>
      <w:proofErr w:type="gramStart"/>
      <w:r w:rsidRPr="00D34527">
        <w:rPr>
          <w:rFonts w:cs="Arial"/>
          <w:sz w:val="22"/>
          <w:szCs w:val="22"/>
        </w:rPr>
        <w:t>Queensland Department of Premier and Cabinet, Brisbane.</w:t>
      </w:r>
      <w:proofErr w:type="gramEnd"/>
      <w:r w:rsidRPr="00D34527">
        <w:rPr>
          <w:rFonts w:cs="Arial"/>
          <w:sz w:val="22"/>
          <w:szCs w:val="22"/>
        </w:rPr>
        <w:t xml:space="preserve"> 43p </w:t>
      </w:r>
    </w:p>
    <w:p w14:paraId="7E752AD9" w14:textId="77777777" w:rsidR="009F400E" w:rsidRPr="00D34527" w:rsidRDefault="009F400E" w:rsidP="009F400E">
      <w:pPr>
        <w:pStyle w:val="Reportrefs"/>
        <w:spacing w:after="120"/>
        <w:ind w:left="284" w:hanging="284"/>
        <w:rPr>
          <w:rFonts w:cs="Arial"/>
          <w:sz w:val="22"/>
          <w:szCs w:val="22"/>
          <w:lang w:eastAsia="en-GB"/>
        </w:rPr>
      </w:pPr>
      <w:proofErr w:type="gramStart"/>
      <w:r w:rsidRPr="00D34527">
        <w:rPr>
          <w:rFonts w:cs="Arial"/>
          <w:sz w:val="22"/>
          <w:szCs w:val="22"/>
          <w:lang w:eastAsia="en-GB"/>
        </w:rPr>
        <w:t>Anon. (2009) Reef Water Quality Protection Plan 2009.</w:t>
      </w:r>
      <w:proofErr w:type="gramEnd"/>
      <w:r w:rsidRPr="00D34527">
        <w:rPr>
          <w:rFonts w:cs="Arial"/>
          <w:sz w:val="22"/>
          <w:szCs w:val="22"/>
          <w:lang w:eastAsia="en-GB"/>
        </w:rPr>
        <w:t xml:space="preserve"> </w:t>
      </w:r>
      <w:proofErr w:type="gramStart"/>
      <w:r w:rsidRPr="00D34527">
        <w:rPr>
          <w:rFonts w:cs="Arial"/>
          <w:sz w:val="22"/>
          <w:szCs w:val="22"/>
          <w:lang w:eastAsia="en-GB"/>
        </w:rPr>
        <w:t>For the Great Barrier Reef World Heritage Area and adjacent catchments.</w:t>
      </w:r>
      <w:proofErr w:type="gramEnd"/>
      <w:r w:rsidRPr="00D34527">
        <w:rPr>
          <w:rFonts w:cs="Arial"/>
          <w:sz w:val="22"/>
          <w:szCs w:val="22"/>
          <w:lang w:eastAsia="en-GB"/>
        </w:rPr>
        <w:t xml:space="preserve"> </w:t>
      </w:r>
      <w:proofErr w:type="gramStart"/>
      <w:r w:rsidRPr="00D34527">
        <w:rPr>
          <w:rFonts w:cs="Arial"/>
          <w:sz w:val="22"/>
          <w:szCs w:val="22"/>
          <w:lang w:eastAsia="en-GB"/>
        </w:rPr>
        <w:t>The State of Queensland and Commonwealth of Australia.</w:t>
      </w:r>
      <w:proofErr w:type="gramEnd"/>
      <w:r w:rsidRPr="00D34527">
        <w:rPr>
          <w:rFonts w:cs="Arial"/>
          <w:sz w:val="22"/>
          <w:szCs w:val="22"/>
          <w:lang w:eastAsia="en-GB"/>
        </w:rPr>
        <w:t xml:space="preserve"> </w:t>
      </w:r>
      <w:proofErr w:type="gramStart"/>
      <w:r w:rsidRPr="00D34527">
        <w:rPr>
          <w:rFonts w:cs="Arial"/>
          <w:sz w:val="22"/>
          <w:szCs w:val="22"/>
          <w:lang w:eastAsia="en-GB"/>
        </w:rPr>
        <w:t>Queensland Department of the Premier and Cabinet, Brisbane.</w:t>
      </w:r>
      <w:proofErr w:type="gramEnd"/>
      <w:r w:rsidRPr="00D34527">
        <w:rPr>
          <w:rFonts w:cs="Arial"/>
          <w:sz w:val="22"/>
          <w:szCs w:val="22"/>
          <w:lang w:eastAsia="en-GB"/>
        </w:rPr>
        <w:t xml:space="preserve"> </w:t>
      </w:r>
      <w:proofErr w:type="gramStart"/>
      <w:r w:rsidRPr="00D34527">
        <w:rPr>
          <w:rFonts w:cs="Arial"/>
          <w:sz w:val="22"/>
          <w:szCs w:val="22"/>
          <w:lang w:eastAsia="en-GB"/>
        </w:rPr>
        <w:t>30 pp.</w:t>
      </w:r>
      <w:proofErr w:type="gramEnd"/>
      <w:r w:rsidRPr="00D34527">
        <w:rPr>
          <w:rFonts w:cs="Arial"/>
          <w:sz w:val="22"/>
          <w:szCs w:val="22"/>
          <w:lang w:eastAsia="en-GB"/>
        </w:rPr>
        <w:t xml:space="preserve"> </w:t>
      </w:r>
    </w:p>
    <w:p w14:paraId="6FF9C78E" w14:textId="77777777" w:rsidR="009F400E" w:rsidRPr="00D34527" w:rsidRDefault="009F400E" w:rsidP="009F400E">
      <w:pPr>
        <w:pStyle w:val="Reportrefs"/>
        <w:spacing w:after="120"/>
        <w:ind w:left="284" w:hanging="284"/>
        <w:rPr>
          <w:rFonts w:cs="Arial"/>
          <w:sz w:val="22"/>
          <w:szCs w:val="22"/>
          <w:lang w:eastAsia="en-GB"/>
        </w:rPr>
      </w:pPr>
      <w:r w:rsidRPr="00D34527">
        <w:rPr>
          <w:rFonts w:cs="Arial"/>
          <w:sz w:val="22"/>
          <w:szCs w:val="22"/>
          <w:lang w:eastAsia="en-GB"/>
        </w:rPr>
        <w:t xml:space="preserve">Anon. (2010) Paddock to Reef Integrated Monitoring, Modelling and Reporting Program Design (DRAFT) Version 12 February 2010. </w:t>
      </w:r>
      <w:proofErr w:type="gramStart"/>
      <w:r w:rsidRPr="00D34527">
        <w:rPr>
          <w:rFonts w:cs="Arial"/>
          <w:sz w:val="22"/>
          <w:szCs w:val="22"/>
          <w:lang w:eastAsia="en-GB"/>
        </w:rPr>
        <w:t>The State of Queensland, Queensland Department of the Premier and Cabinet, Brisbane.</w:t>
      </w:r>
      <w:proofErr w:type="gramEnd"/>
      <w:r w:rsidRPr="00D34527">
        <w:rPr>
          <w:rFonts w:cs="Arial"/>
          <w:sz w:val="22"/>
          <w:szCs w:val="22"/>
          <w:lang w:eastAsia="en-GB"/>
        </w:rPr>
        <w:t xml:space="preserve"> 93p</w:t>
      </w:r>
    </w:p>
    <w:p w14:paraId="5C69952F" w14:textId="77777777" w:rsidR="009F400E" w:rsidRPr="00D34527" w:rsidRDefault="009F400E" w:rsidP="009F400E">
      <w:pPr>
        <w:ind w:left="284" w:hanging="284"/>
        <w:rPr>
          <w:rFonts w:cs="Arial"/>
          <w:szCs w:val="22"/>
          <w:lang w:val="en-US"/>
        </w:rPr>
      </w:pPr>
      <w:proofErr w:type="gramStart"/>
      <w:r w:rsidRPr="00D34527">
        <w:rPr>
          <w:rFonts w:cs="Arial"/>
          <w:szCs w:val="22"/>
          <w:lang w:val="en-US"/>
        </w:rPr>
        <w:t xml:space="preserve">Anon. (2011) </w:t>
      </w:r>
      <w:r w:rsidRPr="00D34527">
        <w:rPr>
          <w:rFonts w:cs="Arial"/>
          <w:szCs w:val="22"/>
        </w:rPr>
        <w:t>Reef Water Quality Protection Plan.</w:t>
      </w:r>
      <w:proofErr w:type="gramEnd"/>
      <w:r w:rsidRPr="00D34527">
        <w:rPr>
          <w:rFonts w:cs="Arial"/>
          <w:szCs w:val="22"/>
        </w:rPr>
        <w:t xml:space="preserve"> </w:t>
      </w:r>
      <w:proofErr w:type="gramStart"/>
      <w:r w:rsidRPr="00D34527">
        <w:rPr>
          <w:rFonts w:cs="Arial"/>
          <w:szCs w:val="22"/>
        </w:rPr>
        <w:t>First Report 2009 Baseline.</w:t>
      </w:r>
      <w:proofErr w:type="gramEnd"/>
      <w:r w:rsidRPr="00D34527">
        <w:rPr>
          <w:rFonts w:cs="Arial"/>
          <w:szCs w:val="22"/>
        </w:rPr>
        <w:t xml:space="preserve"> </w:t>
      </w:r>
      <w:proofErr w:type="gramStart"/>
      <w:r w:rsidRPr="00D34527">
        <w:rPr>
          <w:rFonts w:cs="Arial"/>
          <w:szCs w:val="22"/>
          <w:lang w:val="en-US"/>
        </w:rPr>
        <w:t>The State of Queensland and Commonwealth of Australia.</w:t>
      </w:r>
      <w:proofErr w:type="gramEnd"/>
      <w:r w:rsidRPr="00D34527">
        <w:rPr>
          <w:rFonts w:cs="Arial"/>
          <w:szCs w:val="22"/>
          <w:lang w:val="en-US"/>
        </w:rPr>
        <w:t xml:space="preserve"> </w:t>
      </w:r>
      <w:proofErr w:type="gramStart"/>
      <w:r w:rsidRPr="00D34527">
        <w:rPr>
          <w:rFonts w:cs="Arial"/>
          <w:szCs w:val="22"/>
          <w:lang w:val="en-US"/>
        </w:rPr>
        <w:t>Queensland Department of Premier and Cabinet, Brisbane.</w:t>
      </w:r>
      <w:proofErr w:type="gramEnd"/>
      <w:r w:rsidRPr="00D34527">
        <w:rPr>
          <w:rFonts w:cs="Arial"/>
          <w:szCs w:val="22"/>
          <w:lang w:val="en-US"/>
        </w:rPr>
        <w:t xml:space="preserve"> 140 pp. Available at </w:t>
      </w:r>
      <w:hyperlink r:id="rId59" w:tooltip="Reef Water Quality Protection Plan. First Report 2009 Baseline. " w:history="1">
        <w:r w:rsidRPr="00D34527">
          <w:rPr>
            <w:rStyle w:val="Hyperlink"/>
            <w:rFonts w:cs="Arial"/>
            <w:bCs/>
            <w:color w:val="auto"/>
            <w:szCs w:val="22"/>
            <w:lang w:val="en-US"/>
          </w:rPr>
          <w:t>www.reefplan.qld.gov.au</w:t>
        </w:r>
      </w:hyperlink>
    </w:p>
    <w:p w14:paraId="598D1CFD" w14:textId="77777777" w:rsidR="009F400E" w:rsidRDefault="009F400E" w:rsidP="009F400E">
      <w:pPr>
        <w:pStyle w:val="Reportrefs"/>
        <w:spacing w:after="120"/>
        <w:ind w:left="284" w:hanging="284"/>
        <w:rPr>
          <w:rStyle w:val="Hyperlink"/>
          <w:rFonts w:cs="Arial"/>
          <w:color w:val="auto"/>
          <w:sz w:val="22"/>
          <w:szCs w:val="22"/>
          <w:lang w:eastAsia="en-GB"/>
        </w:rPr>
      </w:pPr>
      <w:r w:rsidRPr="00D34527">
        <w:rPr>
          <w:rFonts w:cs="Arial"/>
          <w:sz w:val="22"/>
          <w:szCs w:val="22"/>
          <w:lang w:val="en-AU" w:eastAsia="en-AU"/>
        </w:rPr>
        <w:t xml:space="preserve">Anon. (2013) Reef Water Quality Protection Plan 2013.Securing the health and resilience of the Great Barrier Reef World Heritage Area and adjacent catchments. </w:t>
      </w:r>
      <w:proofErr w:type="gramStart"/>
      <w:r w:rsidRPr="00D34527">
        <w:rPr>
          <w:rFonts w:cs="Arial"/>
          <w:sz w:val="22"/>
          <w:szCs w:val="22"/>
          <w:lang w:val="en-AU" w:eastAsia="en-AU"/>
        </w:rPr>
        <w:t>The State of Queensland.</w:t>
      </w:r>
      <w:proofErr w:type="gramEnd"/>
      <w:r w:rsidRPr="00D34527">
        <w:rPr>
          <w:rFonts w:cs="Arial"/>
          <w:sz w:val="22"/>
          <w:szCs w:val="22"/>
          <w:lang w:val="en-AU" w:eastAsia="en-AU"/>
        </w:rPr>
        <w:t xml:space="preserve"> Reef Water Quality Protection Plan Secretariat, Brisbane. 34 p. </w:t>
      </w:r>
      <w:r w:rsidRPr="00D34527">
        <w:rPr>
          <w:rFonts w:cs="Arial"/>
          <w:sz w:val="22"/>
          <w:szCs w:val="22"/>
          <w:lang w:eastAsia="en-GB"/>
        </w:rPr>
        <w:t xml:space="preserve">Available at </w:t>
      </w:r>
      <w:hyperlink r:id="rId60" w:tooltip="Reef Water Quality Protection Plan 2013.Securing the health and resilience of the Great Barrier Reef World Heritage Area and adjacent catchments." w:history="1">
        <w:r w:rsidRPr="00D34527">
          <w:rPr>
            <w:rStyle w:val="Hyperlink"/>
            <w:rFonts w:cs="Arial"/>
            <w:color w:val="auto"/>
            <w:sz w:val="22"/>
            <w:szCs w:val="22"/>
            <w:lang w:eastAsia="en-GB"/>
          </w:rPr>
          <w:t>www.reefplan.qld.gov.au</w:t>
        </w:r>
      </w:hyperlink>
    </w:p>
    <w:p w14:paraId="159E0BDA" w14:textId="77777777" w:rsidR="00EB5372" w:rsidRDefault="00757397" w:rsidP="009F400E">
      <w:pPr>
        <w:pStyle w:val="Reportrefs"/>
        <w:spacing w:after="120"/>
        <w:ind w:left="284" w:hanging="284"/>
        <w:rPr>
          <w:rStyle w:val="Hyperlink"/>
          <w:rFonts w:cs="Arial"/>
          <w:color w:val="auto"/>
          <w:sz w:val="22"/>
          <w:szCs w:val="22"/>
          <w:u w:val="none"/>
          <w:lang w:eastAsia="en-GB"/>
        </w:rPr>
      </w:pPr>
      <w:proofErr w:type="gramStart"/>
      <w:r w:rsidRPr="004D6D04">
        <w:rPr>
          <w:rStyle w:val="Hyperlink"/>
          <w:rFonts w:cs="Arial"/>
          <w:color w:val="auto"/>
          <w:sz w:val="22"/>
          <w:szCs w:val="22"/>
          <w:u w:val="none"/>
          <w:lang w:eastAsia="en-GB"/>
        </w:rPr>
        <w:t xml:space="preserve">Anon. (2015) </w:t>
      </w:r>
      <w:r w:rsidR="000B42CD" w:rsidRPr="004D6D04">
        <w:rPr>
          <w:rStyle w:val="Hyperlink"/>
          <w:rFonts w:cs="Arial"/>
          <w:color w:val="auto"/>
          <w:sz w:val="22"/>
          <w:szCs w:val="22"/>
          <w:u w:val="none"/>
          <w:lang w:eastAsia="en-GB"/>
        </w:rPr>
        <w:t>Great Barrier Reef report card 2014</w:t>
      </w:r>
      <w:r w:rsidR="008E2554" w:rsidRPr="004D6D04">
        <w:rPr>
          <w:rStyle w:val="Hyperlink"/>
          <w:rFonts w:cs="Arial"/>
          <w:color w:val="auto"/>
          <w:sz w:val="22"/>
          <w:szCs w:val="22"/>
          <w:u w:val="none"/>
          <w:lang w:eastAsia="en-GB"/>
        </w:rPr>
        <w:t>.</w:t>
      </w:r>
      <w:proofErr w:type="gramEnd"/>
      <w:r w:rsidR="008E2554" w:rsidRPr="004D6D04">
        <w:rPr>
          <w:rStyle w:val="Hyperlink"/>
          <w:rFonts w:cs="Arial"/>
          <w:color w:val="auto"/>
          <w:sz w:val="22"/>
          <w:szCs w:val="22"/>
          <w:u w:val="none"/>
          <w:lang w:eastAsia="en-GB"/>
        </w:rPr>
        <w:t xml:space="preserve"> Queensland Government, </w:t>
      </w:r>
    </w:p>
    <w:p w14:paraId="6B3959EC" w14:textId="77777777" w:rsidR="00757397" w:rsidRPr="004D6D04" w:rsidRDefault="00A966BF" w:rsidP="009F400E">
      <w:pPr>
        <w:pStyle w:val="Reportrefs"/>
        <w:spacing w:after="120"/>
        <w:ind w:left="284" w:hanging="284"/>
        <w:rPr>
          <w:rFonts w:cs="Arial"/>
          <w:sz w:val="22"/>
          <w:szCs w:val="22"/>
          <w:lang w:eastAsia="en-GB"/>
        </w:rPr>
      </w:pPr>
      <w:hyperlink r:id="rId61" w:history="1">
        <w:r w:rsidR="008E2554" w:rsidRPr="004D6D04">
          <w:rPr>
            <w:rStyle w:val="Hyperlink"/>
            <w:rFonts w:cs="Arial"/>
            <w:color w:val="auto"/>
            <w:sz w:val="22"/>
            <w:szCs w:val="22"/>
            <w:lang w:eastAsia="en-GB"/>
          </w:rPr>
          <w:t>http://www.reefplan.qld.gov.au/measuring-success/report-cards/2014/assets/gbr-2014report-card.pdf</w:t>
        </w:r>
      </w:hyperlink>
    </w:p>
    <w:p w14:paraId="123BA7A0" w14:textId="77777777" w:rsidR="009F400E" w:rsidRPr="00D34527" w:rsidRDefault="009F400E" w:rsidP="009F400E">
      <w:pPr>
        <w:pStyle w:val="Reportrefs"/>
        <w:spacing w:after="120"/>
        <w:ind w:left="284" w:hanging="284"/>
        <w:rPr>
          <w:rFonts w:cs="Arial"/>
          <w:sz w:val="22"/>
          <w:szCs w:val="22"/>
        </w:rPr>
      </w:pPr>
      <w:proofErr w:type="gramStart"/>
      <w:r w:rsidRPr="00D34527">
        <w:rPr>
          <w:rFonts w:cs="Arial"/>
          <w:sz w:val="22"/>
          <w:szCs w:val="22"/>
        </w:rPr>
        <w:t>Anthony KRN (1999) Coral suspension feeding on fine particulate matter.</w:t>
      </w:r>
      <w:proofErr w:type="gramEnd"/>
      <w:r w:rsidRPr="00D34527">
        <w:rPr>
          <w:rFonts w:cs="Arial"/>
          <w:sz w:val="22"/>
          <w:szCs w:val="22"/>
        </w:rPr>
        <w:t xml:space="preserve"> Journal of Experimental Marine Biology and Ecology 232:85-106</w:t>
      </w:r>
    </w:p>
    <w:p w14:paraId="159A6664" w14:textId="77777777" w:rsidR="009F400E" w:rsidRPr="00D34527" w:rsidRDefault="009F400E" w:rsidP="009F400E">
      <w:pPr>
        <w:pStyle w:val="Reportrefs"/>
        <w:spacing w:after="120"/>
        <w:ind w:left="284" w:hanging="284"/>
        <w:rPr>
          <w:rFonts w:cs="Arial"/>
          <w:sz w:val="22"/>
          <w:szCs w:val="22"/>
        </w:rPr>
      </w:pPr>
      <w:r w:rsidRPr="00D34527">
        <w:rPr>
          <w:rFonts w:cs="Arial"/>
          <w:sz w:val="22"/>
          <w:szCs w:val="22"/>
        </w:rPr>
        <w:t>Anthony KRN, Fabricius KE (2000) Shifting roles of heterotrophy and autotrophy in coral energetics under varying turbidity. Journal of Experimental Marine Biology and Ecology 252:221-253</w:t>
      </w:r>
    </w:p>
    <w:p w14:paraId="5F56C5D2" w14:textId="77777777" w:rsidR="009F400E" w:rsidRDefault="009F400E" w:rsidP="009F400E">
      <w:pPr>
        <w:pStyle w:val="Reportrefs"/>
        <w:spacing w:after="120"/>
        <w:ind w:left="284" w:hanging="284"/>
        <w:rPr>
          <w:rFonts w:cs="Arial"/>
          <w:sz w:val="22"/>
          <w:szCs w:val="22"/>
          <w:lang w:eastAsia="en-AU"/>
        </w:rPr>
      </w:pPr>
      <w:r w:rsidRPr="00D34527">
        <w:rPr>
          <w:rFonts w:cs="Arial"/>
          <w:sz w:val="22"/>
          <w:szCs w:val="22"/>
          <w:lang w:eastAsia="en-AU"/>
        </w:rPr>
        <w:t xml:space="preserve">Ayling AM, Ayling AL (2005) </w:t>
      </w:r>
      <w:proofErr w:type="gramStart"/>
      <w:r w:rsidRPr="00D34527">
        <w:rPr>
          <w:rFonts w:cs="Arial"/>
          <w:sz w:val="22"/>
          <w:szCs w:val="22"/>
          <w:lang w:eastAsia="en-AU"/>
        </w:rPr>
        <w:t>The</w:t>
      </w:r>
      <w:proofErr w:type="gramEnd"/>
      <w:r w:rsidRPr="00D34527">
        <w:rPr>
          <w:rFonts w:cs="Arial"/>
          <w:sz w:val="22"/>
          <w:szCs w:val="22"/>
          <w:lang w:eastAsia="en-AU"/>
        </w:rPr>
        <w:t xml:space="preserve"> dynamics of Cairns and Central section fringing reefs: 2005 Unpublished report submitted to the Great Barrier Reef Marine Park Authority, Townsville</w:t>
      </w:r>
      <w:r>
        <w:rPr>
          <w:rFonts w:cs="Arial"/>
          <w:sz w:val="22"/>
          <w:szCs w:val="22"/>
          <w:lang w:eastAsia="en-AU"/>
        </w:rPr>
        <w:t>.</w:t>
      </w:r>
    </w:p>
    <w:p w14:paraId="1EEFEBAC" w14:textId="77777777" w:rsidR="009D3707" w:rsidRPr="00AC118A" w:rsidRDefault="009D3707" w:rsidP="009D3707">
      <w:pPr>
        <w:ind w:left="284" w:hanging="284"/>
        <w:rPr>
          <w:color w:val="000000" w:themeColor="text1"/>
        </w:rPr>
      </w:pPr>
      <w:r w:rsidRPr="00AC118A">
        <w:rPr>
          <w:color w:val="000000" w:themeColor="text1"/>
        </w:rPr>
        <w:t xml:space="preserve">Ayling A (1997) </w:t>
      </w:r>
      <w:proofErr w:type="gramStart"/>
      <w:r w:rsidRPr="00AC118A">
        <w:rPr>
          <w:color w:val="000000" w:themeColor="text1"/>
        </w:rPr>
        <w:t>The</w:t>
      </w:r>
      <w:proofErr w:type="gramEnd"/>
      <w:r w:rsidRPr="00AC118A">
        <w:rPr>
          <w:color w:val="000000" w:themeColor="text1"/>
        </w:rPr>
        <w:t xml:space="preserve"> biological status of fringing reefs in the Great Barrier Reef world heritage area. Proceedings of the State of the Great Barrier Reef World Heritage Area Workshop pp. 109-113</w:t>
      </w:r>
    </w:p>
    <w:p w14:paraId="7530EBEA" w14:textId="77777777" w:rsidR="009F400E" w:rsidRPr="00D34527" w:rsidRDefault="009F400E" w:rsidP="009F400E">
      <w:pPr>
        <w:pStyle w:val="Reportrefs"/>
        <w:spacing w:after="120"/>
        <w:ind w:left="284" w:hanging="284"/>
        <w:rPr>
          <w:rFonts w:cs="Arial"/>
          <w:sz w:val="22"/>
          <w:szCs w:val="22"/>
        </w:rPr>
      </w:pPr>
      <w:r w:rsidRPr="00D34527">
        <w:rPr>
          <w:rFonts w:cs="Arial"/>
          <w:sz w:val="22"/>
          <w:szCs w:val="22"/>
        </w:rPr>
        <w:t>Babcock RC, Smith L (2002) Effects of sedimentation on coral settlement and survivorship. In: Proceedings of the 9th International Coral Reef Symposium, Bali, Indonesia, 245–248</w:t>
      </w:r>
    </w:p>
    <w:p w14:paraId="70D76651" w14:textId="77777777" w:rsidR="009F400E" w:rsidRPr="00D34527" w:rsidRDefault="009F400E" w:rsidP="009F400E">
      <w:pPr>
        <w:pStyle w:val="Reportrefs"/>
        <w:spacing w:after="120"/>
        <w:ind w:left="284" w:hanging="284"/>
        <w:rPr>
          <w:rFonts w:cs="Arial"/>
          <w:sz w:val="22"/>
          <w:szCs w:val="22"/>
          <w:lang w:eastAsia="en-AU"/>
        </w:rPr>
      </w:pPr>
      <w:r w:rsidRPr="00D34527">
        <w:rPr>
          <w:rFonts w:cs="Arial"/>
          <w:sz w:val="22"/>
          <w:szCs w:val="22"/>
          <w:lang w:eastAsia="en-AU"/>
        </w:rPr>
        <w:t>Baird AH, Babcock RC, Mundy CP (2003) Habitat selection by larvae influences the depth distribution of six common coral species. Marine Ecology Progress Series 252:289-293</w:t>
      </w:r>
    </w:p>
    <w:p w14:paraId="127D2A70" w14:textId="77777777" w:rsidR="009F400E" w:rsidRPr="00D34527" w:rsidRDefault="009F400E" w:rsidP="009F400E">
      <w:pPr>
        <w:ind w:left="284" w:hanging="284"/>
        <w:rPr>
          <w:rFonts w:cs="Arial"/>
          <w:szCs w:val="24"/>
          <w:lang w:val="en-AU" w:eastAsia="en-AU"/>
        </w:rPr>
      </w:pPr>
      <w:r w:rsidRPr="00D34527">
        <w:rPr>
          <w:rFonts w:cs="Arial"/>
          <w:szCs w:val="24"/>
          <w:lang w:val="en-AU" w:eastAsia="en-AU"/>
        </w:rPr>
        <w:t xml:space="preserve">Bartley R, Corfield JP, Hawdon AA, Kinsey-Henderson AE, Abbott BN, Wilkinson SN, Keen RJ (2014) Can changes to pasture management </w:t>
      </w:r>
      <w:proofErr w:type="gramStart"/>
      <w:r w:rsidRPr="00D34527">
        <w:rPr>
          <w:rFonts w:cs="Arial"/>
          <w:szCs w:val="24"/>
          <w:lang w:val="en-AU" w:eastAsia="en-AU"/>
        </w:rPr>
        <w:t>reduce</w:t>
      </w:r>
      <w:proofErr w:type="gramEnd"/>
      <w:r w:rsidRPr="00D34527">
        <w:rPr>
          <w:rFonts w:cs="Arial"/>
          <w:szCs w:val="24"/>
          <w:lang w:val="en-AU" w:eastAsia="en-AU"/>
        </w:rPr>
        <w:t xml:space="preserve"> runoff and sediment loss to the Great Barrier Reef? </w:t>
      </w:r>
      <w:proofErr w:type="gramStart"/>
      <w:r w:rsidRPr="00D34527">
        <w:rPr>
          <w:rFonts w:cs="Arial"/>
          <w:szCs w:val="24"/>
          <w:lang w:val="en-AU" w:eastAsia="en-AU"/>
        </w:rPr>
        <w:t>The results of a 10-year study in the Burdekin catchment, Australia.</w:t>
      </w:r>
      <w:proofErr w:type="gramEnd"/>
      <w:r w:rsidRPr="00D34527">
        <w:rPr>
          <w:rFonts w:cs="Arial"/>
          <w:szCs w:val="24"/>
          <w:lang w:val="en-AU" w:eastAsia="en-AU"/>
        </w:rPr>
        <w:t xml:space="preserve"> The Rangeland Journal 36:67-84</w:t>
      </w:r>
    </w:p>
    <w:p w14:paraId="66D1CBA6" w14:textId="77777777" w:rsidR="009F400E" w:rsidRPr="00D34527" w:rsidRDefault="009F400E" w:rsidP="009F400E">
      <w:pPr>
        <w:ind w:left="284" w:hanging="284"/>
        <w:rPr>
          <w:rFonts w:cs="Arial"/>
          <w:szCs w:val="24"/>
          <w:lang w:val="en-AU" w:eastAsia="en-AU"/>
        </w:rPr>
      </w:pPr>
      <w:r w:rsidRPr="00D34527">
        <w:rPr>
          <w:rFonts w:cs="Arial"/>
          <w:szCs w:val="24"/>
          <w:lang w:val="en-AU" w:eastAsia="en-AU"/>
        </w:rPr>
        <w:t>Bartley R, Bainbridge ZT, Lewis SE, Kroon FJ, Wilkinson SN, Brodie JE, Silburn DM (2014) Relating sediment impacts on coral reefs to watershed sources, processes and management: A review. Science of the Total Environment 468–469:1138-1153</w:t>
      </w:r>
    </w:p>
    <w:p w14:paraId="197E8BA7" w14:textId="77777777" w:rsidR="009F400E" w:rsidRPr="00D34527" w:rsidRDefault="009F400E" w:rsidP="009F400E">
      <w:pPr>
        <w:ind w:left="284" w:hanging="284"/>
        <w:rPr>
          <w:rFonts w:cs="Arial"/>
          <w:szCs w:val="22"/>
          <w:lang w:val="en-US"/>
        </w:rPr>
      </w:pPr>
      <w:proofErr w:type="gramStart"/>
      <w:r w:rsidRPr="00D34527">
        <w:rPr>
          <w:rFonts w:cs="Arial"/>
          <w:szCs w:val="22"/>
          <w:lang w:val="en-AU" w:eastAsia="en-AU"/>
        </w:rPr>
        <w:lastRenderedPageBreak/>
        <w:t>Belperio AP, Searle DE (1988) Terrigenous and carbonate sedimentation in the Great Barrier Reef province.</w:t>
      </w:r>
      <w:proofErr w:type="gramEnd"/>
      <w:r w:rsidRPr="00D34527">
        <w:rPr>
          <w:rFonts w:cs="Arial"/>
          <w:szCs w:val="22"/>
          <w:lang w:val="en-AU" w:eastAsia="en-AU"/>
        </w:rPr>
        <w:t xml:space="preserve"> In: J, D.L., H, R.H. (Eds.), Carbonate to Clastic Facies Changes. </w:t>
      </w:r>
      <w:proofErr w:type="gramStart"/>
      <w:r w:rsidRPr="00D34527">
        <w:rPr>
          <w:rFonts w:cs="Arial"/>
          <w:szCs w:val="22"/>
          <w:lang w:val="en-AU" w:eastAsia="en-AU"/>
        </w:rPr>
        <w:t>Developments in Sedimentology.</w:t>
      </w:r>
      <w:proofErr w:type="gramEnd"/>
      <w:r w:rsidRPr="00D34527">
        <w:rPr>
          <w:rFonts w:cs="Arial"/>
          <w:szCs w:val="22"/>
          <w:lang w:val="en-AU" w:eastAsia="en-AU"/>
        </w:rPr>
        <w:t xml:space="preserve"> Elsevier Science Publishers, Amsterdam, pp. 143–174</w:t>
      </w:r>
    </w:p>
    <w:p w14:paraId="26C0522C" w14:textId="77777777" w:rsidR="009F400E" w:rsidRPr="00D34527" w:rsidRDefault="009F400E" w:rsidP="009F400E">
      <w:pPr>
        <w:ind w:left="284" w:hanging="284"/>
        <w:rPr>
          <w:rFonts w:cs="Arial"/>
          <w:szCs w:val="22"/>
          <w:lang w:val="en-US"/>
        </w:rPr>
      </w:pPr>
      <w:r w:rsidRPr="00D34527">
        <w:rPr>
          <w:rFonts w:cs="Arial"/>
          <w:szCs w:val="22"/>
          <w:lang w:val="en-US"/>
        </w:rPr>
        <w:t xml:space="preserve">Bellwood DR, Hughes TP, Folke C, Nyström M (2004) Confronting the coral reef crisis. Nature 429:827-833 </w:t>
      </w:r>
    </w:p>
    <w:p w14:paraId="3B1D26EB" w14:textId="77777777" w:rsidR="009F400E" w:rsidRPr="00D34527" w:rsidRDefault="009F400E" w:rsidP="009F400E">
      <w:pPr>
        <w:ind w:left="284" w:hanging="284"/>
        <w:rPr>
          <w:rFonts w:cs="Arial"/>
          <w:szCs w:val="22"/>
          <w:lang w:val="en-AU" w:eastAsia="en-AU"/>
        </w:rPr>
      </w:pPr>
      <w:r w:rsidRPr="00D34527">
        <w:rPr>
          <w:rFonts w:cs="Arial"/>
          <w:szCs w:val="22"/>
          <w:lang w:val="en-AU" w:eastAsia="en-AU"/>
        </w:rPr>
        <w:t xml:space="preserve">Berkelmans R, De’ath G, Kininmonth S, Skirving WJ (2004) A comparison of the 1998 and 2002 coral bleaching events on the Great Barrier Reef: spatial correlation, patterns, and predictions. </w:t>
      </w:r>
      <w:r w:rsidRPr="00D34527">
        <w:rPr>
          <w:rFonts w:cs="Arial"/>
          <w:iCs/>
          <w:szCs w:val="22"/>
          <w:lang w:val="en-AU" w:eastAsia="en-AU"/>
        </w:rPr>
        <w:t>Coral reefs</w:t>
      </w:r>
      <w:r w:rsidRPr="00D34527">
        <w:rPr>
          <w:rFonts w:cs="Arial"/>
          <w:szCs w:val="22"/>
          <w:lang w:val="en-AU" w:eastAsia="en-AU"/>
        </w:rPr>
        <w:t xml:space="preserve">, </w:t>
      </w:r>
      <w:r w:rsidRPr="00D34527">
        <w:rPr>
          <w:rFonts w:cs="Arial"/>
          <w:iCs/>
          <w:szCs w:val="22"/>
          <w:lang w:val="en-AU" w:eastAsia="en-AU"/>
        </w:rPr>
        <w:t>23</w:t>
      </w:r>
      <w:r w:rsidRPr="00D34527">
        <w:rPr>
          <w:rFonts w:cs="Arial"/>
          <w:szCs w:val="22"/>
          <w:lang w:val="en-AU" w:eastAsia="en-AU"/>
        </w:rPr>
        <w:t>(1)</w:t>
      </w:r>
      <w:r w:rsidR="008D482D">
        <w:rPr>
          <w:rFonts w:cs="Arial"/>
          <w:szCs w:val="22"/>
          <w:lang w:val="en-AU" w:eastAsia="en-AU"/>
        </w:rPr>
        <w:t>:</w:t>
      </w:r>
      <w:r w:rsidRPr="00D34527">
        <w:rPr>
          <w:rFonts w:cs="Arial"/>
          <w:szCs w:val="22"/>
          <w:lang w:val="en-AU" w:eastAsia="en-AU"/>
        </w:rPr>
        <w:t>74-83</w:t>
      </w:r>
    </w:p>
    <w:p w14:paraId="686AE367" w14:textId="77777777" w:rsidR="009F400E" w:rsidRPr="00D34527" w:rsidRDefault="009F400E" w:rsidP="009F400E">
      <w:pPr>
        <w:pStyle w:val="Reportrefs"/>
        <w:spacing w:after="120"/>
        <w:ind w:left="284" w:hanging="284"/>
        <w:rPr>
          <w:rFonts w:cs="Arial"/>
          <w:sz w:val="22"/>
          <w:szCs w:val="22"/>
          <w:lang w:eastAsia="en-AU"/>
        </w:rPr>
      </w:pPr>
      <w:r w:rsidRPr="00D34527">
        <w:rPr>
          <w:rFonts w:cs="Arial"/>
          <w:sz w:val="22"/>
          <w:szCs w:val="22"/>
          <w:lang w:eastAsia="en-AU"/>
        </w:rPr>
        <w:t xml:space="preserve">Berkelmans R, Jones A, Schaffelke B (2012) Salinity thresholds of Acropora spp. </w:t>
      </w:r>
      <w:proofErr w:type="gramStart"/>
      <w:r w:rsidRPr="00D34527">
        <w:rPr>
          <w:rFonts w:cs="Arial"/>
          <w:sz w:val="22"/>
          <w:szCs w:val="22"/>
          <w:lang w:eastAsia="en-AU"/>
        </w:rPr>
        <w:t>On the Great Barrier Reef.</w:t>
      </w:r>
      <w:proofErr w:type="gramEnd"/>
      <w:r w:rsidRPr="00D34527">
        <w:rPr>
          <w:rFonts w:cs="Arial"/>
          <w:sz w:val="22"/>
          <w:szCs w:val="22"/>
          <w:lang w:eastAsia="en-AU"/>
        </w:rPr>
        <w:t xml:space="preserve"> Coral Reefs 31:1103-1110</w:t>
      </w:r>
    </w:p>
    <w:p w14:paraId="67A2E50B" w14:textId="77777777" w:rsidR="009F400E" w:rsidRPr="00D34527" w:rsidRDefault="009F400E" w:rsidP="009F400E">
      <w:pPr>
        <w:pStyle w:val="Reportrefs"/>
        <w:spacing w:after="120"/>
        <w:ind w:left="284" w:hanging="284"/>
        <w:rPr>
          <w:rFonts w:cs="Arial"/>
          <w:sz w:val="22"/>
          <w:szCs w:val="22"/>
        </w:rPr>
      </w:pPr>
      <w:proofErr w:type="gramStart"/>
      <w:r w:rsidRPr="00D34527">
        <w:rPr>
          <w:rFonts w:cs="Arial"/>
          <w:sz w:val="22"/>
          <w:szCs w:val="22"/>
        </w:rPr>
        <w:t>Birrell CL, McCook LJ, Willis BL (2005) Effects of algal turfs and sediment on coral settlement.</w:t>
      </w:r>
      <w:proofErr w:type="gramEnd"/>
      <w:r w:rsidRPr="00D34527">
        <w:rPr>
          <w:rFonts w:cs="Arial"/>
          <w:sz w:val="22"/>
          <w:szCs w:val="22"/>
        </w:rPr>
        <w:t xml:space="preserve"> Marine Pollution Bulletin 51:408-414</w:t>
      </w:r>
    </w:p>
    <w:p w14:paraId="6F39D626" w14:textId="77777777" w:rsidR="009F400E" w:rsidRPr="00D34527" w:rsidRDefault="009F400E" w:rsidP="009F400E">
      <w:pPr>
        <w:pStyle w:val="Reportrefs"/>
        <w:spacing w:after="120"/>
        <w:ind w:left="284" w:hanging="284"/>
        <w:rPr>
          <w:rFonts w:cs="Arial"/>
          <w:sz w:val="22"/>
          <w:szCs w:val="22"/>
          <w:lang w:eastAsia="en-AU"/>
        </w:rPr>
      </w:pPr>
      <w:proofErr w:type="gramStart"/>
      <w:r w:rsidRPr="00D34527">
        <w:rPr>
          <w:rFonts w:cs="Arial"/>
          <w:sz w:val="22"/>
          <w:szCs w:val="22"/>
          <w:lang w:eastAsia="en-AU"/>
        </w:rPr>
        <w:t>Birrell CL, McCook LJ, Willis BL, Diaz-Pulido GA (2008a) Effects of benthic algae on the replenishments of corals and the implications for the resilience of coral reefs.</w:t>
      </w:r>
      <w:proofErr w:type="gramEnd"/>
      <w:r w:rsidRPr="00D34527">
        <w:rPr>
          <w:rFonts w:cs="Arial"/>
          <w:sz w:val="22"/>
          <w:szCs w:val="22"/>
          <w:lang w:eastAsia="en-AU"/>
        </w:rPr>
        <w:t xml:space="preserve"> Oceanography and Marine Biology: An Annual Review 46:25-64</w:t>
      </w:r>
    </w:p>
    <w:p w14:paraId="18D95303" w14:textId="77777777" w:rsidR="009F400E" w:rsidRDefault="009F400E" w:rsidP="009F400E">
      <w:pPr>
        <w:pStyle w:val="Reportrefs"/>
        <w:spacing w:after="120"/>
        <w:ind w:left="284" w:hanging="284"/>
        <w:rPr>
          <w:rFonts w:cs="Arial"/>
          <w:sz w:val="22"/>
          <w:szCs w:val="22"/>
          <w:lang w:eastAsia="en-AU"/>
        </w:rPr>
      </w:pPr>
      <w:r w:rsidRPr="00D34527">
        <w:rPr>
          <w:rFonts w:cs="Arial"/>
          <w:sz w:val="22"/>
          <w:szCs w:val="22"/>
          <w:lang w:eastAsia="en-AU"/>
        </w:rPr>
        <w:t xml:space="preserve">Birrell CL, McCook LJ, Willis BL, Harrington L (2008b) Chemical effects of macroalgae on larval settlement of the broadcast spawning coral </w:t>
      </w:r>
      <w:r w:rsidRPr="00D34527">
        <w:rPr>
          <w:rFonts w:cs="Arial"/>
          <w:i/>
          <w:sz w:val="22"/>
          <w:szCs w:val="22"/>
          <w:lang w:eastAsia="en-AU"/>
        </w:rPr>
        <w:t>Acropora millepora</w:t>
      </w:r>
      <w:r w:rsidRPr="00D34527">
        <w:rPr>
          <w:rFonts w:cs="Arial"/>
          <w:sz w:val="22"/>
          <w:szCs w:val="22"/>
          <w:lang w:eastAsia="en-AU"/>
        </w:rPr>
        <w:t>. Marine Ecology Progress Series 362:129-137</w:t>
      </w:r>
    </w:p>
    <w:p w14:paraId="64526072" w14:textId="77777777" w:rsidR="009F400E" w:rsidRPr="00D34527" w:rsidRDefault="009F400E" w:rsidP="009F400E">
      <w:pPr>
        <w:pStyle w:val="Reportrefs"/>
        <w:spacing w:after="120"/>
        <w:ind w:left="284" w:hanging="284"/>
        <w:rPr>
          <w:rFonts w:cs="Arial"/>
          <w:sz w:val="22"/>
          <w:szCs w:val="22"/>
          <w:lang w:eastAsia="en-AU"/>
        </w:rPr>
      </w:pPr>
      <w:r w:rsidRPr="00A04ACF">
        <w:rPr>
          <w:rFonts w:cs="Arial"/>
          <w:sz w:val="22"/>
          <w:szCs w:val="22"/>
          <w:lang w:eastAsia="en-AU"/>
        </w:rPr>
        <w:t>Box</w:t>
      </w:r>
      <w:r w:rsidR="0021071D">
        <w:rPr>
          <w:rFonts w:cs="Arial"/>
          <w:sz w:val="22"/>
          <w:szCs w:val="22"/>
          <w:lang w:eastAsia="en-AU"/>
        </w:rPr>
        <w:t xml:space="preserve"> </w:t>
      </w:r>
      <w:r w:rsidR="00A04ACF" w:rsidRPr="00A04ACF">
        <w:rPr>
          <w:rFonts w:cs="Arial"/>
          <w:sz w:val="22"/>
          <w:szCs w:val="22"/>
          <w:lang w:eastAsia="en-AU"/>
        </w:rPr>
        <w:t>SJ, Mumby</w:t>
      </w:r>
      <w:r w:rsidRPr="00A04ACF">
        <w:rPr>
          <w:rFonts w:cs="Arial"/>
          <w:sz w:val="22"/>
          <w:szCs w:val="22"/>
          <w:lang w:eastAsia="en-AU"/>
        </w:rPr>
        <w:t xml:space="preserve"> PJ </w:t>
      </w:r>
      <w:r w:rsidR="00A04ACF" w:rsidRPr="00A04ACF">
        <w:rPr>
          <w:rFonts w:cs="Arial"/>
          <w:sz w:val="22"/>
          <w:szCs w:val="22"/>
          <w:lang w:eastAsia="en-AU"/>
        </w:rPr>
        <w:t>(</w:t>
      </w:r>
      <w:r w:rsidRPr="00A04ACF">
        <w:rPr>
          <w:rFonts w:cs="Arial"/>
          <w:sz w:val="22"/>
          <w:szCs w:val="22"/>
          <w:lang w:eastAsia="en-AU"/>
        </w:rPr>
        <w:t>2007</w:t>
      </w:r>
      <w:r w:rsidR="00A04ACF" w:rsidRPr="00A04ACF">
        <w:rPr>
          <w:rFonts w:cs="Arial"/>
          <w:sz w:val="22"/>
          <w:szCs w:val="22"/>
          <w:lang w:eastAsia="en-AU"/>
        </w:rPr>
        <w:t>) Effect</w:t>
      </w:r>
      <w:r w:rsidR="00A04ACF">
        <w:rPr>
          <w:rFonts w:cs="Arial"/>
          <w:sz w:val="22"/>
          <w:szCs w:val="22"/>
          <w:lang w:eastAsia="en-AU"/>
        </w:rPr>
        <w:t xml:space="preserve"> of macroalgal competition on growth and survival of juvenile Caribbean corals. Marine Ecology Progress Series 342:139-149</w:t>
      </w:r>
    </w:p>
    <w:p w14:paraId="474AE4C2" w14:textId="77777777" w:rsidR="009F400E" w:rsidRPr="00D34527" w:rsidRDefault="009F400E" w:rsidP="009F400E">
      <w:pPr>
        <w:ind w:left="284" w:hanging="284"/>
        <w:rPr>
          <w:rFonts w:cs="Arial"/>
          <w:szCs w:val="22"/>
          <w:lang w:val="en-US"/>
        </w:rPr>
      </w:pPr>
      <w:r w:rsidRPr="00D34527">
        <w:rPr>
          <w:rFonts w:cs="Arial"/>
          <w:szCs w:val="22"/>
          <w:lang w:val="en-US"/>
        </w:rPr>
        <w:t xml:space="preserve">Bradley P, Fore LS, </w:t>
      </w:r>
      <w:proofErr w:type="gramStart"/>
      <w:r w:rsidRPr="00D34527">
        <w:rPr>
          <w:rFonts w:cs="Arial"/>
          <w:szCs w:val="22"/>
          <w:lang w:val="en-US"/>
        </w:rPr>
        <w:t>Fisher</w:t>
      </w:r>
      <w:proofErr w:type="gramEnd"/>
      <w:r w:rsidRPr="00D34527">
        <w:rPr>
          <w:rFonts w:cs="Arial"/>
          <w:szCs w:val="22"/>
          <w:lang w:val="en-US"/>
        </w:rPr>
        <w:t xml:space="preserve"> W, Davis W (2010) Coral reef biological criteria: using the Clean Water Act to protect a national treasure. US Environmental Protection Agency</w:t>
      </w:r>
    </w:p>
    <w:p w14:paraId="1F36BD2C" w14:textId="77777777" w:rsidR="009F400E" w:rsidRPr="00D34527" w:rsidRDefault="009F400E" w:rsidP="009F400E">
      <w:pPr>
        <w:ind w:left="284" w:hanging="284"/>
        <w:rPr>
          <w:rFonts w:cs="Arial"/>
          <w:szCs w:val="22"/>
          <w:lang w:val="en-AU"/>
        </w:rPr>
      </w:pPr>
      <w:r w:rsidRPr="00D34527">
        <w:rPr>
          <w:rFonts w:cs="Arial"/>
          <w:szCs w:val="22"/>
          <w:lang w:val="en-AU" w:eastAsia="en-AU"/>
        </w:rPr>
        <w:t>Brando VE, Dekker AG, Park YJ, Schroeder T (2012) Adaptive semi-analytical inversion of ocean color radiometry in optically complex waters. Applied Optics 51:2808-2833</w:t>
      </w:r>
    </w:p>
    <w:p w14:paraId="1203FA88" w14:textId="77777777" w:rsidR="009F400E" w:rsidRPr="00D34527" w:rsidRDefault="009F400E" w:rsidP="009F400E">
      <w:pPr>
        <w:ind w:left="284" w:hanging="284"/>
        <w:rPr>
          <w:rFonts w:cs="Arial"/>
          <w:szCs w:val="22"/>
          <w:lang w:val="en-US"/>
        </w:rPr>
      </w:pPr>
      <w:r w:rsidRPr="00D34527">
        <w:rPr>
          <w:rFonts w:cs="Arial"/>
          <w:szCs w:val="22"/>
          <w:lang w:val="en-US"/>
        </w:rPr>
        <w:t xml:space="preserve">Brinkman R, Herzfeld M, Andrewartha J, Rizwi F, Steinberg C, Spagnol S (2011) Hydrodynamics at the whole of GBR scale. AIMS Final Project Report MTSRF Project 2.5i.1, June 2011. Report to Reef and Rainforest Research Centre. </w:t>
      </w:r>
      <w:proofErr w:type="gramStart"/>
      <w:r w:rsidRPr="00D34527">
        <w:rPr>
          <w:rFonts w:cs="Arial"/>
          <w:szCs w:val="22"/>
          <w:lang w:val="en-US"/>
        </w:rPr>
        <w:t>Australian Institute of Marine Science, Townsville.</w:t>
      </w:r>
      <w:proofErr w:type="gramEnd"/>
      <w:r w:rsidRPr="00D34527">
        <w:rPr>
          <w:rFonts w:cs="Arial"/>
          <w:szCs w:val="22"/>
          <w:lang w:val="en-US"/>
        </w:rPr>
        <w:t xml:space="preserve"> 42pp</w:t>
      </w:r>
    </w:p>
    <w:p w14:paraId="3DAEFA10" w14:textId="77777777" w:rsidR="009F400E" w:rsidRPr="00D34527" w:rsidRDefault="009F400E" w:rsidP="009F400E">
      <w:pPr>
        <w:ind w:left="284" w:hanging="284"/>
        <w:rPr>
          <w:rFonts w:cs="Arial"/>
          <w:szCs w:val="22"/>
          <w:lang w:val="en-US"/>
        </w:rPr>
      </w:pPr>
      <w:r w:rsidRPr="00D34527">
        <w:rPr>
          <w:rFonts w:cs="Arial"/>
          <w:szCs w:val="22"/>
          <w:lang w:val="en-US"/>
        </w:rPr>
        <w:t xml:space="preserve">Brodie J, Binney J, Fabricius K, Gordon I, Hoegh-Guldberg O, Hunter H, O’Reagain P, Pearson R, Quirk M, Thorburn P, Waterhouse J, Webster I, Wilkinson S (2008) Synthesis of evidence to support the Scientific Consensus Statement on Water Quality in the Great Barrier Reef. </w:t>
      </w:r>
      <w:proofErr w:type="gramStart"/>
      <w:r w:rsidRPr="00D34527">
        <w:rPr>
          <w:rFonts w:cs="Arial"/>
          <w:szCs w:val="22"/>
          <w:lang w:val="en-US"/>
        </w:rPr>
        <w:t>The State of Queensland (Department of the Premier and Cabinet).</w:t>
      </w:r>
      <w:proofErr w:type="gramEnd"/>
      <w:r w:rsidRPr="00D34527">
        <w:rPr>
          <w:rFonts w:cs="Arial"/>
          <w:szCs w:val="22"/>
          <w:lang w:val="en-US"/>
        </w:rPr>
        <w:t xml:space="preserve"> </w:t>
      </w:r>
      <w:proofErr w:type="gramStart"/>
      <w:r w:rsidRPr="00D34527">
        <w:rPr>
          <w:rFonts w:cs="Arial"/>
          <w:szCs w:val="22"/>
          <w:lang w:val="en-US"/>
        </w:rPr>
        <w:t>Published by the Reef Water Quality Protection Plan Secretariat, Brisbane.</w:t>
      </w:r>
      <w:proofErr w:type="gramEnd"/>
      <w:r w:rsidRPr="00D34527">
        <w:rPr>
          <w:rFonts w:cs="Arial"/>
          <w:szCs w:val="22"/>
          <w:lang w:val="en-US"/>
        </w:rPr>
        <w:t xml:space="preserve"> 59pp </w:t>
      </w:r>
    </w:p>
    <w:p w14:paraId="7CBC1CAA" w14:textId="77777777" w:rsidR="009F400E" w:rsidRPr="00D34527" w:rsidRDefault="009F400E" w:rsidP="009F400E">
      <w:pPr>
        <w:ind w:left="284" w:hanging="284"/>
        <w:rPr>
          <w:rFonts w:cs="Arial"/>
          <w:szCs w:val="22"/>
          <w:lang w:val="en-AU" w:eastAsia="en-AU"/>
        </w:rPr>
      </w:pPr>
      <w:r w:rsidRPr="00D34527">
        <w:rPr>
          <w:rFonts w:cs="Arial"/>
          <w:szCs w:val="22"/>
          <w:lang w:val="en-AU" w:eastAsia="en-AU"/>
        </w:rPr>
        <w:t xml:space="preserve">Brodie J, Fabricius K, De’ath G, Okaji K (2005) Are increased nutrient inputs responsible for more outbreaks of crown-of-thorns starfish? </w:t>
      </w:r>
      <w:proofErr w:type="gramStart"/>
      <w:r w:rsidRPr="00D34527">
        <w:rPr>
          <w:rFonts w:cs="Arial"/>
          <w:szCs w:val="22"/>
          <w:lang w:val="en-AU" w:eastAsia="en-AU"/>
        </w:rPr>
        <w:t>An appraisal of the evidence.</w:t>
      </w:r>
      <w:proofErr w:type="gramEnd"/>
      <w:r w:rsidRPr="00D34527">
        <w:rPr>
          <w:rFonts w:cs="Arial"/>
          <w:szCs w:val="22"/>
          <w:lang w:val="en-AU" w:eastAsia="en-AU"/>
        </w:rPr>
        <w:t xml:space="preserve"> </w:t>
      </w:r>
      <w:r w:rsidRPr="00D34527">
        <w:rPr>
          <w:rFonts w:cs="Arial"/>
          <w:iCs/>
          <w:szCs w:val="22"/>
          <w:lang w:val="en-AU" w:eastAsia="en-AU"/>
        </w:rPr>
        <w:t>Marine Pollution Bulletin</w:t>
      </w:r>
      <w:r w:rsidRPr="00D34527">
        <w:rPr>
          <w:rFonts w:cs="Arial"/>
          <w:szCs w:val="22"/>
          <w:lang w:val="en-AU" w:eastAsia="en-AU"/>
        </w:rPr>
        <w:t xml:space="preserve">, </w:t>
      </w:r>
      <w:r w:rsidRPr="00D34527">
        <w:rPr>
          <w:rFonts w:cs="Arial"/>
          <w:iCs/>
          <w:szCs w:val="22"/>
          <w:lang w:val="en-AU" w:eastAsia="en-AU"/>
        </w:rPr>
        <w:t>51</w:t>
      </w:r>
      <w:r w:rsidRPr="00D34527">
        <w:rPr>
          <w:rFonts w:cs="Arial"/>
          <w:szCs w:val="22"/>
          <w:lang w:val="en-AU" w:eastAsia="en-AU"/>
        </w:rPr>
        <w:t>(1)</w:t>
      </w:r>
      <w:r w:rsidR="008D482D">
        <w:rPr>
          <w:rFonts w:cs="Arial"/>
          <w:szCs w:val="22"/>
          <w:lang w:val="en-AU" w:eastAsia="en-AU"/>
        </w:rPr>
        <w:t>:</w:t>
      </w:r>
      <w:r w:rsidRPr="00D34527">
        <w:rPr>
          <w:rFonts w:cs="Arial"/>
          <w:szCs w:val="22"/>
          <w:lang w:val="en-AU" w:eastAsia="en-AU"/>
        </w:rPr>
        <w:t>266-278</w:t>
      </w:r>
    </w:p>
    <w:p w14:paraId="57A49254" w14:textId="77777777" w:rsidR="009F400E" w:rsidRPr="00D34527" w:rsidRDefault="009F400E" w:rsidP="009F400E">
      <w:pPr>
        <w:ind w:left="284" w:hanging="284"/>
        <w:rPr>
          <w:rFonts w:cs="Arial"/>
          <w:szCs w:val="22"/>
        </w:rPr>
      </w:pPr>
      <w:r w:rsidRPr="00D34527">
        <w:rPr>
          <w:rFonts w:cs="Arial"/>
          <w:szCs w:val="22"/>
        </w:rPr>
        <w:t>Brodie JE, Kroon FJ, Schaffelke B, Wolanski EC, Lewis SE, Devlin MJ, Bohnet IC, Bainbridge ZT, Waterhouse J, Davis AM (2012b) Terrestrial pollutant runoff to the Great Barrier Reef: An update of issues, priorities and management responses. Marine Pollution Bulletin 65:81-100</w:t>
      </w:r>
    </w:p>
    <w:p w14:paraId="5F8E81FF" w14:textId="77777777" w:rsidR="009F400E" w:rsidRPr="00D34527" w:rsidRDefault="009F400E" w:rsidP="009F400E">
      <w:pPr>
        <w:ind w:left="284" w:hanging="284"/>
        <w:rPr>
          <w:rFonts w:cs="Arial"/>
          <w:szCs w:val="22"/>
        </w:rPr>
      </w:pPr>
      <w:r w:rsidRPr="00D34527">
        <w:rPr>
          <w:rFonts w:cs="Arial"/>
          <w:szCs w:val="22"/>
        </w:rPr>
        <w:t xml:space="preserve">Brodie J, Wolanski E, Lewis S, </w:t>
      </w:r>
      <w:proofErr w:type="gramStart"/>
      <w:r w:rsidRPr="00D34527">
        <w:rPr>
          <w:rFonts w:cs="Arial"/>
          <w:szCs w:val="22"/>
        </w:rPr>
        <w:t>Bainbridge</w:t>
      </w:r>
      <w:proofErr w:type="gramEnd"/>
      <w:r w:rsidRPr="00D34527">
        <w:rPr>
          <w:rFonts w:cs="Arial"/>
          <w:szCs w:val="22"/>
        </w:rPr>
        <w:t xml:space="preserve"> Z (2012a) An assessment of residence times of land-sourced contaminants in the Great Barrier Reef lagoon and the implications for management and reef recovery. Marine Pollution Bulletin 65:267-279</w:t>
      </w:r>
    </w:p>
    <w:p w14:paraId="791DF989" w14:textId="77777777" w:rsidR="009F400E" w:rsidRPr="00D34527" w:rsidRDefault="009F400E" w:rsidP="009F400E">
      <w:pPr>
        <w:ind w:left="284" w:hanging="284"/>
        <w:rPr>
          <w:rFonts w:cs="Arial"/>
          <w:szCs w:val="22"/>
          <w:lang w:val="en-US"/>
        </w:rPr>
      </w:pPr>
      <w:r w:rsidRPr="00D34527">
        <w:rPr>
          <w:rFonts w:cs="Arial"/>
          <w:szCs w:val="22"/>
          <w:lang w:val="en-US"/>
        </w:rPr>
        <w:t xml:space="preserve">Brodie JE, McKergow LA, Prosser IP, Furnas MJ, Hughes AO, Hunter H (2003) Sources of sediment and nutrient exports to the Great Barrier Reef World Heritage Area. </w:t>
      </w:r>
      <w:proofErr w:type="gramStart"/>
      <w:r w:rsidRPr="00D34527">
        <w:rPr>
          <w:rFonts w:cs="Arial"/>
          <w:szCs w:val="22"/>
          <w:lang w:val="en-US"/>
        </w:rPr>
        <w:t>Australian Centre for Marine and Tropical Freshwater Research Report No. 03/11.</w:t>
      </w:r>
      <w:proofErr w:type="gramEnd"/>
      <w:r w:rsidRPr="00D34527">
        <w:rPr>
          <w:rFonts w:cs="Arial"/>
          <w:szCs w:val="22"/>
          <w:lang w:val="en-US"/>
        </w:rPr>
        <w:t xml:space="preserve"> James Cook University, Townsville</w:t>
      </w:r>
    </w:p>
    <w:p w14:paraId="0DFAFE2D" w14:textId="77777777" w:rsidR="009F400E" w:rsidRPr="00D34527" w:rsidRDefault="009F400E" w:rsidP="009F400E">
      <w:pPr>
        <w:ind w:left="284" w:hanging="284"/>
        <w:rPr>
          <w:rFonts w:cs="Arial"/>
          <w:szCs w:val="22"/>
          <w:lang w:bidi="en-US"/>
        </w:rPr>
      </w:pPr>
      <w:r w:rsidRPr="00D34527">
        <w:rPr>
          <w:rFonts w:cs="Arial"/>
          <w:szCs w:val="22"/>
          <w:lang w:bidi="en-US"/>
        </w:rPr>
        <w:lastRenderedPageBreak/>
        <w:t>Browne NK, Smithers SG, Perry CT (2010) Geomorphology and community structure of Middle Reef, central Great Barrier Reef, Australia: an inner-shelf turbid zone reef subject to episodic mortality events. Coral Reefs 29: 683-689</w:t>
      </w:r>
    </w:p>
    <w:p w14:paraId="70F5AC22" w14:textId="77777777" w:rsidR="009F400E" w:rsidRPr="00D34527" w:rsidRDefault="009F400E" w:rsidP="009F400E">
      <w:pPr>
        <w:ind w:left="284" w:hanging="284"/>
        <w:rPr>
          <w:rFonts w:cs="Arial"/>
          <w:szCs w:val="22"/>
          <w:lang w:bidi="en-US"/>
        </w:rPr>
      </w:pPr>
      <w:r w:rsidRPr="00D34527">
        <w:rPr>
          <w:rFonts w:cs="Arial"/>
          <w:szCs w:val="22"/>
        </w:rPr>
        <w:t>Browne NK, Smithers SG, Perry CT (2012) Coral reefs of the turbid inner-shelf of the Great Barrier Reef, Australia: An environmental and geomorphic perspective on the occurrence, composition and growth. Earth-Science Reviews 115:1-20</w:t>
      </w:r>
    </w:p>
    <w:p w14:paraId="1BD97F80" w14:textId="77777777" w:rsidR="009F400E" w:rsidRPr="00D34527" w:rsidRDefault="009F400E" w:rsidP="009F400E">
      <w:pPr>
        <w:pStyle w:val="Reportrefs"/>
        <w:spacing w:after="120"/>
        <w:ind w:left="284" w:hanging="284"/>
        <w:rPr>
          <w:rFonts w:cs="Arial"/>
          <w:sz w:val="22"/>
          <w:szCs w:val="22"/>
        </w:rPr>
      </w:pPr>
      <w:r w:rsidRPr="00D34527">
        <w:rPr>
          <w:rFonts w:cs="Arial"/>
          <w:sz w:val="22"/>
          <w:szCs w:val="22"/>
        </w:rPr>
        <w:t>Bruno JF, Petes LE, Harvell CD, Hettinger A (2003) Nutrient enrichment can increase the severity of coral diseases. Ecology Letters 6:1056-1061</w:t>
      </w:r>
    </w:p>
    <w:p w14:paraId="01FD21C1" w14:textId="77777777" w:rsidR="009F400E" w:rsidRPr="00D34527" w:rsidRDefault="009F400E" w:rsidP="009F400E">
      <w:pPr>
        <w:pStyle w:val="Reportrefs"/>
        <w:spacing w:after="120"/>
        <w:ind w:left="284" w:hanging="284"/>
        <w:rPr>
          <w:rFonts w:cs="Arial"/>
          <w:sz w:val="22"/>
          <w:szCs w:val="22"/>
        </w:rPr>
      </w:pPr>
      <w:r w:rsidRPr="00D34527">
        <w:rPr>
          <w:rFonts w:cs="Arial"/>
          <w:sz w:val="22"/>
          <w:szCs w:val="22"/>
        </w:rPr>
        <w:t>Bruno JF, Sweatman H, Precht WF, Selig ER, Schutte VGW (2009) Assessing evidence of phase shifts from coral to macroalgal dominance on coral reefs. Ecology 90:1478-1484</w:t>
      </w:r>
    </w:p>
    <w:p w14:paraId="67048AD4" w14:textId="77777777" w:rsidR="009F400E" w:rsidRPr="00D34527" w:rsidRDefault="009F400E" w:rsidP="009F400E">
      <w:pPr>
        <w:ind w:left="284" w:hanging="284"/>
        <w:rPr>
          <w:rFonts w:cs="Arial"/>
          <w:szCs w:val="24"/>
          <w:lang w:val="en-AU" w:eastAsia="en-AU"/>
        </w:rPr>
      </w:pPr>
      <w:r w:rsidRPr="00D34527">
        <w:rPr>
          <w:rFonts w:cs="Arial"/>
          <w:szCs w:val="24"/>
          <w:lang w:val="en-AU" w:eastAsia="en-AU"/>
        </w:rPr>
        <w:t>Caballes CF, Pratchett MS (2014) Reproductive biology and early life history of the crown-of-thorns starfish. In: Whitmore E (</w:t>
      </w:r>
      <w:r w:rsidR="001648C9" w:rsidRPr="00D34527">
        <w:rPr>
          <w:rFonts w:cs="Arial"/>
          <w:szCs w:val="24"/>
          <w:lang w:val="en-AU" w:eastAsia="en-AU"/>
        </w:rPr>
        <w:t>Ed</w:t>
      </w:r>
      <w:r w:rsidRPr="00D34527">
        <w:rPr>
          <w:rFonts w:cs="Arial"/>
          <w:szCs w:val="24"/>
          <w:lang w:val="en-AU" w:eastAsia="en-AU"/>
        </w:rPr>
        <w:t>) Echinoderms: ecology, habitats and reproductive biology. Nova Science Publishers, New York, NY, USA</w:t>
      </w:r>
    </w:p>
    <w:p w14:paraId="344EDD2E" w14:textId="77777777" w:rsidR="009F400E" w:rsidRPr="008648A2" w:rsidRDefault="009F400E" w:rsidP="009F400E">
      <w:pPr>
        <w:ind w:left="284" w:hanging="284"/>
        <w:rPr>
          <w:rFonts w:cs="Arial"/>
          <w:szCs w:val="22"/>
          <w:lang w:val="en-US"/>
        </w:rPr>
      </w:pPr>
      <w:r w:rsidRPr="008648A2">
        <w:rPr>
          <w:rFonts w:cs="Arial"/>
          <w:szCs w:val="22"/>
          <w:lang w:val="en-US"/>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14:paraId="50880959" w14:textId="77777777" w:rsidR="009F400E" w:rsidRPr="008648A2" w:rsidRDefault="009F400E" w:rsidP="009F400E">
      <w:pPr>
        <w:ind w:left="284" w:hanging="284"/>
        <w:rPr>
          <w:rFonts w:cs="Arial"/>
          <w:szCs w:val="22"/>
          <w:lang w:val="en-AU"/>
        </w:rPr>
      </w:pPr>
      <w:r w:rsidRPr="008648A2">
        <w:rPr>
          <w:rFonts w:cs="Arial"/>
          <w:szCs w:val="22"/>
        </w:rPr>
        <w:t>Cheal AJ, , Emslie M, MacNeil MA, Miller I, Sweatman H (2013)</w:t>
      </w:r>
      <w:r w:rsidRPr="008648A2">
        <w:rPr>
          <w:rFonts w:cs="Arial"/>
          <w:szCs w:val="22"/>
          <w:lang w:val="en-AU"/>
        </w:rPr>
        <w:t xml:space="preserve"> Spatial variation in the functional characteristics of herbivorous fish communities and the resilience of coral reefs Ecological Applications, 23:174–188</w:t>
      </w:r>
    </w:p>
    <w:p w14:paraId="0DDB7ACB" w14:textId="77777777" w:rsidR="009F400E" w:rsidRPr="008648A2" w:rsidRDefault="009F400E" w:rsidP="009F400E">
      <w:pPr>
        <w:pStyle w:val="Reportrefs"/>
        <w:spacing w:after="120"/>
        <w:ind w:left="284" w:hanging="284"/>
        <w:rPr>
          <w:rFonts w:cs="Arial"/>
          <w:sz w:val="22"/>
          <w:szCs w:val="22"/>
          <w:lang w:eastAsia="en-AU"/>
        </w:rPr>
      </w:pPr>
      <w:r w:rsidRPr="008648A2">
        <w:rPr>
          <w:rFonts w:cs="Arial"/>
          <w:sz w:val="22"/>
          <w:szCs w:val="22"/>
        </w:rPr>
        <w:t>Cheal AJ, MacNeil MA, Cripps E, Emslie M, Jonker M, Schaffelke B, Sweatman H (2010) Coral-macroalgal phase shifts or reef resilience: links with diversity and functional roles of herbivorous fishes on the Great Barrier Reef. Coral Reefs</w:t>
      </w:r>
      <w:r w:rsidRPr="008648A2">
        <w:rPr>
          <w:rFonts w:cs="Arial"/>
          <w:sz w:val="22"/>
          <w:szCs w:val="22"/>
          <w:lang w:eastAsia="en-AU"/>
        </w:rPr>
        <w:t xml:space="preserve"> 29:1005-1015</w:t>
      </w:r>
    </w:p>
    <w:p w14:paraId="380280F5" w14:textId="77777777" w:rsidR="009F400E" w:rsidRPr="008648A2" w:rsidRDefault="009F400E" w:rsidP="009F400E">
      <w:pPr>
        <w:pStyle w:val="Reportrefs"/>
        <w:spacing w:after="120"/>
        <w:ind w:left="284" w:hanging="284"/>
        <w:rPr>
          <w:rFonts w:cs="Arial"/>
          <w:sz w:val="22"/>
          <w:szCs w:val="22"/>
        </w:rPr>
      </w:pPr>
      <w:r w:rsidRPr="008648A2">
        <w:rPr>
          <w:rFonts w:cs="Arial"/>
          <w:sz w:val="22"/>
          <w:szCs w:val="22"/>
          <w:lang w:eastAsia="en-AU"/>
        </w:rPr>
        <w:t>Cooper TF, Gilmour JP, Fabricius KE (2009) Bioindicators of changes in water quality on coral reefs: review and recommendations for monitoring programmes. Coral Reefs 28:589-606</w:t>
      </w:r>
    </w:p>
    <w:p w14:paraId="531A0E38" w14:textId="77777777" w:rsidR="009F400E" w:rsidRPr="008648A2" w:rsidRDefault="009F400E" w:rsidP="009F400E">
      <w:pPr>
        <w:pStyle w:val="Reportrefs"/>
        <w:spacing w:after="120"/>
        <w:ind w:left="284" w:hanging="284"/>
        <w:rPr>
          <w:rFonts w:cs="Arial"/>
          <w:sz w:val="22"/>
          <w:szCs w:val="22"/>
          <w:lang w:val="en-AU" w:eastAsia="en-AU"/>
        </w:rPr>
      </w:pPr>
      <w:r w:rsidRPr="008648A2">
        <w:rPr>
          <w:rFonts w:cs="Arial"/>
          <w:sz w:val="22"/>
          <w:szCs w:val="22"/>
          <w:lang w:eastAsia="en-AU"/>
        </w:rPr>
        <w:t>Cooper TF, Uthicke S, Humphrey C, Fabricius KE (2007) Gradients in water column nutrients, sediment parameters, irradiance and coral reef development in the Whitsunday Region, central Great Barrier Reef. Estuarine, Coastal and Shelf Science 74:458-470</w:t>
      </w:r>
      <w:r w:rsidRPr="008648A2">
        <w:rPr>
          <w:rFonts w:cs="Arial"/>
          <w:sz w:val="22"/>
          <w:szCs w:val="22"/>
          <w:lang w:val="en-AU" w:eastAsia="en-AU"/>
        </w:rPr>
        <w:t>Darnell R, Henderson B, Kroon FJ, Kuhnert P (2012) Statistical power of detecting trends in total suspended sediment loads to the Great Barrier Reef. Marine Pollution Bulletin 65:203-209</w:t>
      </w:r>
    </w:p>
    <w:p w14:paraId="29A064AB" w14:textId="77777777" w:rsidR="009F400E" w:rsidRPr="008648A2" w:rsidRDefault="009F400E" w:rsidP="009F400E">
      <w:pPr>
        <w:ind w:left="284" w:hanging="284"/>
        <w:rPr>
          <w:rFonts w:cs="Arial"/>
          <w:szCs w:val="22"/>
          <w:lang w:val="en-US"/>
        </w:rPr>
      </w:pPr>
      <w:r w:rsidRPr="008648A2">
        <w:rPr>
          <w:rFonts w:cs="Arial"/>
          <w:szCs w:val="22"/>
          <w:lang w:val="en-US"/>
        </w:rPr>
        <w:t xml:space="preserve">De'ath G, Fabricius KE (2008) Water Quality of the Great Barrier Reef: Distributions, Effects on Reef Biota and Trigger Values for the Protection of Ecosystem Health. </w:t>
      </w:r>
      <w:proofErr w:type="gramStart"/>
      <w:r w:rsidRPr="008648A2">
        <w:rPr>
          <w:rFonts w:cs="Arial"/>
          <w:szCs w:val="22"/>
          <w:lang w:val="en-US"/>
        </w:rPr>
        <w:t>Research Publication No. 89.</w:t>
      </w:r>
      <w:proofErr w:type="gramEnd"/>
      <w:r w:rsidRPr="008648A2">
        <w:rPr>
          <w:rFonts w:cs="Arial"/>
          <w:szCs w:val="22"/>
          <w:lang w:val="en-US"/>
        </w:rPr>
        <w:t xml:space="preserve"> Great Barrier Marine Park Authority, Townsville, p. 104p</w:t>
      </w:r>
    </w:p>
    <w:p w14:paraId="0942C44C" w14:textId="77777777" w:rsidR="009F400E" w:rsidRPr="008648A2" w:rsidRDefault="009F400E" w:rsidP="009F400E">
      <w:pPr>
        <w:ind w:left="284" w:hanging="284"/>
        <w:rPr>
          <w:rFonts w:cs="Arial"/>
          <w:szCs w:val="22"/>
          <w:lang w:val="en-US"/>
        </w:rPr>
      </w:pPr>
      <w:r w:rsidRPr="008648A2">
        <w:rPr>
          <w:rFonts w:cs="Arial"/>
          <w:szCs w:val="22"/>
          <w:lang w:val="en-US"/>
        </w:rPr>
        <w:t>De'ath G, Fabricius KE (2010) Water quality as a regional driver of coral biodiversity and macroalgae on the Great Barrier Reef. Ecological Applications 20:840–850</w:t>
      </w:r>
    </w:p>
    <w:p w14:paraId="617158B8" w14:textId="77777777" w:rsidR="009F400E" w:rsidRPr="00920495" w:rsidRDefault="009F400E" w:rsidP="009F400E">
      <w:pPr>
        <w:pStyle w:val="Reportrefs"/>
        <w:spacing w:after="120"/>
        <w:ind w:left="284" w:hanging="284"/>
        <w:rPr>
          <w:rFonts w:eastAsia="MS Mincho" w:cs="Arial"/>
          <w:color w:val="0070C0"/>
          <w:sz w:val="22"/>
          <w:szCs w:val="22"/>
          <w:lang w:eastAsia="ja-JP"/>
        </w:rPr>
      </w:pPr>
      <w:r w:rsidRPr="008648A2">
        <w:rPr>
          <w:rFonts w:eastAsia="MS Mincho" w:cs="Arial"/>
          <w:sz w:val="22"/>
          <w:szCs w:val="22"/>
          <w:lang w:eastAsia="ja-JP"/>
        </w:rPr>
        <w:t xml:space="preserve">De’ath G, Fabricius KE, Sweatman H, Puotinen M (2012) </w:t>
      </w:r>
      <w:proofErr w:type="gramStart"/>
      <w:r w:rsidRPr="008648A2">
        <w:rPr>
          <w:rFonts w:eastAsia="MS Mincho" w:cs="Arial"/>
          <w:sz w:val="22"/>
          <w:szCs w:val="22"/>
          <w:lang w:eastAsia="ja-JP"/>
        </w:rPr>
        <w:t>The</w:t>
      </w:r>
      <w:proofErr w:type="gramEnd"/>
      <w:r w:rsidRPr="008648A2">
        <w:rPr>
          <w:rFonts w:eastAsia="MS Mincho" w:cs="Arial"/>
          <w:sz w:val="22"/>
          <w:szCs w:val="22"/>
          <w:lang w:eastAsia="ja-JP"/>
        </w:rPr>
        <w:t xml:space="preserve"> 27-year decline of coral cover on the Great Barrier Reef and its causes. Proceedings of the National Academy of Sciences 190(44):17995-17999 </w:t>
      </w:r>
    </w:p>
    <w:p w14:paraId="54658520" w14:textId="77777777" w:rsidR="009F400E" w:rsidRDefault="009F400E" w:rsidP="009F400E">
      <w:pPr>
        <w:pStyle w:val="Reportrefs"/>
        <w:spacing w:after="120"/>
        <w:ind w:left="284" w:hanging="284"/>
        <w:rPr>
          <w:rFonts w:eastAsia="MS Mincho" w:cs="Arial"/>
          <w:sz w:val="22"/>
          <w:szCs w:val="22"/>
          <w:lang w:eastAsia="ja-JP"/>
        </w:rPr>
      </w:pPr>
      <w:r w:rsidRPr="00785891">
        <w:rPr>
          <w:rFonts w:eastAsia="MS Mincho" w:cs="Arial"/>
          <w:sz w:val="22"/>
          <w:szCs w:val="22"/>
          <w:lang w:eastAsia="ja-JP"/>
        </w:rPr>
        <w:t>Dennis B, Taper ML (1994) Density dependence in time series observations of natural populations: estimation and testing. Ecological Monographs 64:205-224</w:t>
      </w:r>
    </w:p>
    <w:p w14:paraId="55B1073F" w14:textId="77777777" w:rsidR="008E2554" w:rsidRPr="004D6D04" w:rsidRDefault="008E2554" w:rsidP="008E2554">
      <w:pPr>
        <w:ind w:left="284" w:hanging="284"/>
        <w:rPr>
          <w:rFonts w:cs="Arial"/>
          <w:szCs w:val="22"/>
          <w:lang w:val="en-US"/>
        </w:rPr>
      </w:pPr>
      <w:proofErr w:type="gramStart"/>
      <w:r w:rsidRPr="004D6D04">
        <w:rPr>
          <w:rFonts w:cs="Arial"/>
          <w:szCs w:val="22"/>
        </w:rPr>
        <w:t xml:space="preserve">Department of Environment and Resource Management (2009) </w:t>
      </w:r>
      <w:r w:rsidRPr="004D6D04">
        <w:rPr>
          <w:rFonts w:cs="Arial"/>
          <w:iCs/>
          <w:szCs w:val="22"/>
        </w:rPr>
        <w:t>Queensland Water Quality Guidelines</w:t>
      </w:r>
      <w:r w:rsidRPr="004D6D04">
        <w:rPr>
          <w:rFonts w:cs="Arial"/>
          <w:szCs w:val="22"/>
        </w:rPr>
        <w:t>, Version 3.</w:t>
      </w:r>
      <w:proofErr w:type="gramEnd"/>
      <w:r w:rsidRPr="004D6D04">
        <w:rPr>
          <w:rFonts w:cs="Arial"/>
          <w:szCs w:val="22"/>
        </w:rPr>
        <w:t xml:space="preserve"> </w:t>
      </w:r>
      <w:proofErr w:type="gramStart"/>
      <w:r w:rsidRPr="004D6D04">
        <w:rPr>
          <w:rFonts w:cs="Arial"/>
          <w:szCs w:val="22"/>
        </w:rPr>
        <w:t xml:space="preserve">167 p. Available at </w:t>
      </w:r>
      <w:hyperlink r:id="rId62" w:tooltip="Queensland Water Quality Guidelines, Version 3. 167 p." w:history="1">
        <w:r w:rsidRPr="004D6D04">
          <w:rPr>
            <w:rStyle w:val="Hyperlink"/>
            <w:rFonts w:cs="Arial"/>
            <w:bCs/>
            <w:color w:val="auto"/>
            <w:szCs w:val="22"/>
          </w:rPr>
          <w:t>www.derm.qld.gov.au</w:t>
        </w:r>
      </w:hyperlink>
      <w:r w:rsidRPr="004D6D04">
        <w:rPr>
          <w:rFonts w:cs="Arial"/>
          <w:szCs w:val="22"/>
        </w:rPr>
        <w:t>.</w:t>
      </w:r>
      <w:proofErr w:type="gramEnd"/>
      <w:r w:rsidRPr="004D6D04">
        <w:rPr>
          <w:rFonts w:cs="Arial"/>
          <w:szCs w:val="22"/>
        </w:rPr>
        <w:t xml:space="preserve"> ISBN 978-0-9806986-0-2</w:t>
      </w:r>
    </w:p>
    <w:p w14:paraId="036FE7F0" w14:textId="77777777" w:rsidR="009F400E" w:rsidRPr="00785891" w:rsidRDefault="009F400E" w:rsidP="009F400E">
      <w:pPr>
        <w:ind w:left="284" w:hanging="284"/>
        <w:rPr>
          <w:rFonts w:cs="Arial"/>
          <w:szCs w:val="22"/>
        </w:rPr>
      </w:pPr>
      <w:r w:rsidRPr="00785891">
        <w:rPr>
          <w:rFonts w:cs="Arial"/>
          <w:szCs w:val="22"/>
        </w:rPr>
        <w:t>DeVantier L, De’ath G, Turak E, Done TJ, Fabricius KE (2006) Species richness and community structure of reef-building corals on the nearshore Great Barrier Reef. Coral Reef 25:329-340</w:t>
      </w:r>
    </w:p>
    <w:p w14:paraId="772192D0" w14:textId="77777777" w:rsidR="009F400E" w:rsidRPr="00785891" w:rsidRDefault="009F400E" w:rsidP="009F400E">
      <w:pPr>
        <w:ind w:left="284" w:hanging="284"/>
        <w:rPr>
          <w:rFonts w:cs="Arial"/>
          <w:szCs w:val="22"/>
          <w:lang w:val="en-US"/>
        </w:rPr>
      </w:pPr>
      <w:r w:rsidRPr="00785891">
        <w:rPr>
          <w:rFonts w:cs="Arial"/>
          <w:szCs w:val="22"/>
          <w:lang w:val="en-US"/>
        </w:rPr>
        <w:lastRenderedPageBreak/>
        <w:t>Devlin M, McKinna LW, Álvarez-Romero J, Petus C, Abott B, Harkness P, Brodie J (2012) Mapping the pollutants in surface plume waters in the Great Barrier Reef, Australia. Marine Pollution Bulletin 65:224:235</w:t>
      </w:r>
    </w:p>
    <w:p w14:paraId="5E0A3158" w14:textId="77777777" w:rsidR="009F400E" w:rsidRDefault="009F400E" w:rsidP="009F400E">
      <w:pPr>
        <w:pStyle w:val="Reportrefs"/>
        <w:spacing w:after="120"/>
        <w:ind w:left="284" w:hanging="284"/>
        <w:rPr>
          <w:rFonts w:eastAsia="MS Mincho" w:cs="Arial"/>
          <w:sz w:val="22"/>
          <w:szCs w:val="22"/>
          <w:lang w:eastAsia="ja-JP"/>
        </w:rPr>
      </w:pPr>
      <w:r w:rsidRPr="00785891">
        <w:rPr>
          <w:rFonts w:eastAsia="MS Mincho" w:cs="Arial"/>
          <w:sz w:val="22"/>
          <w:szCs w:val="22"/>
          <w:lang w:eastAsia="ja-JP"/>
        </w:rPr>
        <w:t>Diaz-Pulido G, Harii S, McCook LJ, Hoegh-Guldberg O (2010) The impact of benthic algae on the settlement of a reef-building coral. Coral Reefs 29:203-208</w:t>
      </w:r>
    </w:p>
    <w:p w14:paraId="4813D981" w14:textId="77777777" w:rsidR="00782ECB" w:rsidRPr="00782ECB" w:rsidRDefault="00782ECB" w:rsidP="00782ECB">
      <w:pPr>
        <w:autoSpaceDE w:val="0"/>
        <w:autoSpaceDN w:val="0"/>
        <w:adjustRightInd w:val="0"/>
        <w:ind w:left="284" w:hanging="284"/>
        <w:jc w:val="left"/>
        <w:rPr>
          <w:rFonts w:eastAsiaTheme="minorHAnsi" w:cs="Arial"/>
          <w:szCs w:val="22"/>
          <w:lang w:val="en-AU"/>
        </w:rPr>
      </w:pPr>
      <w:proofErr w:type="gramStart"/>
      <w:r w:rsidRPr="00782ECB">
        <w:rPr>
          <w:rFonts w:eastAsiaTheme="minorHAnsi" w:cs="Arial"/>
          <w:szCs w:val="22"/>
          <w:lang w:val="en-AU"/>
        </w:rPr>
        <w:t>Diaz-Pulido G, McCook LJ (2003) Relative roles of herbivory and nutrients in the recruitment of coral-reef seaweeds.</w:t>
      </w:r>
      <w:proofErr w:type="gramEnd"/>
      <w:r w:rsidRPr="00782ECB">
        <w:rPr>
          <w:rFonts w:eastAsiaTheme="minorHAnsi" w:cs="Arial"/>
          <w:szCs w:val="22"/>
          <w:lang w:val="en-AU"/>
        </w:rPr>
        <w:t xml:space="preserve"> Ecology 84:2026-2033</w:t>
      </w:r>
    </w:p>
    <w:p w14:paraId="3C8C1037" w14:textId="77777777" w:rsidR="009F400E" w:rsidRPr="00785891" w:rsidRDefault="009F400E" w:rsidP="009F400E">
      <w:pPr>
        <w:pStyle w:val="Reportrefs"/>
        <w:spacing w:after="120"/>
        <w:ind w:left="284" w:hanging="284"/>
        <w:rPr>
          <w:rFonts w:eastAsia="MS Mincho" w:cs="Arial"/>
          <w:sz w:val="22"/>
          <w:szCs w:val="22"/>
          <w:lang w:eastAsia="ja-JP"/>
        </w:rPr>
      </w:pPr>
      <w:r w:rsidRPr="00785891">
        <w:rPr>
          <w:rFonts w:eastAsia="MS Mincho" w:cs="Arial"/>
          <w:sz w:val="22"/>
          <w:szCs w:val="22"/>
          <w:lang w:eastAsia="ja-JP"/>
        </w:rPr>
        <w:t xml:space="preserve">Diaz-Pulido G, McCook LJ, Dove S, Berkelmans R, Roff G, Kline DI, Weeks S, Evans RD, Williamson DH, Hoegh-Guldberg O (2009) Doom and Boom on a Resilient Reef: Climate Change, Algal Overgrowth and Coral Recovery. PLoS ONE 4(4): e5239 </w:t>
      </w:r>
    </w:p>
    <w:p w14:paraId="6456EC77" w14:textId="77777777" w:rsidR="009F400E" w:rsidRPr="00785891" w:rsidRDefault="009F400E" w:rsidP="009F400E">
      <w:pPr>
        <w:pStyle w:val="Reportrefs"/>
        <w:spacing w:after="120"/>
        <w:ind w:left="284" w:hanging="284"/>
        <w:rPr>
          <w:rFonts w:cs="Arial"/>
          <w:sz w:val="22"/>
          <w:szCs w:val="22"/>
          <w:lang w:eastAsia="en-AU"/>
        </w:rPr>
      </w:pPr>
      <w:r w:rsidRPr="00785891">
        <w:rPr>
          <w:rFonts w:cs="Arial"/>
          <w:sz w:val="22"/>
          <w:szCs w:val="22"/>
          <w:lang w:eastAsia="en-AU"/>
        </w:rPr>
        <w:t>Done T, Turak E, Wakeford M, DeVantier L, McDonald A and Fisk D (2007) Decadal changes in turbid-water coral communities at Pandora Reef: loss of resilience or too soon to tell? Coral reefs 26:789–805</w:t>
      </w:r>
    </w:p>
    <w:p w14:paraId="75BA6CF1" w14:textId="77777777" w:rsidR="009F400E" w:rsidRPr="00785891" w:rsidRDefault="009F400E" w:rsidP="009F400E">
      <w:pPr>
        <w:pStyle w:val="Reportrefs"/>
        <w:spacing w:after="120"/>
        <w:ind w:left="284" w:hanging="284"/>
        <w:rPr>
          <w:rFonts w:eastAsia="MS Mincho" w:cs="Arial"/>
          <w:sz w:val="22"/>
          <w:szCs w:val="22"/>
          <w:lang w:eastAsia="ja-JP"/>
        </w:rPr>
      </w:pPr>
      <w:proofErr w:type="gramStart"/>
      <w:r w:rsidRPr="00785891">
        <w:rPr>
          <w:rFonts w:eastAsia="MS Mincho" w:cs="Arial"/>
          <w:sz w:val="22"/>
          <w:szCs w:val="22"/>
          <w:lang w:eastAsia="ja-JP"/>
        </w:rPr>
        <w:t>Done TJ (1982) Patterns in the distribution of coral communities across the central Great Barrier Reef.</w:t>
      </w:r>
      <w:proofErr w:type="gramEnd"/>
      <w:r w:rsidRPr="00785891">
        <w:rPr>
          <w:rFonts w:eastAsia="MS Mincho" w:cs="Arial"/>
          <w:sz w:val="22"/>
          <w:szCs w:val="22"/>
          <w:lang w:eastAsia="ja-JP"/>
        </w:rPr>
        <w:t xml:space="preserve"> Coral Reefs 1:95-107</w:t>
      </w:r>
    </w:p>
    <w:p w14:paraId="0BF23FFB" w14:textId="77777777" w:rsidR="009F400E" w:rsidRPr="00785891" w:rsidRDefault="009F400E" w:rsidP="009F400E">
      <w:pPr>
        <w:pStyle w:val="Reportrefs"/>
        <w:spacing w:after="120"/>
        <w:ind w:left="284" w:hanging="284"/>
        <w:rPr>
          <w:rFonts w:cs="Arial"/>
          <w:sz w:val="22"/>
          <w:szCs w:val="22"/>
          <w:lang w:eastAsia="en-AU"/>
        </w:rPr>
      </w:pPr>
      <w:r w:rsidRPr="00785891">
        <w:rPr>
          <w:rFonts w:cs="Arial"/>
          <w:sz w:val="22"/>
          <w:szCs w:val="22"/>
          <w:lang w:eastAsia="en-AU"/>
        </w:rPr>
        <w:t>Erftemeijer PLA, Reigl B, Hoeksema BW, Todd PA (2012) Environmental impacts of dredging and other sediment disturbances on corals: A review. Marine Pollution Bulletin 64:1737-1765</w:t>
      </w:r>
    </w:p>
    <w:p w14:paraId="678D3F59" w14:textId="77777777" w:rsidR="009F400E" w:rsidRPr="00785891" w:rsidRDefault="009F400E" w:rsidP="009F400E">
      <w:pPr>
        <w:ind w:left="284" w:hanging="284"/>
        <w:rPr>
          <w:rFonts w:cs="Arial"/>
          <w:szCs w:val="22"/>
          <w:lang w:val="en-US"/>
        </w:rPr>
      </w:pPr>
      <w:r w:rsidRPr="00785891">
        <w:rPr>
          <w:rFonts w:cs="Arial"/>
          <w:szCs w:val="22"/>
          <w:lang w:val="en-US"/>
        </w:rPr>
        <w:t>Fabricius KE (2005) Effects of terrestrial runoff on the ecology of corals and coral reefs: Review and synthesis. Marine Pollution Bulletin 50:125-146</w:t>
      </w:r>
    </w:p>
    <w:p w14:paraId="30C417E5" w14:textId="77777777" w:rsidR="009F400E" w:rsidRPr="00785891" w:rsidRDefault="009F400E" w:rsidP="009F400E">
      <w:pPr>
        <w:ind w:left="284" w:hanging="284"/>
        <w:rPr>
          <w:rFonts w:cs="Arial"/>
          <w:szCs w:val="22"/>
        </w:rPr>
      </w:pPr>
      <w:r w:rsidRPr="00785891">
        <w:rPr>
          <w:rFonts w:cs="Arial"/>
          <w:szCs w:val="22"/>
        </w:rPr>
        <w:t>Fabricius KE (2011) Factors determining the resilience of coral reefs to eutrophication: a review and conceptual model. In: Dubinsky Z, Stambler N (</w:t>
      </w:r>
      <w:r w:rsidR="001648C9" w:rsidRPr="00785891">
        <w:rPr>
          <w:rFonts w:cs="Arial"/>
          <w:szCs w:val="22"/>
        </w:rPr>
        <w:t>Eds</w:t>
      </w:r>
      <w:r w:rsidRPr="00785891">
        <w:rPr>
          <w:rFonts w:cs="Arial"/>
          <w:szCs w:val="22"/>
        </w:rPr>
        <w:t>) Coral Reefs: An Ecosystem in</w:t>
      </w:r>
      <w:r w:rsidR="001648C9">
        <w:rPr>
          <w:rFonts w:cs="Arial"/>
          <w:szCs w:val="22"/>
        </w:rPr>
        <w:t xml:space="preserve"> Transition, Springer Press, pp.</w:t>
      </w:r>
      <w:r w:rsidRPr="00785891">
        <w:rPr>
          <w:rFonts w:cs="Arial"/>
          <w:szCs w:val="22"/>
        </w:rPr>
        <w:t>493-506</w:t>
      </w:r>
    </w:p>
    <w:p w14:paraId="6DD56882" w14:textId="77777777" w:rsidR="009F400E" w:rsidRPr="00785891" w:rsidRDefault="009F400E" w:rsidP="009F400E">
      <w:pPr>
        <w:pStyle w:val="Reportrefs"/>
        <w:spacing w:after="120"/>
        <w:ind w:left="284" w:hanging="284"/>
        <w:rPr>
          <w:rFonts w:cs="Arial"/>
          <w:sz w:val="22"/>
          <w:szCs w:val="22"/>
          <w:lang w:eastAsia="en-AU"/>
        </w:rPr>
      </w:pPr>
      <w:r w:rsidRPr="00785891">
        <w:rPr>
          <w:rFonts w:eastAsia="MS Mincho" w:cs="Arial"/>
          <w:sz w:val="22"/>
          <w:szCs w:val="22"/>
          <w:lang w:eastAsia="ja-JP"/>
        </w:rPr>
        <w:t xml:space="preserve">Fabricius KE, Cooper TF, Humphrey C, Uthicke S, De’ath G, Davidson J, LeGrand H, Thompson A, Schaffelke B (2012) A bioindicator system for water quality on inshore coral reefs of the Great Barrier Reef. Marine Pollution Bulletin </w:t>
      </w:r>
      <w:r w:rsidRPr="00785891">
        <w:rPr>
          <w:rFonts w:cs="Arial"/>
          <w:sz w:val="22"/>
          <w:szCs w:val="22"/>
          <w:lang w:eastAsia="en-AU"/>
        </w:rPr>
        <w:t>65:320-332</w:t>
      </w:r>
    </w:p>
    <w:p w14:paraId="2F172589" w14:textId="77777777" w:rsidR="009F400E" w:rsidRPr="005541C1" w:rsidRDefault="009F400E" w:rsidP="009F400E">
      <w:pPr>
        <w:pStyle w:val="Reportrefs"/>
        <w:spacing w:after="120"/>
        <w:ind w:left="284" w:hanging="284"/>
        <w:rPr>
          <w:rFonts w:cs="Arial"/>
          <w:sz w:val="22"/>
          <w:szCs w:val="22"/>
          <w:lang w:val="en-AU"/>
        </w:rPr>
      </w:pPr>
      <w:r w:rsidRPr="005541C1">
        <w:rPr>
          <w:rFonts w:cs="Arial"/>
          <w:sz w:val="22"/>
          <w:szCs w:val="22"/>
        </w:rPr>
        <w:t xml:space="preserve">Fabricius KE, Cseke S, Humphrey CA, De’ath G (2013b) Does trophic status enhance or reduce the thermal tolerance of scleractinian corals? </w:t>
      </w:r>
      <w:proofErr w:type="gramStart"/>
      <w:r w:rsidRPr="005541C1">
        <w:rPr>
          <w:rFonts w:cs="Arial"/>
          <w:sz w:val="22"/>
          <w:szCs w:val="22"/>
        </w:rPr>
        <w:t>A review, experiment and conceptual framework.</w:t>
      </w:r>
      <w:proofErr w:type="gramEnd"/>
      <w:r w:rsidRPr="005541C1">
        <w:rPr>
          <w:rFonts w:cs="Arial"/>
          <w:sz w:val="22"/>
          <w:szCs w:val="22"/>
        </w:rPr>
        <w:t xml:space="preserve"> PLoS ONE 8 e54399</w:t>
      </w:r>
    </w:p>
    <w:p w14:paraId="2607B83C" w14:textId="77777777" w:rsidR="009F400E" w:rsidRPr="00785891" w:rsidRDefault="009F400E" w:rsidP="009F400E">
      <w:pPr>
        <w:pStyle w:val="Reportrefs"/>
        <w:spacing w:after="120"/>
        <w:ind w:left="284" w:hanging="284"/>
        <w:rPr>
          <w:rFonts w:eastAsia="MS Mincho" w:cs="Arial"/>
          <w:sz w:val="22"/>
          <w:szCs w:val="22"/>
          <w:lang w:eastAsia="ja-JP"/>
        </w:rPr>
      </w:pPr>
      <w:r w:rsidRPr="00785891">
        <w:rPr>
          <w:rFonts w:eastAsia="MS Mincho" w:cs="Arial"/>
          <w:sz w:val="22"/>
          <w:szCs w:val="22"/>
          <w:lang w:eastAsia="ja-JP"/>
        </w:rPr>
        <w:t>Fabricius KE, De’ath G (2001) Biodiversity on the Great Barrier Reef: Large-scale patterns and turbidity-related local loss of soft coral taxa. In Wolanski E (</w:t>
      </w:r>
      <w:r w:rsidR="001648C9" w:rsidRPr="00785891">
        <w:rPr>
          <w:rFonts w:eastAsia="MS Mincho" w:cs="Arial"/>
          <w:sz w:val="22"/>
          <w:szCs w:val="22"/>
          <w:lang w:eastAsia="ja-JP"/>
        </w:rPr>
        <w:t>Ed</w:t>
      </w:r>
      <w:r w:rsidRPr="00785891">
        <w:rPr>
          <w:rFonts w:eastAsia="MS Mincho" w:cs="Arial"/>
          <w:sz w:val="22"/>
          <w:szCs w:val="22"/>
          <w:lang w:eastAsia="ja-JP"/>
        </w:rPr>
        <w:t>) Biological-Physical Links: Oceanographic processes on the Great Barrier Reef. CRC Press, Boca Raton</w:t>
      </w:r>
    </w:p>
    <w:p w14:paraId="1133A9DF" w14:textId="77777777" w:rsidR="009F400E" w:rsidRPr="005541C1" w:rsidRDefault="009F400E" w:rsidP="009F400E">
      <w:pPr>
        <w:ind w:left="284" w:hanging="284"/>
        <w:rPr>
          <w:rFonts w:cs="Arial"/>
          <w:szCs w:val="22"/>
          <w:lang w:val="en-AU"/>
        </w:rPr>
      </w:pPr>
      <w:r w:rsidRPr="005541C1">
        <w:rPr>
          <w:rFonts w:cs="Arial"/>
          <w:szCs w:val="22"/>
          <w:lang w:val="en-AU"/>
        </w:rPr>
        <w:t>Fabricius KE, De’ath G, Humphrey C, Zagorskis I, Schaffelke B (2013a) Intra-annual variation in turbidity in response to terrestrial runoff on near-shore coral reefs of the Great Barrier Reef, Estuarine Coastal and Shelf Science 116:57-65</w:t>
      </w:r>
    </w:p>
    <w:p w14:paraId="06087BD9" w14:textId="77777777" w:rsidR="009F400E" w:rsidRPr="005541C1" w:rsidRDefault="009F400E" w:rsidP="009F400E">
      <w:pPr>
        <w:pStyle w:val="Reportrefs"/>
        <w:spacing w:after="120"/>
        <w:ind w:left="284" w:hanging="284"/>
        <w:rPr>
          <w:rFonts w:eastAsia="MS Mincho" w:cs="Arial"/>
          <w:sz w:val="22"/>
          <w:szCs w:val="22"/>
          <w:lang w:eastAsia="ja-JP"/>
        </w:rPr>
      </w:pPr>
      <w:r w:rsidRPr="005541C1">
        <w:rPr>
          <w:rFonts w:eastAsia="MS Mincho" w:cs="Arial"/>
          <w:sz w:val="22"/>
          <w:szCs w:val="22"/>
          <w:lang w:eastAsia="ja-JP"/>
        </w:rPr>
        <w:t>Fabricius KE, De’ath G, McCook L, Turak E, Williams DMcB (2005) Changes in algal, coral and fish assemblages along water quality gradients on the inshore Great Barrier Reef. Marine Pollution Bulletin 51:384-396</w:t>
      </w:r>
    </w:p>
    <w:p w14:paraId="0E83F147" w14:textId="77777777" w:rsidR="009F400E" w:rsidRDefault="009F400E" w:rsidP="009F400E">
      <w:pPr>
        <w:ind w:left="284" w:hanging="284"/>
        <w:rPr>
          <w:rFonts w:cs="Arial"/>
          <w:szCs w:val="22"/>
        </w:rPr>
      </w:pPr>
      <w:r w:rsidRPr="005541C1">
        <w:rPr>
          <w:rFonts w:cs="Arial"/>
          <w:szCs w:val="22"/>
        </w:rPr>
        <w:t>Fabricius KE, Logan M, Weeks S, Brodie J (2014) Assessing inter- and intra-annual changes in water clarity in response to river run-off on the central Great Barrier Reef from 10 years of MODIS-Aqua data. Marine Pollution Bulletin 84:191-200</w:t>
      </w:r>
    </w:p>
    <w:p w14:paraId="76CBE22B" w14:textId="77777777" w:rsidR="00127227" w:rsidRPr="005541C1" w:rsidRDefault="00127227" w:rsidP="009F400E">
      <w:pPr>
        <w:ind w:left="284" w:hanging="284"/>
        <w:rPr>
          <w:rFonts w:cs="Arial"/>
          <w:szCs w:val="22"/>
          <w:lang w:val="en-US"/>
        </w:rPr>
      </w:pPr>
      <w:r w:rsidRPr="005541C1">
        <w:rPr>
          <w:rFonts w:cs="Arial"/>
          <w:szCs w:val="22"/>
        </w:rPr>
        <w:t>Fabricius KE, Logan M, Weeks S</w:t>
      </w:r>
      <w:r>
        <w:rPr>
          <w:rFonts w:cs="Arial"/>
          <w:szCs w:val="22"/>
        </w:rPr>
        <w:t>J</w:t>
      </w:r>
      <w:r w:rsidRPr="005541C1">
        <w:rPr>
          <w:rFonts w:cs="Arial"/>
          <w:szCs w:val="22"/>
        </w:rPr>
        <w:t xml:space="preserve">, </w:t>
      </w:r>
      <w:r>
        <w:rPr>
          <w:rFonts w:cs="Arial"/>
          <w:szCs w:val="22"/>
        </w:rPr>
        <w:t>Lewis SE, Brodie J (2016</w:t>
      </w:r>
      <w:r w:rsidRPr="005541C1">
        <w:rPr>
          <w:rFonts w:cs="Arial"/>
          <w:szCs w:val="22"/>
        </w:rPr>
        <w:t>)</w:t>
      </w:r>
      <w:r>
        <w:rPr>
          <w:rFonts w:cs="Arial"/>
          <w:szCs w:val="22"/>
        </w:rPr>
        <w:t xml:space="preserve"> Changes in water clarity in response to river discharges on the Great Barrier Reef continental shelf: 2002-2013. </w:t>
      </w:r>
      <w:r w:rsidRPr="005541C1">
        <w:rPr>
          <w:rFonts w:cs="Arial"/>
          <w:szCs w:val="22"/>
          <w:lang w:val="en-AU"/>
        </w:rPr>
        <w:t>Estuarine Coastal and Shelf Science 1</w:t>
      </w:r>
      <w:r>
        <w:rPr>
          <w:rFonts w:cs="Arial"/>
          <w:szCs w:val="22"/>
          <w:lang w:val="en-AU"/>
        </w:rPr>
        <w:t>73</w:t>
      </w:r>
      <w:r w:rsidRPr="005541C1">
        <w:rPr>
          <w:rFonts w:cs="Arial"/>
          <w:szCs w:val="22"/>
          <w:lang w:val="en-AU"/>
        </w:rPr>
        <w:t>:</w:t>
      </w:r>
      <w:r>
        <w:rPr>
          <w:rFonts w:cs="Arial"/>
          <w:szCs w:val="22"/>
          <w:lang w:val="en-AU"/>
        </w:rPr>
        <w:t>A1-A15</w:t>
      </w:r>
    </w:p>
    <w:p w14:paraId="06B0805D" w14:textId="77777777" w:rsidR="009F400E" w:rsidRPr="00785891" w:rsidRDefault="009F400E" w:rsidP="009F400E">
      <w:pPr>
        <w:pStyle w:val="Reportrefs"/>
        <w:spacing w:after="120"/>
        <w:ind w:left="284" w:hanging="284"/>
        <w:rPr>
          <w:rFonts w:eastAsia="MS Mincho" w:cs="Arial"/>
          <w:sz w:val="22"/>
          <w:szCs w:val="22"/>
          <w:lang w:eastAsia="ja-JP"/>
        </w:rPr>
      </w:pPr>
      <w:r w:rsidRPr="00785891">
        <w:rPr>
          <w:rFonts w:eastAsia="MS Mincho" w:cs="Arial"/>
          <w:sz w:val="22"/>
          <w:szCs w:val="22"/>
          <w:lang w:eastAsia="ja-JP"/>
        </w:rPr>
        <w:t xml:space="preserve">Fabricius KE, Okaji K, De’ath G (2010) </w:t>
      </w:r>
      <w:proofErr w:type="gramStart"/>
      <w:r w:rsidRPr="00785891">
        <w:rPr>
          <w:rFonts w:eastAsia="MS Mincho" w:cs="Arial"/>
          <w:sz w:val="22"/>
          <w:szCs w:val="22"/>
          <w:lang w:eastAsia="ja-JP"/>
        </w:rPr>
        <w:t>Three</w:t>
      </w:r>
      <w:proofErr w:type="gramEnd"/>
      <w:r w:rsidRPr="00785891">
        <w:rPr>
          <w:rFonts w:eastAsia="MS Mincho" w:cs="Arial"/>
          <w:sz w:val="22"/>
          <w:szCs w:val="22"/>
          <w:lang w:eastAsia="ja-JP"/>
        </w:rPr>
        <w:t xml:space="preserve"> lines of evidence to link outbreaks of the crown-of-thorns seastar </w:t>
      </w:r>
      <w:r w:rsidRPr="00785891">
        <w:rPr>
          <w:rFonts w:eastAsia="MS Mincho" w:cs="Arial"/>
          <w:i/>
          <w:iCs/>
          <w:sz w:val="22"/>
          <w:szCs w:val="22"/>
          <w:lang w:eastAsia="ja-JP"/>
        </w:rPr>
        <w:t xml:space="preserve">Acanthaster planci </w:t>
      </w:r>
      <w:r w:rsidRPr="00785891">
        <w:rPr>
          <w:rFonts w:eastAsia="MS Mincho" w:cs="Arial"/>
          <w:sz w:val="22"/>
          <w:szCs w:val="22"/>
          <w:lang w:eastAsia="ja-JP"/>
        </w:rPr>
        <w:t>to the release of larval food limitation. Coral Reefs 29:593-605</w:t>
      </w:r>
    </w:p>
    <w:p w14:paraId="3C392343" w14:textId="77777777" w:rsidR="009F400E" w:rsidRPr="00785891" w:rsidRDefault="009F400E" w:rsidP="009F400E">
      <w:pPr>
        <w:pStyle w:val="Reportrefs"/>
        <w:spacing w:after="120"/>
        <w:ind w:left="284" w:hanging="284"/>
        <w:rPr>
          <w:rFonts w:eastAsia="MS Mincho" w:cs="Arial"/>
          <w:sz w:val="22"/>
          <w:szCs w:val="22"/>
          <w:lang w:eastAsia="ja-JP"/>
        </w:rPr>
      </w:pPr>
      <w:r w:rsidRPr="00785891">
        <w:rPr>
          <w:rFonts w:eastAsia="MS Mincho" w:cs="Arial"/>
          <w:sz w:val="22"/>
          <w:szCs w:val="22"/>
          <w:lang w:eastAsia="ja-JP"/>
        </w:rPr>
        <w:lastRenderedPageBreak/>
        <w:t>Fabricius KE, Wild C, Wolanski E, Abele D (2003) Effects of transparent exopolymer particles and muddy terrigenous sediments on survival of hard coral recruits. Estuarine, Costal and Shelf Science 57:613-621</w:t>
      </w:r>
    </w:p>
    <w:p w14:paraId="770A9302" w14:textId="77777777" w:rsidR="009F400E" w:rsidRPr="00785891" w:rsidRDefault="009F400E" w:rsidP="009F400E">
      <w:pPr>
        <w:pStyle w:val="Reportrefs"/>
        <w:spacing w:after="120"/>
        <w:ind w:left="284" w:hanging="284"/>
        <w:rPr>
          <w:rFonts w:eastAsia="MS Mincho" w:cs="Arial"/>
          <w:sz w:val="22"/>
          <w:szCs w:val="22"/>
          <w:lang w:eastAsia="ja-JP"/>
        </w:rPr>
      </w:pPr>
      <w:proofErr w:type="gramStart"/>
      <w:r w:rsidRPr="00785891">
        <w:rPr>
          <w:rFonts w:eastAsia="MS Mincho" w:cs="Arial"/>
          <w:sz w:val="22"/>
          <w:szCs w:val="22"/>
          <w:lang w:eastAsia="ja-JP"/>
        </w:rPr>
        <w:t>Fabricius KE, Wolanski E (2000) Rapid smothering of coral reef organisms by muddy marine snow.</w:t>
      </w:r>
      <w:proofErr w:type="gramEnd"/>
      <w:r w:rsidRPr="00785891">
        <w:rPr>
          <w:rFonts w:eastAsia="MS Mincho" w:cs="Arial"/>
          <w:sz w:val="22"/>
          <w:szCs w:val="22"/>
          <w:lang w:eastAsia="ja-JP"/>
        </w:rPr>
        <w:t xml:space="preserve"> Estuarine, Costal and Shelf Science 50:115-120</w:t>
      </w:r>
    </w:p>
    <w:p w14:paraId="6BB6B37A" w14:textId="77777777" w:rsidR="009F400E" w:rsidRPr="005541C1" w:rsidRDefault="009F400E" w:rsidP="009F400E">
      <w:pPr>
        <w:pStyle w:val="Reportrefs"/>
        <w:spacing w:after="120"/>
        <w:ind w:left="284" w:hanging="284"/>
        <w:rPr>
          <w:rFonts w:eastAsia="MS Mincho" w:cs="Arial"/>
          <w:sz w:val="22"/>
          <w:szCs w:val="22"/>
          <w:lang w:eastAsia="ja-JP"/>
        </w:rPr>
      </w:pPr>
      <w:r w:rsidRPr="005541C1">
        <w:rPr>
          <w:rFonts w:eastAsia="MS Mincho" w:cs="Arial"/>
          <w:sz w:val="22"/>
          <w:szCs w:val="22"/>
          <w:lang w:eastAsia="ja-JP"/>
        </w:rPr>
        <w:t>Faithful J, Finlayson W (2005) Water quality assessment for sustainable agriculture in the Wet Tropics, a community assisted approach, Marine Pollution Bulletin 51:99-112</w:t>
      </w:r>
    </w:p>
    <w:p w14:paraId="5B1043FB" w14:textId="77777777" w:rsidR="009F400E" w:rsidRPr="005541C1" w:rsidRDefault="009F400E" w:rsidP="009F400E">
      <w:pPr>
        <w:pStyle w:val="Reportrefs"/>
        <w:spacing w:after="120"/>
        <w:ind w:left="284" w:hanging="284"/>
        <w:rPr>
          <w:rFonts w:eastAsia="MS Mincho" w:cs="Arial"/>
          <w:sz w:val="22"/>
          <w:szCs w:val="22"/>
        </w:rPr>
      </w:pPr>
      <w:r w:rsidRPr="005541C1">
        <w:rPr>
          <w:rFonts w:eastAsia="MS Mincho" w:cs="Arial"/>
          <w:sz w:val="22"/>
          <w:szCs w:val="22"/>
        </w:rPr>
        <w:t>Fisher WS, Fore LS, Hutchins A, Quarles RL, Campbell JG, LoBue C, Davies WS (2008) Evaluation</w:t>
      </w:r>
      <w:r w:rsidR="001648C9">
        <w:rPr>
          <w:rFonts w:eastAsia="MS Mincho" w:cs="Arial"/>
          <w:sz w:val="22"/>
          <w:szCs w:val="22"/>
        </w:rPr>
        <w:t xml:space="preserve"> </w:t>
      </w:r>
      <w:r w:rsidRPr="005541C1">
        <w:rPr>
          <w:rFonts w:eastAsia="MS Mincho" w:cs="Arial"/>
          <w:sz w:val="22"/>
          <w:szCs w:val="22"/>
        </w:rPr>
        <w:t>of stony coral indicators for coral reef management. Marine Pollution Bulletin 65:320-332</w:t>
      </w:r>
    </w:p>
    <w:p w14:paraId="1A0CED58" w14:textId="77777777" w:rsidR="009F400E" w:rsidRPr="005541C1" w:rsidRDefault="009F400E" w:rsidP="009F400E">
      <w:pPr>
        <w:pStyle w:val="Reportrefs"/>
        <w:spacing w:after="120"/>
        <w:ind w:left="284" w:hanging="284"/>
        <w:rPr>
          <w:rFonts w:eastAsia="MS Mincho" w:cs="Arial"/>
          <w:sz w:val="22"/>
          <w:szCs w:val="22"/>
        </w:rPr>
      </w:pPr>
      <w:proofErr w:type="gramStart"/>
      <w:r w:rsidRPr="005541C1">
        <w:rPr>
          <w:rFonts w:eastAsia="MS Mincho" w:cs="Arial"/>
          <w:sz w:val="22"/>
          <w:szCs w:val="22"/>
        </w:rPr>
        <w:t xml:space="preserve">Foster NL, Box SJ, Mumby PJ (2008) Competitive effects of macroalgae on the fecundity of the reef-building coral </w:t>
      </w:r>
      <w:r w:rsidRPr="005541C1">
        <w:rPr>
          <w:rFonts w:eastAsia="MS Mincho" w:cs="Arial"/>
          <w:i/>
          <w:sz w:val="22"/>
          <w:szCs w:val="22"/>
        </w:rPr>
        <w:t>Montastrea annularis</w:t>
      </w:r>
      <w:r w:rsidRPr="005541C1">
        <w:rPr>
          <w:rFonts w:eastAsia="MS Mincho" w:cs="Arial"/>
          <w:sz w:val="22"/>
          <w:szCs w:val="22"/>
        </w:rPr>
        <w:t>.</w:t>
      </w:r>
      <w:proofErr w:type="gramEnd"/>
      <w:r w:rsidRPr="005541C1">
        <w:rPr>
          <w:rFonts w:eastAsia="MS Mincho" w:cs="Arial"/>
          <w:sz w:val="22"/>
          <w:szCs w:val="22"/>
        </w:rPr>
        <w:t xml:space="preserve"> Marine Ecology Progress Series 367:143-152</w:t>
      </w:r>
    </w:p>
    <w:p w14:paraId="7CFA17CA" w14:textId="77777777" w:rsidR="009F400E" w:rsidRPr="005541C1" w:rsidRDefault="009F400E" w:rsidP="009F400E">
      <w:pPr>
        <w:ind w:left="284" w:hanging="284"/>
        <w:rPr>
          <w:rFonts w:cs="Arial"/>
          <w:szCs w:val="22"/>
          <w:lang w:val="en-US"/>
        </w:rPr>
      </w:pPr>
      <w:r w:rsidRPr="005541C1">
        <w:rPr>
          <w:rFonts w:cs="Arial"/>
          <w:szCs w:val="22"/>
          <w:lang w:val="en-US"/>
        </w:rPr>
        <w:t xml:space="preserve">Furnas M, Alongi D, McKinnon AD, Trott L, Skuza M (2011) Regional-scale nitrogen and phosphorus budgets for the northern (14°S) and central (17°S) Great Barrier Reef shelf ecosystem. Continental Shelf Research </w:t>
      </w:r>
      <w:r w:rsidRPr="005541C1">
        <w:rPr>
          <w:rFonts w:cs="Arial"/>
          <w:szCs w:val="22"/>
        </w:rPr>
        <w:t>31:1967-1990</w:t>
      </w:r>
    </w:p>
    <w:p w14:paraId="216FA3E2" w14:textId="77777777" w:rsidR="009F400E" w:rsidRPr="005541C1" w:rsidRDefault="009F400E" w:rsidP="009F400E">
      <w:pPr>
        <w:pStyle w:val="Reportrefs"/>
        <w:spacing w:after="120"/>
        <w:ind w:left="284" w:hanging="284"/>
        <w:rPr>
          <w:rFonts w:eastAsia="MS Mincho" w:cs="Arial"/>
          <w:sz w:val="22"/>
          <w:szCs w:val="22"/>
          <w:lang w:eastAsia="ja-JP"/>
        </w:rPr>
      </w:pPr>
      <w:r w:rsidRPr="005541C1">
        <w:rPr>
          <w:rFonts w:eastAsia="MS Mincho" w:cs="Arial"/>
          <w:sz w:val="22"/>
          <w:szCs w:val="22"/>
          <w:lang w:eastAsia="ja-JP"/>
        </w:rPr>
        <w:t>Furnas M</w:t>
      </w:r>
      <w:r w:rsidRPr="005541C1">
        <w:rPr>
          <w:rFonts w:cs="Arial"/>
          <w:sz w:val="22"/>
          <w:szCs w:val="22"/>
        </w:rPr>
        <w:t xml:space="preserve">, Brinkman R, Fabricius K, Tonin H, Schaffelke B (2013) Linkages between river runoff, phytoplankton blooms and primary outbreaks of crown-of-thorns seastars in the Northern GBR. </w:t>
      </w:r>
      <w:proofErr w:type="gramStart"/>
      <w:r w:rsidRPr="005541C1">
        <w:rPr>
          <w:rFonts w:cs="Arial"/>
          <w:sz w:val="22"/>
          <w:szCs w:val="22"/>
        </w:rPr>
        <w:t xml:space="preserve">Chapter 3 in </w:t>
      </w:r>
      <w:r w:rsidRPr="005541C1">
        <w:rPr>
          <w:rFonts w:cs="Arial"/>
          <w:sz w:val="22"/>
          <w:szCs w:val="22"/>
          <w:lang w:val="en-US"/>
        </w:rPr>
        <w:t xml:space="preserve">Waterhouse </w:t>
      </w:r>
      <w:r w:rsidRPr="005541C1">
        <w:rPr>
          <w:rFonts w:cs="Arial"/>
          <w:i/>
          <w:sz w:val="22"/>
          <w:szCs w:val="22"/>
          <w:lang w:val="en-US"/>
        </w:rPr>
        <w:t>et al.</w:t>
      </w:r>
      <w:r w:rsidRPr="005541C1">
        <w:rPr>
          <w:rFonts w:cs="Arial"/>
          <w:sz w:val="22"/>
          <w:szCs w:val="22"/>
          <w:lang w:val="en-US"/>
        </w:rPr>
        <w:t xml:space="preserve"> </w:t>
      </w:r>
      <w:r w:rsidRPr="005541C1">
        <w:rPr>
          <w:rFonts w:cs="Arial"/>
          <w:i/>
          <w:iCs/>
          <w:sz w:val="22"/>
          <w:szCs w:val="22"/>
          <w:lang w:val="en-US"/>
        </w:rPr>
        <w:t>Assessment of the relative risk of water quality to ecosystems of the Great Barrier Reef</w:t>
      </w:r>
      <w:r w:rsidRPr="005541C1">
        <w:rPr>
          <w:rFonts w:cs="Arial"/>
          <w:sz w:val="22"/>
          <w:szCs w:val="22"/>
          <w:lang w:val="en-US"/>
        </w:rPr>
        <w:t>.</w:t>
      </w:r>
      <w:proofErr w:type="gramEnd"/>
      <w:r w:rsidRPr="005541C1">
        <w:rPr>
          <w:rFonts w:cs="Arial"/>
          <w:sz w:val="22"/>
          <w:szCs w:val="22"/>
          <w:lang w:val="en-US"/>
        </w:rPr>
        <w:t xml:space="preserve"> Department of the Environment and Heritage Protection, Queensland Government, Brisbane</w:t>
      </w:r>
    </w:p>
    <w:p w14:paraId="52EEE68C" w14:textId="77777777" w:rsidR="009F400E" w:rsidRDefault="009F400E" w:rsidP="009F400E">
      <w:pPr>
        <w:ind w:left="284" w:hanging="284"/>
        <w:rPr>
          <w:rFonts w:cs="Arial"/>
          <w:szCs w:val="22"/>
          <w:lang w:val="en-US"/>
        </w:rPr>
      </w:pPr>
      <w:r w:rsidRPr="005541C1">
        <w:rPr>
          <w:rFonts w:cs="Arial"/>
          <w:szCs w:val="22"/>
          <w:lang w:val="en-US"/>
        </w:rPr>
        <w:t xml:space="preserve">Furnas MJ, Mitchell AW, Skuza M, Brodie J (2005) In the other 90%: Phytoplankton responses to enhanced nutrient availability in the Great Barrier Reef lagoon. Marine Pollution Bulletin 51: 253-256  </w:t>
      </w:r>
    </w:p>
    <w:p w14:paraId="320F73B5" w14:textId="77777777" w:rsidR="009D3707" w:rsidRDefault="009D3707" w:rsidP="009F400E">
      <w:pPr>
        <w:ind w:left="284" w:hanging="284"/>
      </w:pPr>
      <w:r w:rsidRPr="009D3707">
        <w:rPr>
          <w:rFonts w:cs="Arial"/>
          <w:color w:val="000000" w:themeColor="text1"/>
          <w:szCs w:val="22"/>
          <w:lang w:val="en"/>
        </w:rPr>
        <w:t xml:space="preserve">Garde LA, Spillman CM, Heron S, Beeden R (2014) </w:t>
      </w:r>
      <w:hyperlink r:id="rId63" w:history="1">
        <w:r w:rsidRPr="009D3707">
          <w:rPr>
            <w:rStyle w:val="Hyperlink"/>
            <w:rFonts w:cs="Arial"/>
            <w:color w:val="000000" w:themeColor="text1"/>
            <w:szCs w:val="22"/>
            <w:u w:val="none"/>
            <w:lang w:val="en"/>
          </w:rPr>
          <w:t>ReefTemp Next Generation: A New Operational System for Monitoring Reef Thermal Stress, Journal of Operational Oceanography, 7:21-33</w:t>
        </w:r>
      </w:hyperlink>
      <w:r>
        <w:t xml:space="preserve"> </w:t>
      </w:r>
    </w:p>
    <w:p w14:paraId="15D6C158" w14:textId="77777777" w:rsidR="009F400E" w:rsidRDefault="009F400E" w:rsidP="009F400E">
      <w:pPr>
        <w:ind w:left="284" w:hanging="284"/>
      </w:pPr>
      <w:r>
        <w:t>Garzon-Garcia A, Wallace R, Huggins R, Turner RDR, Smith RA, Orr D, Ferguson B, Gardiner R, Thomson B, Warne MS</w:t>
      </w:r>
      <w:r w:rsidR="0021071D">
        <w:t>tJ</w:t>
      </w:r>
      <w:r>
        <w:t xml:space="preserve"> </w:t>
      </w:r>
      <w:r w:rsidR="0021071D">
        <w:t>(</w:t>
      </w:r>
      <w:r>
        <w:t>2015</w:t>
      </w:r>
      <w:r w:rsidR="0021071D">
        <w:t>)</w:t>
      </w:r>
      <w:r>
        <w:t xml:space="preserve"> Total suspended solids, nutrient and pesticide loads (2013–2014) for rivers that discharge to the Great Barrier Reef – Great Barrier Reef Catchment Loads Monitoring Program. </w:t>
      </w:r>
      <w:proofErr w:type="gramStart"/>
      <w:r>
        <w:t>Department of Science, Information Technology and Innovation.</w:t>
      </w:r>
      <w:proofErr w:type="gramEnd"/>
      <w:r>
        <w:t xml:space="preserve"> Brisbane</w:t>
      </w:r>
    </w:p>
    <w:p w14:paraId="6AC41798" w14:textId="77777777" w:rsidR="00CB47F4" w:rsidRDefault="00CB47F4" w:rsidP="009F400E">
      <w:pPr>
        <w:ind w:left="284" w:hanging="284"/>
      </w:pPr>
      <w:proofErr w:type="gramStart"/>
      <w:r w:rsidRPr="008E2554">
        <w:t xml:space="preserve">Graham </w:t>
      </w:r>
      <w:r w:rsidR="008E2554" w:rsidRPr="008E2554">
        <w:t>NAJ, Jennings S, MacNeil MA, Mouillot D, Wilson SK (</w:t>
      </w:r>
      <w:r w:rsidRPr="008E2554">
        <w:t>2015</w:t>
      </w:r>
      <w:r w:rsidR="008E2554" w:rsidRPr="008E2554">
        <w:t>) Predicting climate-driven regime shifts versus rebound potential in coral reefs.</w:t>
      </w:r>
      <w:proofErr w:type="gramEnd"/>
      <w:r w:rsidR="008E2554" w:rsidRPr="008E2554">
        <w:t xml:space="preserve"> Nature</w:t>
      </w:r>
      <w:r w:rsidRPr="008E2554">
        <w:t xml:space="preserve"> </w:t>
      </w:r>
      <w:r w:rsidR="008E2554" w:rsidRPr="008E2554">
        <w:rPr>
          <w:rFonts w:cs="Arial"/>
          <w:i/>
          <w:iCs/>
          <w:color w:val="222222"/>
          <w:sz w:val="20"/>
        </w:rPr>
        <w:t>518</w:t>
      </w:r>
      <w:r w:rsidR="008E2554">
        <w:rPr>
          <w:rFonts w:cs="Arial"/>
          <w:color w:val="222222"/>
          <w:sz w:val="20"/>
        </w:rPr>
        <w:t>(7537):94-97</w:t>
      </w:r>
      <w:r w:rsidR="008E2554" w:rsidRPr="00CB47F4">
        <w:rPr>
          <w:highlight w:val="yellow"/>
        </w:rPr>
        <w:t xml:space="preserve"> </w:t>
      </w:r>
    </w:p>
    <w:p w14:paraId="7FCA1F1F" w14:textId="77777777" w:rsidR="009F400E" w:rsidRPr="005451D7" w:rsidRDefault="009F400E" w:rsidP="009F400E">
      <w:pPr>
        <w:ind w:left="284" w:hanging="284"/>
        <w:rPr>
          <w:rFonts w:cs="Arial"/>
          <w:szCs w:val="22"/>
          <w:lang w:val="en-US"/>
        </w:rPr>
      </w:pPr>
      <w:proofErr w:type="gramStart"/>
      <w:r w:rsidRPr="005451D7">
        <w:rPr>
          <w:rFonts w:cs="Arial"/>
          <w:szCs w:val="22"/>
          <w:lang w:val="en-US"/>
        </w:rPr>
        <w:t>Great Barrier Reef Marine Park Authority (2010) Water Quality Guidelines for the Great Barrier Reef Marine Park.</w:t>
      </w:r>
      <w:proofErr w:type="gramEnd"/>
      <w:r w:rsidRPr="005451D7">
        <w:rPr>
          <w:rFonts w:cs="Arial"/>
          <w:szCs w:val="22"/>
          <w:lang w:val="en-US"/>
        </w:rPr>
        <w:t xml:space="preserve"> </w:t>
      </w:r>
      <w:proofErr w:type="gramStart"/>
      <w:r w:rsidRPr="005451D7">
        <w:rPr>
          <w:rFonts w:cs="Arial"/>
          <w:szCs w:val="22"/>
        </w:rPr>
        <w:t>Revised Edition 2010.</w:t>
      </w:r>
      <w:proofErr w:type="gramEnd"/>
      <w:r w:rsidRPr="005451D7">
        <w:rPr>
          <w:rFonts w:cs="Arial"/>
          <w:szCs w:val="22"/>
        </w:rPr>
        <w:t xml:space="preserve"> </w:t>
      </w:r>
      <w:r w:rsidRPr="005451D7">
        <w:rPr>
          <w:rFonts w:cs="Arial"/>
          <w:szCs w:val="22"/>
          <w:lang w:val="en-US"/>
        </w:rPr>
        <w:t>Great Barrier Reef Marine Park Authority, Townsville. 100p</w:t>
      </w:r>
    </w:p>
    <w:p w14:paraId="0818E09A" w14:textId="77777777" w:rsidR="009F400E" w:rsidRPr="005451D7" w:rsidRDefault="009F400E" w:rsidP="009F400E">
      <w:pPr>
        <w:ind w:left="284" w:hanging="284"/>
        <w:rPr>
          <w:rFonts w:cs="Arial"/>
          <w:szCs w:val="22"/>
        </w:rPr>
      </w:pPr>
      <w:proofErr w:type="gramStart"/>
      <w:r w:rsidRPr="005451D7">
        <w:rPr>
          <w:rFonts w:cs="Arial"/>
          <w:szCs w:val="22"/>
        </w:rPr>
        <w:t xml:space="preserve">Great Barrier Reef Marine Park Authority (2012) Informing the outlook for </w:t>
      </w:r>
      <w:r w:rsidRPr="005451D7">
        <w:rPr>
          <w:rFonts w:cs="Arial"/>
          <w:szCs w:val="22"/>
          <w:lang w:bidi="en-US"/>
        </w:rPr>
        <w:t>Great Barrier Reef coastal ecosystems.</w:t>
      </w:r>
      <w:proofErr w:type="gramEnd"/>
      <w:r w:rsidRPr="005451D7">
        <w:rPr>
          <w:rFonts w:cs="Arial"/>
          <w:szCs w:val="22"/>
        </w:rPr>
        <w:t xml:space="preserve"> Great Barrier Reef Marine Park Authority, Townsville</w:t>
      </w:r>
    </w:p>
    <w:p w14:paraId="3D6D1CA2" w14:textId="77777777" w:rsidR="009F400E" w:rsidRPr="005451D7" w:rsidRDefault="009F400E" w:rsidP="009F400E">
      <w:pPr>
        <w:ind w:left="284" w:hanging="284"/>
        <w:rPr>
          <w:rFonts w:cs="Arial"/>
          <w:szCs w:val="22"/>
        </w:rPr>
      </w:pPr>
      <w:proofErr w:type="gramStart"/>
      <w:r w:rsidRPr="005451D7">
        <w:rPr>
          <w:rFonts w:cs="Arial"/>
          <w:szCs w:val="22"/>
        </w:rPr>
        <w:t xml:space="preserve">Great Barrier Reef Marine Park Authority (2014a) </w:t>
      </w:r>
      <w:r w:rsidRPr="005451D7">
        <w:rPr>
          <w:rFonts w:cs="Arial"/>
          <w:szCs w:val="22"/>
          <w:lang w:bidi="en-US"/>
        </w:rPr>
        <w:t>Great Barrier Reef Region</w:t>
      </w:r>
      <w:r w:rsidRPr="005451D7">
        <w:rPr>
          <w:rFonts w:cs="Arial"/>
          <w:szCs w:val="22"/>
        </w:rPr>
        <w:t xml:space="preserve"> </w:t>
      </w:r>
      <w:r w:rsidRPr="005451D7">
        <w:rPr>
          <w:rFonts w:cs="Arial"/>
          <w:szCs w:val="22"/>
          <w:lang w:bidi="en-US"/>
        </w:rPr>
        <w:t>Strategic Assessment</w:t>
      </w:r>
      <w:r w:rsidRPr="005451D7">
        <w:rPr>
          <w:rFonts w:cs="Arial"/>
          <w:szCs w:val="22"/>
        </w:rPr>
        <w:t>.</w:t>
      </w:r>
      <w:proofErr w:type="gramEnd"/>
      <w:r w:rsidRPr="005451D7">
        <w:rPr>
          <w:rFonts w:cs="Arial"/>
          <w:szCs w:val="22"/>
        </w:rPr>
        <w:t xml:space="preserve"> Great Barrier Reef Marine Park Authority, Townsville</w:t>
      </w:r>
    </w:p>
    <w:p w14:paraId="1DF03E88" w14:textId="77777777" w:rsidR="009F400E" w:rsidRPr="005451D7" w:rsidRDefault="009F400E" w:rsidP="009F400E">
      <w:pPr>
        <w:pStyle w:val="Reportrefs"/>
        <w:spacing w:after="120"/>
        <w:ind w:left="284" w:hanging="284"/>
        <w:rPr>
          <w:rFonts w:cs="Arial"/>
          <w:sz w:val="22"/>
          <w:szCs w:val="22"/>
          <w:lang w:eastAsia="en-AU"/>
        </w:rPr>
      </w:pPr>
      <w:proofErr w:type="gramStart"/>
      <w:r w:rsidRPr="005451D7">
        <w:rPr>
          <w:rFonts w:cs="Arial"/>
          <w:sz w:val="22"/>
          <w:szCs w:val="22"/>
          <w:lang w:val="en-AU" w:eastAsia="en-AU"/>
        </w:rPr>
        <w:t xml:space="preserve">Great Barrier Reef Marine Park Authority (2014b) </w:t>
      </w:r>
      <w:r w:rsidRPr="005451D7">
        <w:rPr>
          <w:rFonts w:cs="Arial"/>
          <w:iCs/>
          <w:sz w:val="22"/>
          <w:szCs w:val="22"/>
          <w:lang w:val="en-AU" w:eastAsia="en-AU"/>
        </w:rPr>
        <w:t>Great Barrier Reef Outlook Report 2014</w:t>
      </w:r>
      <w:r w:rsidRPr="005451D7">
        <w:rPr>
          <w:rFonts w:cs="Arial"/>
          <w:sz w:val="22"/>
          <w:szCs w:val="22"/>
          <w:lang w:val="en-AU" w:eastAsia="en-AU"/>
        </w:rPr>
        <w:t xml:space="preserve">, </w:t>
      </w:r>
      <w:r w:rsidRPr="005451D7">
        <w:rPr>
          <w:rFonts w:cs="Arial"/>
          <w:sz w:val="22"/>
          <w:szCs w:val="22"/>
        </w:rPr>
        <w:t>Great Barrier Reef Marine Park Authority</w:t>
      </w:r>
      <w:r w:rsidRPr="005451D7">
        <w:rPr>
          <w:rFonts w:cs="Arial"/>
          <w:sz w:val="22"/>
          <w:szCs w:val="22"/>
          <w:lang w:val="en-AU" w:eastAsia="en-AU"/>
        </w:rPr>
        <w:t>, Townsville.</w:t>
      </w:r>
      <w:proofErr w:type="gramEnd"/>
    </w:p>
    <w:p w14:paraId="249BAC6B" w14:textId="77777777" w:rsidR="009F400E" w:rsidRPr="005451D7" w:rsidRDefault="009F400E" w:rsidP="009F400E">
      <w:pPr>
        <w:pStyle w:val="Reportrefs"/>
        <w:spacing w:after="120"/>
        <w:ind w:left="284" w:hanging="284"/>
        <w:rPr>
          <w:rFonts w:cs="Arial"/>
          <w:szCs w:val="22"/>
        </w:rPr>
      </w:pPr>
      <w:r w:rsidRPr="005451D7">
        <w:rPr>
          <w:rFonts w:cs="Arial"/>
          <w:sz w:val="22"/>
          <w:szCs w:val="22"/>
        </w:rPr>
        <w:t>Great Barrier Reef Marine Park Authority (</w:t>
      </w:r>
      <w:r w:rsidR="001648C9">
        <w:rPr>
          <w:rFonts w:cs="Arial"/>
          <w:sz w:val="22"/>
          <w:szCs w:val="22"/>
        </w:rPr>
        <w:t>2016</w:t>
      </w:r>
      <w:r w:rsidRPr="005451D7">
        <w:rPr>
          <w:rFonts w:cs="Arial"/>
          <w:sz w:val="22"/>
          <w:szCs w:val="22"/>
        </w:rPr>
        <w:t>) Reef Rescue Marine Monitoring Program quality assurance and quality control manual. Great Barrier Reef Marine Park Authority, Townsville</w:t>
      </w:r>
      <w:r w:rsidRPr="005451D7">
        <w:rPr>
          <w:rFonts w:cs="Arial"/>
          <w:szCs w:val="22"/>
        </w:rPr>
        <w:t>.</w:t>
      </w:r>
    </w:p>
    <w:p w14:paraId="03324384" w14:textId="77777777" w:rsidR="009F400E" w:rsidRPr="005451D7" w:rsidRDefault="009F400E" w:rsidP="009F400E">
      <w:pPr>
        <w:pStyle w:val="Reportrefs"/>
        <w:spacing w:after="120"/>
        <w:ind w:left="284" w:hanging="284"/>
        <w:rPr>
          <w:rFonts w:cs="Arial"/>
          <w:sz w:val="22"/>
          <w:szCs w:val="22"/>
          <w:lang w:eastAsia="en-AU"/>
        </w:rPr>
      </w:pPr>
      <w:r w:rsidRPr="005451D7">
        <w:rPr>
          <w:rFonts w:cs="Arial"/>
          <w:sz w:val="22"/>
          <w:szCs w:val="22"/>
          <w:lang w:eastAsia="en-AU"/>
        </w:rPr>
        <w:t>Haapkyla J, Melbourne-Thomas J, Flavell M, Willis B (2013) Disease outbreaks, bleaching and a cyclone drive changes in coral assemblages on an inshore reef of the Great Barrier Reef. Coral Reefs 32:815-824</w:t>
      </w:r>
    </w:p>
    <w:p w14:paraId="3A54CCBC" w14:textId="77777777" w:rsidR="009F400E" w:rsidRDefault="009F400E" w:rsidP="009F400E">
      <w:pPr>
        <w:pStyle w:val="Reportrefs"/>
        <w:spacing w:after="120"/>
        <w:ind w:left="284" w:hanging="284"/>
        <w:rPr>
          <w:rFonts w:cs="Arial"/>
          <w:sz w:val="22"/>
          <w:szCs w:val="22"/>
          <w:lang w:eastAsia="en-AU"/>
        </w:rPr>
      </w:pPr>
      <w:r w:rsidRPr="005451D7">
        <w:rPr>
          <w:rFonts w:cs="Arial"/>
          <w:sz w:val="22"/>
          <w:szCs w:val="22"/>
          <w:lang w:eastAsia="en-AU"/>
        </w:rPr>
        <w:lastRenderedPageBreak/>
        <w:t xml:space="preserve">Haapkylä J, Unsworth R, Flavell M, Bourne D, Schaffelke B, Willis BL (2011) Seasonal rainfall and runoff promote coral disease on an inshore reef of the Great Barrier Reef, Australia. </w:t>
      </w:r>
      <w:proofErr w:type="gramStart"/>
      <w:r w:rsidRPr="005451D7">
        <w:rPr>
          <w:rFonts w:cs="Arial"/>
          <w:sz w:val="22"/>
          <w:szCs w:val="22"/>
          <w:lang w:eastAsia="en-AU"/>
        </w:rPr>
        <w:t>PLoS One.</w:t>
      </w:r>
      <w:proofErr w:type="gramEnd"/>
      <w:r w:rsidRPr="005451D7">
        <w:rPr>
          <w:rFonts w:cs="Arial"/>
          <w:sz w:val="22"/>
          <w:szCs w:val="22"/>
          <w:lang w:eastAsia="en-AU"/>
        </w:rPr>
        <w:t xml:space="preserve"> 6(2): e16893 </w:t>
      </w:r>
    </w:p>
    <w:p w14:paraId="623F2176" w14:textId="77777777" w:rsidR="0043311B" w:rsidRDefault="0043311B" w:rsidP="009F400E">
      <w:pPr>
        <w:pStyle w:val="Reportrefs"/>
        <w:spacing w:after="120"/>
        <w:ind w:left="284" w:hanging="284"/>
        <w:rPr>
          <w:rFonts w:cs="Arial"/>
          <w:sz w:val="22"/>
          <w:szCs w:val="22"/>
          <w:lang w:eastAsia="en-AU"/>
        </w:rPr>
      </w:pPr>
      <w:r>
        <w:rPr>
          <w:rFonts w:cs="Arial"/>
          <w:sz w:val="22"/>
          <w:szCs w:val="22"/>
          <w:lang w:eastAsia="en-AU"/>
        </w:rPr>
        <w:t>Halford A, Cheal AJ, Ryan D, Williams DMcB (2004) Resilience to large-scale disturbance in coral and fish assemblages on the Great Barrier Reef. Ecology 83: 1891-1095</w:t>
      </w:r>
    </w:p>
    <w:p w14:paraId="2AF3A28E" w14:textId="77777777" w:rsidR="00720C7E" w:rsidRPr="005451D7" w:rsidRDefault="00720C7E" w:rsidP="009F400E">
      <w:pPr>
        <w:pStyle w:val="Reportrefs"/>
        <w:spacing w:after="120"/>
        <w:ind w:left="284" w:hanging="284"/>
        <w:rPr>
          <w:rFonts w:cs="Arial"/>
          <w:sz w:val="22"/>
          <w:szCs w:val="22"/>
          <w:lang w:eastAsia="en-AU"/>
        </w:rPr>
      </w:pPr>
      <w:r>
        <w:rPr>
          <w:rFonts w:cs="Arial"/>
          <w:sz w:val="22"/>
          <w:szCs w:val="22"/>
          <w:lang w:eastAsia="en-AU"/>
        </w:rPr>
        <w:t>Halpern BS, Frazier M, Potapenko J, Casey KS, Koenig K, Longo C, Stewart Lowndes J, Rockwood</w:t>
      </w:r>
      <w:r w:rsidR="00355016">
        <w:rPr>
          <w:rFonts w:cs="Arial"/>
          <w:sz w:val="22"/>
          <w:szCs w:val="22"/>
          <w:lang w:eastAsia="en-AU"/>
        </w:rPr>
        <w:t xml:space="preserve"> C, Selig ER, Selkoe KA, Walbridge S (2015) Spatial and temporal changes in cumulative human impacts on the world’s oceans. Nature Communications 6:7615 DOI</w:t>
      </w:r>
      <w:proofErr w:type="gramStart"/>
      <w:r w:rsidR="00355016">
        <w:rPr>
          <w:rFonts w:cs="Arial"/>
          <w:sz w:val="22"/>
          <w:szCs w:val="22"/>
          <w:lang w:eastAsia="en-AU"/>
        </w:rPr>
        <w:t>:10.1038</w:t>
      </w:r>
      <w:proofErr w:type="gramEnd"/>
      <w:r w:rsidR="00355016">
        <w:rPr>
          <w:rFonts w:cs="Arial"/>
          <w:sz w:val="22"/>
          <w:szCs w:val="22"/>
          <w:lang w:eastAsia="en-AU"/>
        </w:rPr>
        <w:t>/ncomms8615</w:t>
      </w:r>
    </w:p>
    <w:p w14:paraId="5FAFF0A2" w14:textId="77777777" w:rsidR="009F400E" w:rsidRPr="005451D7" w:rsidRDefault="009F400E" w:rsidP="009F400E">
      <w:pPr>
        <w:pStyle w:val="Reportrefs"/>
        <w:spacing w:after="120"/>
        <w:ind w:left="284" w:hanging="284"/>
        <w:rPr>
          <w:rFonts w:eastAsia="MS Mincho" w:cs="Arial"/>
          <w:sz w:val="22"/>
          <w:szCs w:val="22"/>
        </w:rPr>
      </w:pPr>
      <w:r w:rsidRPr="005451D7">
        <w:rPr>
          <w:rFonts w:eastAsia="MS Mincho" w:cs="Arial"/>
          <w:sz w:val="22"/>
          <w:szCs w:val="22"/>
        </w:rPr>
        <w:t>Harrison PL, Wallace CC (1990) Reproduction, dispersal and recruitment of Scleractinian corals. In Dubinsky Z (</w:t>
      </w:r>
      <w:r w:rsidR="001648C9" w:rsidRPr="005451D7">
        <w:rPr>
          <w:rFonts w:eastAsia="MS Mincho" w:cs="Arial"/>
          <w:sz w:val="22"/>
          <w:szCs w:val="22"/>
        </w:rPr>
        <w:t>Ed</w:t>
      </w:r>
      <w:r w:rsidRPr="005451D7">
        <w:rPr>
          <w:rFonts w:eastAsia="MS Mincho" w:cs="Arial"/>
          <w:sz w:val="22"/>
          <w:szCs w:val="22"/>
        </w:rPr>
        <w:t>) Ecosystems of the world 25: Coral Reefs. Elsevier, New York, pp 133-202</w:t>
      </w:r>
    </w:p>
    <w:p w14:paraId="7BAF68E4" w14:textId="77777777" w:rsidR="009F400E" w:rsidRPr="005451D7" w:rsidRDefault="009F400E" w:rsidP="009F400E">
      <w:pPr>
        <w:pStyle w:val="Reportrefs"/>
        <w:spacing w:after="120"/>
        <w:ind w:left="284" w:hanging="284"/>
        <w:rPr>
          <w:rFonts w:cs="Arial"/>
          <w:sz w:val="22"/>
          <w:szCs w:val="22"/>
          <w:lang w:eastAsia="en-AU"/>
        </w:rPr>
      </w:pPr>
      <w:r w:rsidRPr="005451D7">
        <w:rPr>
          <w:rFonts w:cs="Arial"/>
          <w:sz w:val="22"/>
          <w:szCs w:val="22"/>
          <w:lang w:eastAsia="en-AU"/>
        </w:rPr>
        <w:t xml:space="preserve">Hauri C, Fabricius K, Schaffelke B, Humphrey C (2010) Chemical and physical environmental conditions underneath mat- and canopy-forming macroalgae, and the effects on understory corals. PLoS ONE 5(9): e12685 </w:t>
      </w:r>
    </w:p>
    <w:p w14:paraId="1357DE34" w14:textId="77777777" w:rsidR="009F400E" w:rsidRDefault="009F400E" w:rsidP="009F400E">
      <w:pPr>
        <w:ind w:left="284" w:hanging="284"/>
        <w:rPr>
          <w:rFonts w:cs="Arial"/>
          <w:szCs w:val="22"/>
          <w:lang w:val="en-US"/>
        </w:rPr>
      </w:pPr>
      <w:r w:rsidRPr="005451D7">
        <w:rPr>
          <w:rFonts w:cs="Arial"/>
          <w:szCs w:val="22"/>
          <w:lang w:val="en-US"/>
        </w:rPr>
        <w:t>Hoegh-Guldberg O (1999) Climate change, coral bleaching and the future of the world’s coral reefs. Marine and Freshwater Research 50:839-866</w:t>
      </w:r>
    </w:p>
    <w:p w14:paraId="2CF42F9B" w14:textId="77777777" w:rsidR="0043311B" w:rsidRPr="005451D7" w:rsidRDefault="0043311B" w:rsidP="009F400E">
      <w:pPr>
        <w:ind w:left="284" w:hanging="284"/>
        <w:rPr>
          <w:rFonts w:cs="Arial"/>
          <w:szCs w:val="22"/>
          <w:lang w:val="en-US"/>
        </w:rPr>
      </w:pPr>
      <w:r>
        <w:rPr>
          <w:rFonts w:cs="Arial"/>
          <w:szCs w:val="22"/>
          <w:lang w:val="en-US"/>
        </w:rPr>
        <w:t>Holbrook SJ, Schmitt RJ, Brooks AJ (2009) Resistance and resilience of a coral reef fish community to changes in coral cover. Marine Ecology Progress Series 371:263-271</w:t>
      </w:r>
    </w:p>
    <w:p w14:paraId="2ED3286C" w14:textId="77777777" w:rsidR="009F400E" w:rsidRPr="005451D7" w:rsidRDefault="009F400E" w:rsidP="009F400E">
      <w:pPr>
        <w:pStyle w:val="NormalWeb"/>
        <w:spacing w:before="0" w:beforeAutospacing="0" w:after="120" w:afterAutospacing="0"/>
        <w:ind w:left="284" w:hanging="284"/>
        <w:rPr>
          <w:rFonts w:ascii="Arial" w:hAnsi="Arial" w:cs="Arial"/>
          <w:noProof/>
          <w:sz w:val="22"/>
          <w:szCs w:val="22"/>
          <w:lang w:val="en-GB"/>
        </w:rPr>
      </w:pPr>
      <w:r w:rsidRPr="005451D7">
        <w:rPr>
          <w:rFonts w:ascii="Arial" w:hAnsi="Arial" w:cs="Arial"/>
          <w:noProof/>
          <w:sz w:val="22"/>
          <w:szCs w:val="22"/>
          <w:lang w:val="en-GB"/>
        </w:rPr>
        <w:t xml:space="preserve">Hughes AO , Olley JM , Croke JC , McKergow LA (2009) </w:t>
      </w:r>
      <w:r w:rsidRPr="005451D7">
        <w:rPr>
          <w:rFonts w:ascii="Arial" w:hAnsi="Arial" w:cs="Arial"/>
          <w:noProof/>
          <w:sz w:val="22"/>
          <w:szCs w:val="22"/>
        </w:rPr>
        <w:t xml:space="preserve">Sediment source changes over the last 250 years in a dry-tropical catchment, central </w:t>
      </w:r>
      <w:r w:rsidRPr="005451D7">
        <w:rPr>
          <w:rFonts w:ascii="Arial" w:hAnsi="Arial" w:cs="Arial"/>
          <w:noProof/>
          <w:sz w:val="22"/>
          <w:szCs w:val="22"/>
          <w:lang w:val="en-GB"/>
        </w:rPr>
        <w:t>Queensland, Australia.</w:t>
      </w:r>
      <w:r w:rsidRPr="005451D7">
        <w:rPr>
          <w:rFonts w:ascii="Arial" w:hAnsi="Arial" w:cs="Arial"/>
          <w:sz w:val="22"/>
          <w:szCs w:val="22"/>
        </w:rPr>
        <w:t xml:space="preserve"> </w:t>
      </w:r>
      <w:r w:rsidRPr="005451D7">
        <w:rPr>
          <w:rFonts w:ascii="Arial" w:hAnsi="Arial" w:cs="Arial"/>
          <w:noProof/>
          <w:sz w:val="22"/>
          <w:szCs w:val="22"/>
          <w:lang w:val="en-GB"/>
        </w:rPr>
        <w:t>Geomorphology 104</w:t>
      </w:r>
      <w:r w:rsidR="008D482D">
        <w:rPr>
          <w:rFonts w:ascii="Arial" w:hAnsi="Arial" w:cs="Arial"/>
          <w:noProof/>
          <w:sz w:val="22"/>
          <w:szCs w:val="22"/>
          <w:lang w:val="en-GB"/>
        </w:rPr>
        <w:t>:</w:t>
      </w:r>
      <w:r w:rsidRPr="005451D7">
        <w:rPr>
          <w:rFonts w:ascii="Arial" w:hAnsi="Arial" w:cs="Arial"/>
          <w:noProof/>
          <w:sz w:val="22"/>
          <w:szCs w:val="22"/>
          <w:lang w:val="en-GB"/>
        </w:rPr>
        <w:t xml:space="preserve">262–265 </w:t>
      </w:r>
    </w:p>
    <w:p w14:paraId="75C28C46" w14:textId="77777777" w:rsidR="009F400E" w:rsidRPr="005451D7" w:rsidRDefault="009F400E" w:rsidP="009F400E">
      <w:pPr>
        <w:pStyle w:val="NormalWeb"/>
        <w:spacing w:before="0" w:beforeAutospacing="0" w:after="120" w:afterAutospacing="0"/>
        <w:ind w:left="284" w:hanging="284"/>
        <w:rPr>
          <w:rFonts w:ascii="Arial" w:hAnsi="Arial" w:cs="Arial"/>
          <w:sz w:val="22"/>
          <w:szCs w:val="22"/>
        </w:rPr>
      </w:pPr>
      <w:r w:rsidRPr="005451D7">
        <w:rPr>
          <w:rFonts w:ascii="Arial" w:hAnsi="Arial" w:cs="Arial"/>
          <w:sz w:val="22"/>
          <w:szCs w:val="22"/>
        </w:rPr>
        <w:t xml:space="preserve">Hughes TP, Graham NAJ, Jackson JBC, Mumby PJ, Steneck RS (2010) Rising to the challenge of sustaining coral reef resilience. Trends in Ecology and Evolution 25(11):633-642 </w:t>
      </w:r>
    </w:p>
    <w:p w14:paraId="438C5FDA" w14:textId="77777777" w:rsidR="009F400E" w:rsidRPr="005451D7" w:rsidRDefault="009F400E" w:rsidP="009F400E">
      <w:pPr>
        <w:pStyle w:val="Reportrefs"/>
        <w:spacing w:after="120"/>
        <w:ind w:left="284" w:hanging="284"/>
        <w:rPr>
          <w:rFonts w:cs="Arial"/>
          <w:sz w:val="22"/>
          <w:szCs w:val="22"/>
        </w:rPr>
      </w:pPr>
      <w:r w:rsidRPr="005451D7">
        <w:rPr>
          <w:rFonts w:cs="Arial"/>
          <w:sz w:val="22"/>
          <w:szCs w:val="22"/>
        </w:rPr>
        <w:t>Hughes TP, Rodrigues MJ, Bellwood DR, Ceccarelli D, Hoegh-Guldberg O, McCook L, Moltschaniwskyj N, Pratchett MS, Steneck RS, Willis B (2007) Phase Shifts, Herbivory, and the Resilience of Coral Reefs to Climate Change. Current Biology 17:360-365</w:t>
      </w:r>
    </w:p>
    <w:p w14:paraId="7B4602F0" w14:textId="77777777" w:rsidR="009F400E" w:rsidRPr="008648A2" w:rsidRDefault="009F400E" w:rsidP="009F400E">
      <w:pPr>
        <w:pStyle w:val="Reportrefs"/>
        <w:spacing w:after="120"/>
        <w:ind w:left="284" w:hanging="284"/>
        <w:rPr>
          <w:rFonts w:cs="Arial"/>
          <w:sz w:val="22"/>
          <w:szCs w:val="22"/>
        </w:rPr>
      </w:pPr>
      <w:r w:rsidRPr="008648A2">
        <w:rPr>
          <w:rFonts w:cs="Arial"/>
          <w:sz w:val="22"/>
          <w:szCs w:val="22"/>
        </w:rPr>
        <w:t>Ives AR, Dennis B, Cottingham KL, Carpenter SR (2003) Estimating community stability and ecological interactions from time series data. Ecological Monographs 73:301-330</w:t>
      </w:r>
    </w:p>
    <w:p w14:paraId="47EB9BBC" w14:textId="77777777" w:rsidR="009F400E" w:rsidRPr="005451D7" w:rsidRDefault="009F400E" w:rsidP="009F400E">
      <w:pPr>
        <w:pStyle w:val="Reportrefs"/>
        <w:spacing w:after="120"/>
        <w:ind w:left="284" w:hanging="284"/>
        <w:rPr>
          <w:rFonts w:cs="Arial"/>
          <w:sz w:val="22"/>
          <w:szCs w:val="22"/>
        </w:rPr>
      </w:pPr>
      <w:r w:rsidRPr="005451D7">
        <w:rPr>
          <w:rFonts w:cs="Arial"/>
          <w:sz w:val="22"/>
          <w:szCs w:val="22"/>
        </w:rPr>
        <w:t>Jameson SC, Erdmann MV, Karr JR, Potts WK (2001) Charting a course toward diagnostic monitoring: A continuing review of coral reef attributes and research strategy for creating coral reef indexes of biotic integrity. Bulletin of Marine Science, 69:701-744</w:t>
      </w:r>
    </w:p>
    <w:p w14:paraId="34C26087" w14:textId="77777777" w:rsidR="009F400E" w:rsidRDefault="009F400E" w:rsidP="009F400E">
      <w:pPr>
        <w:pStyle w:val="Reportrefs"/>
        <w:spacing w:after="120"/>
        <w:ind w:left="284" w:hanging="284"/>
        <w:rPr>
          <w:rFonts w:cs="Arial"/>
          <w:sz w:val="22"/>
          <w:szCs w:val="22"/>
        </w:rPr>
      </w:pPr>
      <w:proofErr w:type="gramStart"/>
      <w:r w:rsidRPr="008E6775">
        <w:rPr>
          <w:rFonts w:cs="Arial"/>
          <w:sz w:val="22"/>
          <w:szCs w:val="22"/>
        </w:rPr>
        <w:t>Jonker M, Johns K, Osborne K (2008) Surveys of benthic reef communities using underwater digital photography and counts of juvenile corals.</w:t>
      </w:r>
      <w:proofErr w:type="gramEnd"/>
      <w:r w:rsidRPr="008E6775">
        <w:rPr>
          <w:rFonts w:cs="Arial"/>
          <w:sz w:val="22"/>
          <w:szCs w:val="22"/>
        </w:rPr>
        <w:t xml:space="preserve"> Long-term Monitoring of the Great Barrier Reef, Standard Operational Procedure Number 10, Australian Institute of Marine Science, Townsville</w:t>
      </w:r>
    </w:p>
    <w:p w14:paraId="1FFDDDBB" w14:textId="77777777" w:rsidR="00AC6B85" w:rsidRPr="00AC6B85" w:rsidRDefault="00AC6B85" w:rsidP="00AC6B85">
      <w:pPr>
        <w:ind w:left="284" w:hanging="284"/>
        <w:rPr>
          <w:rFonts w:cs="Arial"/>
          <w:color w:val="222222"/>
          <w:szCs w:val="22"/>
        </w:rPr>
      </w:pPr>
      <w:r w:rsidRPr="00AC6B85">
        <w:rPr>
          <w:rFonts w:cs="Arial"/>
          <w:color w:val="222222"/>
          <w:szCs w:val="22"/>
        </w:rPr>
        <w:t>Joo</w:t>
      </w:r>
      <w:r>
        <w:rPr>
          <w:rFonts w:cs="Arial"/>
          <w:color w:val="222222"/>
          <w:szCs w:val="22"/>
        </w:rPr>
        <w:t xml:space="preserve"> M</w:t>
      </w:r>
      <w:r w:rsidRPr="00AC6B85">
        <w:rPr>
          <w:rFonts w:cs="Arial"/>
          <w:color w:val="222222"/>
          <w:szCs w:val="22"/>
        </w:rPr>
        <w:t>, Raymond</w:t>
      </w:r>
      <w:r>
        <w:rPr>
          <w:rFonts w:cs="Arial"/>
          <w:color w:val="222222"/>
          <w:szCs w:val="22"/>
        </w:rPr>
        <w:t xml:space="preserve"> M</w:t>
      </w:r>
      <w:r w:rsidRPr="00AC6B85">
        <w:rPr>
          <w:rFonts w:cs="Arial"/>
          <w:color w:val="222222"/>
          <w:szCs w:val="22"/>
        </w:rPr>
        <w:t>A, McNeil VH, Huggins</w:t>
      </w:r>
      <w:r>
        <w:rPr>
          <w:rFonts w:cs="Arial"/>
          <w:color w:val="222222"/>
          <w:szCs w:val="22"/>
        </w:rPr>
        <w:t xml:space="preserve"> R, Turner R</w:t>
      </w:r>
      <w:r w:rsidRPr="00AC6B85">
        <w:rPr>
          <w:rFonts w:cs="Arial"/>
          <w:color w:val="222222"/>
          <w:szCs w:val="22"/>
        </w:rPr>
        <w:t>D</w:t>
      </w:r>
      <w:r>
        <w:rPr>
          <w:rFonts w:cs="Arial"/>
          <w:color w:val="222222"/>
          <w:szCs w:val="22"/>
        </w:rPr>
        <w:t>,</w:t>
      </w:r>
      <w:r w:rsidRPr="00AC6B85">
        <w:rPr>
          <w:rFonts w:cs="Arial"/>
          <w:color w:val="222222"/>
          <w:szCs w:val="22"/>
        </w:rPr>
        <w:t xml:space="preserve"> Choy S </w:t>
      </w:r>
      <w:r>
        <w:rPr>
          <w:rFonts w:cs="Arial"/>
          <w:color w:val="222222"/>
          <w:szCs w:val="22"/>
        </w:rPr>
        <w:t>(</w:t>
      </w:r>
      <w:r w:rsidRPr="00AC6B85">
        <w:rPr>
          <w:rFonts w:cs="Arial"/>
          <w:color w:val="222222"/>
          <w:szCs w:val="22"/>
        </w:rPr>
        <w:t>2012</w:t>
      </w:r>
      <w:r>
        <w:rPr>
          <w:rFonts w:cs="Arial"/>
          <w:color w:val="222222"/>
          <w:szCs w:val="22"/>
        </w:rPr>
        <w:t>)</w:t>
      </w:r>
      <w:r w:rsidRPr="00AC6B85">
        <w:rPr>
          <w:rFonts w:cs="Arial"/>
          <w:color w:val="222222"/>
          <w:szCs w:val="22"/>
        </w:rPr>
        <w:t xml:space="preserve"> Estimates of sediment and nutrient loads in 10 major catchments draining to the Great Barrier Reef during 2006–2009. </w:t>
      </w:r>
      <w:r w:rsidRPr="00AC6B85">
        <w:rPr>
          <w:rFonts w:cs="Arial"/>
          <w:iCs/>
          <w:color w:val="222222"/>
          <w:szCs w:val="22"/>
        </w:rPr>
        <w:t>Marine pollution bulletin</w:t>
      </w:r>
      <w:r w:rsidRPr="00AC6B85">
        <w:rPr>
          <w:rFonts w:cs="Arial"/>
          <w:color w:val="222222"/>
          <w:szCs w:val="22"/>
        </w:rPr>
        <w:t xml:space="preserve">, </w:t>
      </w:r>
      <w:r w:rsidRPr="00AC6B85">
        <w:rPr>
          <w:rFonts w:cs="Arial"/>
          <w:iCs/>
          <w:color w:val="222222"/>
          <w:szCs w:val="22"/>
        </w:rPr>
        <w:t>65</w:t>
      </w:r>
      <w:r w:rsidRPr="00AC6B85">
        <w:rPr>
          <w:rFonts w:cs="Arial"/>
          <w:color w:val="222222"/>
          <w:szCs w:val="22"/>
        </w:rPr>
        <w:t>(4)</w:t>
      </w:r>
      <w:r>
        <w:rPr>
          <w:rFonts w:cs="Arial"/>
          <w:color w:val="222222"/>
          <w:szCs w:val="22"/>
        </w:rPr>
        <w:t>:</w:t>
      </w:r>
      <w:r w:rsidRPr="00AC6B85">
        <w:rPr>
          <w:rFonts w:cs="Arial"/>
          <w:color w:val="222222"/>
          <w:szCs w:val="22"/>
        </w:rPr>
        <w:t>150-166</w:t>
      </w:r>
    </w:p>
    <w:p w14:paraId="69301BBC" w14:textId="77777777" w:rsidR="009F400E" w:rsidRPr="008E6775" w:rsidRDefault="00AC6B85" w:rsidP="00AC6B85">
      <w:pPr>
        <w:pStyle w:val="Reportrefs"/>
        <w:spacing w:after="120"/>
        <w:ind w:left="284" w:hanging="284"/>
        <w:rPr>
          <w:rFonts w:cs="Arial"/>
          <w:sz w:val="22"/>
          <w:szCs w:val="22"/>
        </w:rPr>
      </w:pPr>
      <w:r w:rsidRPr="008E6775">
        <w:rPr>
          <w:rFonts w:cs="Arial"/>
          <w:sz w:val="22"/>
          <w:szCs w:val="22"/>
        </w:rPr>
        <w:t xml:space="preserve"> </w:t>
      </w:r>
      <w:r w:rsidR="009F400E" w:rsidRPr="008E6775">
        <w:rPr>
          <w:rFonts w:cs="Arial"/>
          <w:sz w:val="22"/>
          <w:szCs w:val="22"/>
        </w:rPr>
        <w:t>Kaczmarsky L, Richardson LL (2010) Do elevated nutrients and organic carbon on Philippine reefs increase the prevalence of coral disease? Coral Reefs 30:253-257</w:t>
      </w:r>
    </w:p>
    <w:p w14:paraId="75A4DC1A" w14:textId="77777777" w:rsidR="009F400E" w:rsidRPr="008E6775" w:rsidRDefault="009F400E" w:rsidP="009F400E">
      <w:pPr>
        <w:pStyle w:val="Reportrefs"/>
        <w:spacing w:after="120"/>
        <w:ind w:left="284" w:hanging="284"/>
        <w:rPr>
          <w:rFonts w:cs="Arial"/>
          <w:sz w:val="22"/>
          <w:szCs w:val="22"/>
        </w:rPr>
      </w:pPr>
      <w:r w:rsidRPr="008E6775">
        <w:rPr>
          <w:rFonts w:cs="Arial"/>
          <w:sz w:val="22"/>
          <w:szCs w:val="22"/>
        </w:rPr>
        <w:t>Karr JR, Chu EW (1999) Restoring life in running waters: Better biological monitoring. Island Press Washington DC, 206p</w:t>
      </w:r>
    </w:p>
    <w:p w14:paraId="509CC55C" w14:textId="77777777" w:rsidR="009F400E" w:rsidRPr="008E6775" w:rsidRDefault="009F400E" w:rsidP="009F400E">
      <w:pPr>
        <w:pStyle w:val="Reportrefs"/>
        <w:spacing w:after="120"/>
        <w:ind w:left="284" w:hanging="284"/>
        <w:rPr>
          <w:rFonts w:cs="Arial"/>
          <w:sz w:val="22"/>
          <w:szCs w:val="22"/>
        </w:rPr>
      </w:pPr>
      <w:r w:rsidRPr="008E6775">
        <w:rPr>
          <w:rFonts w:cs="Arial"/>
          <w:sz w:val="22"/>
          <w:szCs w:val="22"/>
        </w:rPr>
        <w:t xml:space="preserve">Karr JR (2006) </w:t>
      </w:r>
      <w:proofErr w:type="gramStart"/>
      <w:r w:rsidRPr="008E6775">
        <w:rPr>
          <w:rFonts w:cs="Arial"/>
          <w:sz w:val="22"/>
          <w:szCs w:val="22"/>
        </w:rPr>
        <w:t>Seven</w:t>
      </w:r>
      <w:proofErr w:type="gramEnd"/>
      <w:r w:rsidRPr="008E6775">
        <w:rPr>
          <w:rFonts w:cs="Arial"/>
          <w:sz w:val="22"/>
          <w:szCs w:val="22"/>
        </w:rPr>
        <w:t xml:space="preserve"> foundations of biological monitoring and assessment. Biologia Ambientale 20(2):7-18</w:t>
      </w:r>
    </w:p>
    <w:p w14:paraId="294C3443" w14:textId="77777777" w:rsidR="009F400E" w:rsidRPr="008E6775" w:rsidRDefault="009F400E" w:rsidP="009F400E">
      <w:pPr>
        <w:pStyle w:val="Reportrefs"/>
        <w:spacing w:after="120"/>
        <w:ind w:left="284" w:hanging="284"/>
        <w:rPr>
          <w:rFonts w:cs="Arial"/>
          <w:sz w:val="22"/>
          <w:szCs w:val="22"/>
        </w:rPr>
      </w:pPr>
      <w:r w:rsidRPr="008E6775">
        <w:rPr>
          <w:rFonts w:cs="Arial"/>
          <w:sz w:val="22"/>
          <w:szCs w:val="22"/>
        </w:rPr>
        <w:t>Kline DL, Kuntz NM, Breitbart M, Knowlton N, Rohwer F (2006) Role of elevated organic carbon levels and microbial activity in coral mortality. Marine Ecology Progress Series 314:119–125</w:t>
      </w:r>
    </w:p>
    <w:p w14:paraId="6B7DC002" w14:textId="77777777" w:rsidR="009F400E" w:rsidRPr="008E6775" w:rsidRDefault="009F400E" w:rsidP="009F400E">
      <w:pPr>
        <w:pStyle w:val="Reportrefs"/>
        <w:spacing w:after="120"/>
        <w:ind w:left="284" w:hanging="284"/>
        <w:rPr>
          <w:rFonts w:cs="Arial"/>
          <w:sz w:val="22"/>
          <w:szCs w:val="22"/>
          <w:lang w:val="en-AU"/>
        </w:rPr>
      </w:pPr>
      <w:r w:rsidRPr="008E6775">
        <w:rPr>
          <w:rFonts w:cs="Arial"/>
          <w:sz w:val="22"/>
          <w:szCs w:val="22"/>
          <w:lang w:val="en-AU"/>
        </w:rPr>
        <w:lastRenderedPageBreak/>
        <w:t xml:space="preserve">Kroon FJ, Kuhnert PM, Henderson BL, Wilkinson SN, Kinsey-Henderson A, Abbott B, Brodie JE, Turner RDR (2012) River loads of suspended solids, nitrogen, phosphorus and herbicides delivered to the Great Barrier Reef lagoon. Marine Pollution Bulletin 65:167–181 </w:t>
      </w:r>
    </w:p>
    <w:p w14:paraId="523C0C7B" w14:textId="77777777" w:rsidR="009F400E" w:rsidRDefault="009F400E" w:rsidP="009F400E">
      <w:pPr>
        <w:pStyle w:val="Reportrefs"/>
        <w:spacing w:after="120"/>
        <w:ind w:left="284" w:hanging="284"/>
        <w:rPr>
          <w:rFonts w:cs="Arial"/>
          <w:sz w:val="22"/>
          <w:szCs w:val="24"/>
          <w:lang w:val="en-AU" w:eastAsia="en-AU"/>
        </w:rPr>
      </w:pPr>
      <w:r w:rsidRPr="008E6775">
        <w:rPr>
          <w:rFonts w:cs="Arial"/>
          <w:sz w:val="22"/>
          <w:szCs w:val="24"/>
          <w:lang w:val="en-AU" w:eastAsia="en-AU"/>
        </w:rPr>
        <w:t>Kroon FJ, Schaffelke B, Bartley R (2014) Informing policy to protect coastal coral reefs: Insight from a global review of reducing agricultural pollution to coastal ecosystems. Marine Pollution Bulletin 85:33-41</w:t>
      </w:r>
    </w:p>
    <w:p w14:paraId="64B798FB" w14:textId="77777777" w:rsidR="00AC6B85" w:rsidRDefault="00AC6B85" w:rsidP="00AC6B85">
      <w:pPr>
        <w:autoSpaceDE w:val="0"/>
        <w:autoSpaceDN w:val="0"/>
        <w:adjustRightInd w:val="0"/>
        <w:ind w:left="284" w:hanging="284"/>
        <w:jc w:val="left"/>
        <w:rPr>
          <w:rFonts w:cs="Arial"/>
          <w:szCs w:val="22"/>
          <w:lang w:val="en-AU" w:eastAsia="en-AU"/>
        </w:rPr>
      </w:pPr>
      <w:r>
        <w:rPr>
          <w:rFonts w:eastAsiaTheme="minorHAnsi" w:cs="Arial"/>
          <w:szCs w:val="22"/>
          <w:lang w:val="en-AU"/>
        </w:rPr>
        <w:t>Kuhnert</w:t>
      </w:r>
      <w:r w:rsidRPr="00AC6B85">
        <w:rPr>
          <w:rFonts w:eastAsiaTheme="minorHAnsi" w:cs="Arial"/>
          <w:szCs w:val="22"/>
          <w:lang w:val="en-AU"/>
        </w:rPr>
        <w:t xml:space="preserve"> PM, Liu Y</w:t>
      </w:r>
      <w:r>
        <w:rPr>
          <w:rFonts w:eastAsiaTheme="minorHAnsi" w:cs="Arial"/>
          <w:szCs w:val="22"/>
          <w:lang w:val="en-AU"/>
        </w:rPr>
        <w:t>, Henderson</w:t>
      </w:r>
      <w:r w:rsidRPr="00AC6B85">
        <w:rPr>
          <w:rFonts w:eastAsiaTheme="minorHAnsi" w:cs="Arial"/>
          <w:szCs w:val="22"/>
          <w:lang w:val="en-AU"/>
        </w:rPr>
        <w:t xml:space="preserve"> B, Dambacher J, Lawrence E</w:t>
      </w:r>
      <w:r>
        <w:rPr>
          <w:rFonts w:eastAsiaTheme="minorHAnsi" w:cs="Arial"/>
          <w:szCs w:val="22"/>
          <w:lang w:val="en-AU"/>
        </w:rPr>
        <w:t>,</w:t>
      </w:r>
      <w:r w:rsidRPr="00AC6B85">
        <w:rPr>
          <w:rFonts w:eastAsiaTheme="minorHAnsi" w:cs="Arial"/>
          <w:szCs w:val="22"/>
          <w:lang w:val="en-AU"/>
        </w:rPr>
        <w:t xml:space="preserve"> Kroon F (2014) Review of the</w:t>
      </w:r>
      <w:r>
        <w:rPr>
          <w:rFonts w:eastAsiaTheme="minorHAnsi" w:cs="Arial"/>
          <w:szCs w:val="22"/>
          <w:lang w:val="en-AU"/>
        </w:rPr>
        <w:t xml:space="preserve"> </w:t>
      </w:r>
      <w:r w:rsidRPr="00AC6B85">
        <w:rPr>
          <w:rFonts w:eastAsiaTheme="minorHAnsi" w:cs="Arial"/>
          <w:szCs w:val="22"/>
          <w:lang w:val="en-AU"/>
        </w:rPr>
        <w:t>Marine Monitoring Program (MMP), Final Report for the Great Barrier Reef Marine Park Authority</w:t>
      </w:r>
      <w:r>
        <w:rPr>
          <w:rFonts w:eastAsiaTheme="minorHAnsi" w:cs="Arial"/>
          <w:szCs w:val="22"/>
          <w:lang w:val="en-AU"/>
        </w:rPr>
        <w:t xml:space="preserve"> </w:t>
      </w:r>
      <w:r w:rsidRPr="008D482D">
        <w:rPr>
          <w:rFonts w:eastAsiaTheme="minorHAnsi" w:cs="Arial"/>
          <w:szCs w:val="22"/>
          <w:lang w:val="en-AU"/>
        </w:rPr>
        <w:t>(GBRMPA), CSIRO, Australia</w:t>
      </w:r>
      <w:r w:rsidRPr="008E6775">
        <w:rPr>
          <w:rFonts w:cs="Arial"/>
          <w:szCs w:val="22"/>
          <w:lang w:val="en-AU" w:eastAsia="en-AU"/>
        </w:rPr>
        <w:t xml:space="preserve"> </w:t>
      </w:r>
    </w:p>
    <w:p w14:paraId="7274CE44" w14:textId="77777777" w:rsidR="009F400E" w:rsidRPr="008E6775" w:rsidRDefault="009F400E" w:rsidP="00AC6B85">
      <w:pPr>
        <w:autoSpaceDE w:val="0"/>
        <w:autoSpaceDN w:val="0"/>
        <w:adjustRightInd w:val="0"/>
        <w:ind w:left="284" w:hanging="284"/>
        <w:jc w:val="left"/>
        <w:rPr>
          <w:rFonts w:cs="Arial"/>
          <w:szCs w:val="22"/>
          <w:lang w:val="en-AU" w:eastAsia="en-AU"/>
        </w:rPr>
      </w:pPr>
      <w:r w:rsidRPr="008E6775">
        <w:rPr>
          <w:rFonts w:cs="Arial"/>
          <w:szCs w:val="22"/>
          <w:lang w:val="en-AU" w:eastAsia="en-AU"/>
        </w:rPr>
        <w:t xml:space="preserve">Kuntz N, Kline D, Sandin S, Rohwer F (2005) Pathologies and mortality rates caused by organic carbon and nutrient stressors in three Caribbean coral species. </w:t>
      </w:r>
      <w:r w:rsidRPr="008E6775">
        <w:rPr>
          <w:rFonts w:cs="Arial"/>
          <w:szCs w:val="22"/>
        </w:rPr>
        <w:t xml:space="preserve">Marine Ecology Progress Series </w:t>
      </w:r>
      <w:r w:rsidRPr="008E6775">
        <w:rPr>
          <w:rFonts w:cs="Arial"/>
          <w:szCs w:val="22"/>
          <w:lang w:val="en-AU" w:eastAsia="en-AU"/>
        </w:rPr>
        <w:t>294:173–180</w:t>
      </w:r>
    </w:p>
    <w:p w14:paraId="0619F4ED" w14:textId="77777777" w:rsidR="009F400E" w:rsidRPr="00212276" w:rsidRDefault="009F400E" w:rsidP="009F400E">
      <w:pPr>
        <w:pStyle w:val="Reportrefs"/>
        <w:spacing w:after="120"/>
        <w:ind w:left="284" w:hanging="284"/>
        <w:rPr>
          <w:rFonts w:cs="Arial"/>
          <w:color w:val="0070C0"/>
          <w:sz w:val="22"/>
          <w:szCs w:val="22"/>
        </w:rPr>
      </w:pPr>
      <w:r w:rsidRPr="00212276">
        <w:rPr>
          <w:rFonts w:cs="Arial"/>
          <w:sz w:val="22"/>
          <w:szCs w:val="22"/>
          <w:lang w:val="en-AU"/>
        </w:rPr>
        <w:t xml:space="preserve">Kuta KG, Richardson LL (2002) Ecological aspects of black band disease of corals: relationships between disease incidence and environmental factors. </w:t>
      </w:r>
      <w:r w:rsidRPr="00212276">
        <w:rPr>
          <w:rFonts w:eastAsiaTheme="minorHAnsi" w:cs="Arial"/>
          <w:sz w:val="22"/>
          <w:szCs w:val="22"/>
          <w:lang w:val="en-AU"/>
        </w:rPr>
        <w:t xml:space="preserve">Coral </w:t>
      </w:r>
      <w:r>
        <w:rPr>
          <w:rFonts w:eastAsiaTheme="minorHAnsi" w:cs="Arial"/>
          <w:sz w:val="22"/>
          <w:szCs w:val="22"/>
          <w:lang w:val="en-AU"/>
        </w:rPr>
        <w:t>Reefs</w:t>
      </w:r>
      <w:r w:rsidRPr="00212276">
        <w:rPr>
          <w:rFonts w:eastAsiaTheme="minorHAnsi" w:cs="Arial"/>
          <w:sz w:val="22"/>
          <w:szCs w:val="22"/>
          <w:lang w:val="en-AU"/>
        </w:rPr>
        <w:t xml:space="preserve"> 21: 393–398</w:t>
      </w:r>
    </w:p>
    <w:p w14:paraId="2CD5E311" w14:textId="77777777" w:rsidR="009F400E" w:rsidRPr="008E6775" w:rsidRDefault="009F400E" w:rsidP="009F400E">
      <w:pPr>
        <w:ind w:left="284" w:hanging="284"/>
        <w:rPr>
          <w:rFonts w:cs="Arial"/>
          <w:szCs w:val="22"/>
          <w:lang w:val="en-US"/>
        </w:rPr>
      </w:pPr>
      <w:r w:rsidRPr="008E6775">
        <w:rPr>
          <w:rFonts w:cs="Arial"/>
          <w:szCs w:val="22"/>
          <w:lang w:val="en-US"/>
        </w:rPr>
        <w:t>Lambrechts J, Humphrey C, McKinna L, Gourge O, Fabricius KE, Mehta AJ, Lewis S, Wolanski E (2010) Importance of wave-induced bed liquefaction in the fine sediment budget of Cleveland Bay, Great Barrier Reef. Estuarine, Coastal and Shelf Science 89:154-162</w:t>
      </w:r>
    </w:p>
    <w:p w14:paraId="2474DB25" w14:textId="77777777" w:rsidR="009F400E" w:rsidRPr="008E6775" w:rsidRDefault="009F400E" w:rsidP="009F400E">
      <w:pPr>
        <w:ind w:left="284" w:hanging="284"/>
        <w:rPr>
          <w:rFonts w:cs="Arial"/>
          <w:szCs w:val="22"/>
          <w:lang w:val="en-US"/>
        </w:rPr>
      </w:pPr>
      <w:proofErr w:type="gramStart"/>
      <w:r w:rsidRPr="008E6775">
        <w:rPr>
          <w:rFonts w:cs="Arial"/>
          <w:szCs w:val="22"/>
          <w:lang w:val="en-US"/>
        </w:rPr>
        <w:t>Larcombe P, Ridd PV, Prytz A, Wilson B (1995) Factors controlling suspended sediment on inner-shelf coral reefs.</w:t>
      </w:r>
      <w:proofErr w:type="gramEnd"/>
      <w:r w:rsidRPr="008E6775">
        <w:rPr>
          <w:rFonts w:cs="Arial"/>
          <w:szCs w:val="22"/>
          <w:lang w:val="en-US"/>
        </w:rPr>
        <w:t xml:space="preserve"> Townsville, Australia. Coral Reefs 14:163-171</w:t>
      </w:r>
    </w:p>
    <w:p w14:paraId="3207D75C" w14:textId="77777777" w:rsidR="009F400E" w:rsidRDefault="009F400E" w:rsidP="009F400E">
      <w:pPr>
        <w:ind w:left="284" w:hanging="284"/>
        <w:rPr>
          <w:rFonts w:cs="Arial"/>
          <w:szCs w:val="22"/>
          <w:lang w:val="en-US"/>
        </w:rPr>
      </w:pPr>
      <w:r w:rsidRPr="008E6775">
        <w:rPr>
          <w:rFonts w:cs="Arial"/>
          <w:szCs w:val="22"/>
          <w:lang w:val="en-US"/>
        </w:rPr>
        <w:t xml:space="preserve">Legendre P, Gallagher ED (2001) </w:t>
      </w:r>
      <w:proofErr w:type="gramStart"/>
      <w:r w:rsidRPr="008E6775">
        <w:rPr>
          <w:rFonts w:cs="Arial"/>
          <w:szCs w:val="22"/>
          <w:lang w:val="en-US"/>
        </w:rPr>
        <w:t>Ecologically</w:t>
      </w:r>
      <w:proofErr w:type="gramEnd"/>
      <w:r w:rsidRPr="008E6775">
        <w:rPr>
          <w:rFonts w:cs="Arial"/>
          <w:szCs w:val="22"/>
          <w:lang w:val="en-US"/>
        </w:rPr>
        <w:t xml:space="preserve"> meaningful transformations for ordination of species data, Oecologia 129:271-280</w:t>
      </w:r>
    </w:p>
    <w:p w14:paraId="71DDB1BF" w14:textId="77777777" w:rsidR="00CB47F4" w:rsidRDefault="007E7510" w:rsidP="009F400E">
      <w:pPr>
        <w:ind w:left="284" w:hanging="284"/>
        <w:rPr>
          <w:rFonts w:cs="Arial"/>
          <w:szCs w:val="22"/>
          <w:lang w:val="en-US"/>
        </w:rPr>
      </w:pPr>
      <w:r>
        <w:rPr>
          <w:rFonts w:cs="Arial"/>
          <w:szCs w:val="22"/>
          <w:lang w:val="en-US"/>
        </w:rPr>
        <w:t xml:space="preserve">Fabricius KE, </w:t>
      </w:r>
      <w:r w:rsidR="00CB47F4" w:rsidRPr="0091196B">
        <w:rPr>
          <w:rFonts w:cs="Arial"/>
          <w:szCs w:val="22"/>
          <w:lang w:val="en-US"/>
        </w:rPr>
        <w:t xml:space="preserve">Logan </w:t>
      </w:r>
      <w:r w:rsidR="0091196B" w:rsidRPr="0091196B">
        <w:rPr>
          <w:rFonts w:cs="Arial"/>
          <w:szCs w:val="22"/>
          <w:lang w:val="en-US"/>
        </w:rPr>
        <w:t>M, Weeks SJ, Lewis SE</w:t>
      </w:r>
      <w:r w:rsidRPr="0091196B">
        <w:rPr>
          <w:rFonts w:cs="Arial"/>
          <w:szCs w:val="22"/>
          <w:lang w:val="en-US"/>
        </w:rPr>
        <w:t>, Brodie J</w:t>
      </w:r>
      <w:r w:rsidRPr="0091196B" w:rsidDel="007E7510">
        <w:rPr>
          <w:rFonts w:cs="Arial"/>
          <w:szCs w:val="22"/>
          <w:lang w:val="en-US"/>
        </w:rPr>
        <w:t xml:space="preserve"> </w:t>
      </w:r>
      <w:r w:rsidR="00CB47F4" w:rsidRPr="0091196B">
        <w:rPr>
          <w:rFonts w:cs="Arial"/>
          <w:szCs w:val="22"/>
          <w:lang w:val="en-US"/>
        </w:rPr>
        <w:t>(</w:t>
      </w:r>
      <w:r>
        <w:rPr>
          <w:rFonts w:cs="Arial"/>
          <w:szCs w:val="22"/>
          <w:lang w:val="en-US"/>
        </w:rPr>
        <w:t>2016</w:t>
      </w:r>
      <w:r w:rsidR="00CB47F4" w:rsidRPr="0091196B">
        <w:rPr>
          <w:rFonts w:cs="Arial"/>
          <w:szCs w:val="22"/>
          <w:lang w:val="en-US"/>
        </w:rPr>
        <w:t xml:space="preserve">) </w:t>
      </w:r>
      <w:r>
        <w:rPr>
          <w:rFonts w:cs="Arial"/>
          <w:szCs w:val="22"/>
          <w:lang w:val="en-US"/>
        </w:rPr>
        <w:t>Changes</w:t>
      </w:r>
      <w:r w:rsidR="0091196B" w:rsidRPr="0091196B">
        <w:rPr>
          <w:rFonts w:cs="Arial"/>
          <w:szCs w:val="22"/>
          <w:lang w:val="en-US"/>
        </w:rPr>
        <w:t xml:space="preserve"> in water clarity </w:t>
      </w:r>
      <w:r>
        <w:rPr>
          <w:rFonts w:cs="Arial"/>
          <w:szCs w:val="22"/>
          <w:lang w:val="en-US"/>
        </w:rPr>
        <w:t>in response to</w:t>
      </w:r>
      <w:r w:rsidR="0091196B" w:rsidRPr="0091196B">
        <w:rPr>
          <w:rFonts w:cs="Arial"/>
          <w:szCs w:val="22"/>
          <w:lang w:val="en-US"/>
        </w:rPr>
        <w:t xml:space="preserve"> river discharge</w:t>
      </w:r>
      <w:r>
        <w:rPr>
          <w:rFonts w:cs="Arial"/>
          <w:szCs w:val="22"/>
          <w:lang w:val="en-US"/>
        </w:rPr>
        <w:t>s</w:t>
      </w:r>
      <w:r w:rsidR="0091196B" w:rsidRPr="0091196B">
        <w:rPr>
          <w:rFonts w:cs="Arial"/>
          <w:szCs w:val="22"/>
          <w:lang w:val="en-US"/>
        </w:rPr>
        <w:t xml:space="preserve"> on the Great Barrier Reef continental shelf: 2002-2013. Estuarine Coastal and Shelf Science</w:t>
      </w:r>
      <w:r w:rsidR="00CB47F4">
        <w:rPr>
          <w:rFonts w:cs="Arial"/>
          <w:szCs w:val="22"/>
          <w:lang w:val="en-US"/>
        </w:rPr>
        <w:t xml:space="preserve"> </w:t>
      </w:r>
    </w:p>
    <w:p w14:paraId="60F8D79C" w14:textId="77777777" w:rsidR="00963586" w:rsidRPr="008E6775" w:rsidRDefault="00963586" w:rsidP="009F400E">
      <w:pPr>
        <w:ind w:left="284" w:hanging="284"/>
        <w:rPr>
          <w:rFonts w:cs="Arial"/>
          <w:szCs w:val="22"/>
          <w:lang w:val="en-US"/>
        </w:rPr>
      </w:pPr>
      <w:r>
        <w:rPr>
          <w:rFonts w:cs="Arial"/>
          <w:szCs w:val="22"/>
          <w:lang w:val="en-US"/>
        </w:rPr>
        <w:t>Loder J, Done T, Lea A, Bauer A, Salmond J, Hill J, Galway E, Kovacs E, Roberts J, W</w:t>
      </w:r>
      <w:r w:rsidR="001648C9">
        <w:rPr>
          <w:rFonts w:cs="Arial"/>
          <w:szCs w:val="22"/>
          <w:lang w:val="en-US"/>
        </w:rPr>
        <w:t>a</w:t>
      </w:r>
      <w:r>
        <w:rPr>
          <w:rFonts w:cs="Arial"/>
          <w:szCs w:val="22"/>
          <w:lang w:val="en-US"/>
        </w:rPr>
        <w:t>lker N, Mooney S, Pribyl A, Schlappy ML 2015 Citizens &amp; reef science: a celebration of Reef Check Australia’s volunteer reef monitoring, education and conservation programs 2001-2014. Reef Check Foundation Ltd.</w:t>
      </w:r>
    </w:p>
    <w:p w14:paraId="457452D0" w14:textId="77777777" w:rsidR="009F400E" w:rsidRDefault="009F400E" w:rsidP="009F400E">
      <w:pPr>
        <w:ind w:left="284" w:hanging="284"/>
        <w:rPr>
          <w:rStyle w:val="Strong"/>
          <w:rFonts w:cs="Arial"/>
          <w:b w:val="0"/>
          <w:szCs w:val="22"/>
        </w:rPr>
      </w:pPr>
      <w:r w:rsidRPr="008E6775">
        <w:rPr>
          <w:rFonts w:cs="Arial"/>
          <w:szCs w:val="22"/>
          <w:lang w:val="pt-PT"/>
        </w:rPr>
        <w:t xml:space="preserve">Lønborg C, Álvarez-Salgado XA, Martínez-Garcia S, Teira E (2011) </w:t>
      </w:r>
      <w:r w:rsidRPr="008E6775">
        <w:rPr>
          <w:rFonts w:cs="Arial"/>
          <w:szCs w:val="22"/>
        </w:rPr>
        <w:t xml:space="preserve">Carbon cycling and bacterial growth efficiency </w:t>
      </w:r>
      <w:r w:rsidRPr="008E6775">
        <w:rPr>
          <w:rFonts w:cs="Arial"/>
          <w:bCs/>
          <w:szCs w:val="22"/>
        </w:rPr>
        <w:t xml:space="preserve">in a coastal upwelling system (NW Iberian Peninsula). </w:t>
      </w:r>
      <w:r w:rsidRPr="008E6775">
        <w:rPr>
          <w:rFonts w:cs="Arial"/>
          <w:szCs w:val="22"/>
        </w:rPr>
        <w:t>Aquatic Microbial Ecology</w:t>
      </w:r>
      <w:r w:rsidRPr="008E6775">
        <w:rPr>
          <w:rStyle w:val="Strong"/>
          <w:rFonts w:cs="Arial"/>
          <w:szCs w:val="22"/>
        </w:rPr>
        <w:t xml:space="preserve"> </w:t>
      </w:r>
      <w:r w:rsidRPr="008E6775">
        <w:rPr>
          <w:rStyle w:val="Strong"/>
          <w:rFonts w:cs="Arial"/>
          <w:b w:val="0"/>
          <w:szCs w:val="22"/>
        </w:rPr>
        <w:t>63</w:t>
      </w:r>
      <w:r>
        <w:rPr>
          <w:rStyle w:val="Strong"/>
          <w:rFonts w:cs="Arial"/>
          <w:b w:val="0"/>
          <w:szCs w:val="22"/>
        </w:rPr>
        <w:t>:</w:t>
      </w:r>
      <w:r w:rsidRPr="008E6775">
        <w:rPr>
          <w:rStyle w:val="Strong"/>
          <w:rFonts w:cs="Arial"/>
          <w:b w:val="0"/>
          <w:szCs w:val="22"/>
        </w:rPr>
        <w:t>183-191</w:t>
      </w:r>
    </w:p>
    <w:p w14:paraId="1A99D8EC" w14:textId="77777777" w:rsidR="00E8277D" w:rsidRPr="00E8277D" w:rsidRDefault="00E8277D" w:rsidP="00E8277D">
      <w:pPr>
        <w:pStyle w:val="Infopage"/>
        <w:ind w:left="284" w:hanging="284"/>
        <w:rPr>
          <w:rFonts w:ascii="Arial" w:hAnsi="Arial" w:cs="Arial"/>
        </w:rPr>
      </w:pPr>
      <w:r w:rsidRPr="00E8277D">
        <w:rPr>
          <w:rFonts w:ascii="Arial" w:hAnsi="Arial" w:cs="Arial"/>
        </w:rPr>
        <w:t>Lønborg C, Devlin M, Brinkman R, Costello P, da Silva E, Davidson J, Gunn K, Logan M, Petus C, Schaffelke B, Skuza M, Tonin H, Tracey D, Wright M and Zagorskis I (</w:t>
      </w:r>
      <w:r w:rsidR="008E6F11">
        <w:rPr>
          <w:rFonts w:ascii="Arial" w:hAnsi="Arial" w:cs="Arial"/>
        </w:rPr>
        <w:t>2015</w:t>
      </w:r>
      <w:r w:rsidRPr="00E8277D">
        <w:rPr>
          <w:rFonts w:ascii="Arial" w:hAnsi="Arial" w:cs="Arial"/>
        </w:rPr>
        <w:t xml:space="preserve">) Reef Rescue Marine Monitoring Program. Annual Report of AIMS and JCU Activities 2014 to 2015– Inshore water quality monitoring. Report for the Great Barrier Reef Marine Park Authority. Australian Institute of Marine Science and JCU </w:t>
      </w:r>
      <w:r w:rsidRPr="00E8277D">
        <w:rPr>
          <w:rFonts w:ascii="Arial" w:hAnsi="Arial" w:cs="Arial"/>
          <w:color w:val="000000"/>
          <w:lang w:eastAsia="en-GB"/>
        </w:rPr>
        <w:t>TropWATER</w:t>
      </w:r>
      <w:r w:rsidRPr="00E8277D">
        <w:rPr>
          <w:rFonts w:ascii="Arial" w:hAnsi="Arial" w:cs="Arial"/>
        </w:rPr>
        <w:t>, Townsville.168p</w:t>
      </w:r>
    </w:p>
    <w:p w14:paraId="1B2383AB" w14:textId="77777777" w:rsidR="009F400E" w:rsidRPr="008E6775" w:rsidRDefault="009F400E" w:rsidP="009F400E">
      <w:pPr>
        <w:ind w:left="284" w:hanging="284"/>
        <w:rPr>
          <w:rFonts w:cs="Arial"/>
          <w:szCs w:val="22"/>
          <w:lang w:val="en-AU"/>
        </w:rPr>
      </w:pPr>
      <w:r w:rsidRPr="008E6775">
        <w:rPr>
          <w:rFonts w:cs="Arial"/>
          <w:szCs w:val="22"/>
          <w:lang w:val="en-AU"/>
        </w:rPr>
        <w:t xml:space="preserve">Lough JM (2011) Great Barrier Reef coral luminescence reveals rainfall variability over </w:t>
      </w:r>
      <w:r w:rsidR="001648C9" w:rsidRPr="008E6775">
        <w:rPr>
          <w:rFonts w:cs="Arial"/>
          <w:szCs w:val="22"/>
          <w:lang w:val="en-AU"/>
        </w:rPr>
        <w:t>north-eastern</w:t>
      </w:r>
      <w:r w:rsidRPr="008E6775">
        <w:rPr>
          <w:rFonts w:cs="Arial"/>
          <w:szCs w:val="22"/>
          <w:lang w:val="en-AU"/>
        </w:rPr>
        <w:t xml:space="preserve"> Australia since the 17th century. Paleoceanography 26 doi</w:t>
      </w:r>
      <w:proofErr w:type="gramStart"/>
      <w:r w:rsidRPr="008E6775">
        <w:rPr>
          <w:rFonts w:cs="Arial"/>
          <w:szCs w:val="22"/>
          <w:lang w:val="en-AU"/>
        </w:rPr>
        <w:t>:10.1029</w:t>
      </w:r>
      <w:proofErr w:type="gramEnd"/>
      <w:r w:rsidRPr="008E6775">
        <w:rPr>
          <w:rFonts w:cs="Arial"/>
          <w:szCs w:val="22"/>
          <w:lang w:val="en-AU"/>
        </w:rPr>
        <w:t xml:space="preserve">/2010PA002050 </w:t>
      </w:r>
    </w:p>
    <w:p w14:paraId="3C7EF7DC" w14:textId="77777777" w:rsidR="009F400E" w:rsidRPr="008E6775" w:rsidRDefault="009F400E" w:rsidP="009F400E">
      <w:pPr>
        <w:ind w:left="284" w:hanging="284"/>
        <w:rPr>
          <w:rFonts w:cs="Arial"/>
          <w:szCs w:val="22"/>
        </w:rPr>
      </w:pPr>
      <w:r w:rsidRPr="008E6775">
        <w:rPr>
          <w:rFonts w:cs="Arial"/>
          <w:szCs w:val="22"/>
        </w:rPr>
        <w:t xml:space="preserve">Luick JL, Mason L, Hardy T, Furnas MJ (2007) Circulation in the Great Barrier Reef Lagoon using numerical tracers and </w:t>
      </w:r>
      <w:r w:rsidRPr="008E6775">
        <w:rPr>
          <w:rFonts w:cs="Arial"/>
          <w:i/>
          <w:szCs w:val="22"/>
        </w:rPr>
        <w:t>in situ</w:t>
      </w:r>
      <w:r w:rsidRPr="008E6775">
        <w:rPr>
          <w:rFonts w:cs="Arial"/>
          <w:szCs w:val="22"/>
        </w:rPr>
        <w:t xml:space="preserve"> data. Continental Shelf Research 27:757-778</w:t>
      </w:r>
    </w:p>
    <w:p w14:paraId="6DF78A5C" w14:textId="77777777" w:rsidR="009F400E" w:rsidRPr="008E6775" w:rsidRDefault="009F400E" w:rsidP="009F400E">
      <w:pPr>
        <w:ind w:left="284" w:hanging="284"/>
        <w:rPr>
          <w:rFonts w:cs="Arial"/>
          <w:szCs w:val="22"/>
          <w:lang w:val="en-US"/>
        </w:rPr>
      </w:pPr>
      <w:r w:rsidRPr="008E6775">
        <w:rPr>
          <w:rFonts w:cs="Arial"/>
          <w:szCs w:val="22"/>
          <w:lang w:val="en-US"/>
        </w:rPr>
        <w:t>McClanahan TR</w:t>
      </w:r>
      <w:r w:rsidRPr="008E6775">
        <w:rPr>
          <w:rFonts w:cs="Arial"/>
          <w:szCs w:val="22"/>
          <w:lang w:eastAsia="en-AU"/>
        </w:rPr>
        <w:t xml:space="preserve">, Donner SD, Maynard JA, MacNeil MA, Graham NA, Maina J, Baker AC, Alemu JB, Beger M, Campbell SJ, Darling ES, Eakin CM, Heron SF, Jupiter SD, Lundquist CJ, McLeod E, Mumby PJ, Paddack MJ, Selig ER, van Woesik, R (2012) Prioritizing key resilience indicators to support coral reef management in a changing climate. </w:t>
      </w:r>
      <w:r w:rsidRPr="008E6775">
        <w:rPr>
          <w:rFonts w:cs="Arial"/>
          <w:iCs/>
          <w:szCs w:val="22"/>
          <w:lang w:eastAsia="en-AU"/>
        </w:rPr>
        <w:t>PLoS ONE</w:t>
      </w:r>
      <w:r w:rsidRPr="008E6775">
        <w:rPr>
          <w:rFonts w:cs="Arial"/>
          <w:szCs w:val="22"/>
          <w:lang w:eastAsia="en-AU"/>
        </w:rPr>
        <w:t xml:space="preserve"> </w:t>
      </w:r>
      <w:r w:rsidRPr="008E6775">
        <w:rPr>
          <w:rFonts w:cs="Arial"/>
          <w:i/>
          <w:iCs/>
          <w:szCs w:val="22"/>
          <w:lang w:eastAsia="en-AU"/>
        </w:rPr>
        <w:t>7</w:t>
      </w:r>
      <w:r w:rsidRPr="008E6775">
        <w:rPr>
          <w:rFonts w:cs="Arial"/>
          <w:szCs w:val="22"/>
          <w:lang w:eastAsia="en-AU"/>
        </w:rPr>
        <w:t xml:space="preserve">(8): </w:t>
      </w:r>
      <w:r w:rsidRPr="008E6775">
        <w:rPr>
          <w:rFonts w:cs="Arial"/>
          <w:szCs w:val="22"/>
        </w:rPr>
        <w:t xml:space="preserve">e42884. </w:t>
      </w:r>
    </w:p>
    <w:p w14:paraId="4C83EAA6" w14:textId="77777777" w:rsidR="00C70CED" w:rsidRDefault="009F400E" w:rsidP="00C70CED">
      <w:pPr>
        <w:ind w:left="284" w:hanging="284"/>
        <w:rPr>
          <w:rFonts w:cs="Arial"/>
          <w:szCs w:val="22"/>
        </w:rPr>
      </w:pPr>
      <w:r w:rsidRPr="008E6775">
        <w:rPr>
          <w:rFonts w:eastAsia="MS Mincho" w:cs="Arial"/>
          <w:szCs w:val="22"/>
        </w:rPr>
        <w:t>McCook LJ, Jompa J, Diaz-Pulido G (2001) Competition between corals and algae on coral reefs: a review of evidence and mechanisms. Coral Reefs 19:400-417</w:t>
      </w:r>
      <w:r w:rsidR="00C70CED" w:rsidRPr="00C70CED">
        <w:rPr>
          <w:rFonts w:cs="Arial"/>
          <w:szCs w:val="22"/>
        </w:rPr>
        <w:t xml:space="preserve"> </w:t>
      </w:r>
    </w:p>
    <w:p w14:paraId="7BCDCCA0" w14:textId="77777777" w:rsidR="00C70CED" w:rsidRPr="008E6775" w:rsidRDefault="00C70CED" w:rsidP="00C70CED">
      <w:pPr>
        <w:ind w:left="284" w:hanging="284"/>
        <w:rPr>
          <w:rFonts w:cs="Arial"/>
          <w:szCs w:val="22"/>
        </w:rPr>
      </w:pPr>
      <w:r w:rsidRPr="008E6775">
        <w:rPr>
          <w:rFonts w:cs="Arial"/>
          <w:szCs w:val="22"/>
        </w:rPr>
        <w:lastRenderedPageBreak/>
        <w:t xml:space="preserve">Mackenzie JB, Munday PL, Willis BL, Miller DJ, Van Oppen MJH (2004) Unexpected patterns of genetic structuring among locations but not colour morphs in </w:t>
      </w:r>
      <w:r w:rsidRPr="008E6775">
        <w:rPr>
          <w:rFonts w:cs="Arial"/>
          <w:i/>
          <w:szCs w:val="22"/>
        </w:rPr>
        <w:t>Acropora nasuta</w:t>
      </w:r>
      <w:r w:rsidRPr="008E6775">
        <w:rPr>
          <w:rFonts w:cs="Arial"/>
          <w:szCs w:val="22"/>
        </w:rPr>
        <w:t xml:space="preserve"> (Cnidaria; Scleractinia). Molecular Ecology 13(1):9-20 </w:t>
      </w:r>
    </w:p>
    <w:p w14:paraId="21300CAA" w14:textId="77777777" w:rsidR="00C70CED" w:rsidRPr="008E6775" w:rsidRDefault="00C70CED" w:rsidP="00C70CED">
      <w:pPr>
        <w:ind w:left="284" w:hanging="284"/>
        <w:rPr>
          <w:rFonts w:cs="Arial"/>
          <w:szCs w:val="22"/>
        </w:rPr>
      </w:pPr>
      <w:proofErr w:type="gramStart"/>
      <w:r w:rsidRPr="008E6775">
        <w:rPr>
          <w:rFonts w:cs="Arial"/>
          <w:szCs w:val="22"/>
          <w:lang w:val="en-AU" w:eastAsia="en-AU"/>
        </w:rPr>
        <w:t>Marshall PA, Baird AH (2000) Bleaching of corals on the Great Barrier Reef: differential susceptibilities among taxa.</w:t>
      </w:r>
      <w:proofErr w:type="gramEnd"/>
      <w:r w:rsidRPr="008E6775">
        <w:rPr>
          <w:rFonts w:cs="Arial"/>
          <w:szCs w:val="22"/>
          <w:lang w:val="en-AU" w:eastAsia="en-AU"/>
        </w:rPr>
        <w:t xml:space="preserve"> Coral Reefs 19:155-163</w:t>
      </w:r>
    </w:p>
    <w:p w14:paraId="4B629705" w14:textId="77777777" w:rsidR="00C70CED" w:rsidRPr="008E6775" w:rsidRDefault="00C70CED" w:rsidP="00C70CED">
      <w:pPr>
        <w:ind w:left="284" w:hanging="284"/>
        <w:rPr>
          <w:rFonts w:cs="Arial"/>
          <w:szCs w:val="22"/>
          <w:lang w:val="en-US"/>
        </w:rPr>
      </w:pPr>
      <w:r w:rsidRPr="008E6775">
        <w:rPr>
          <w:rFonts w:cs="Arial"/>
          <w:szCs w:val="22"/>
          <w:lang w:val="en-US"/>
        </w:rPr>
        <w:t>Marshall PA, Johnson JE (2007) The Great Barrier Reef and climate change: vulnerability and management implications. In: Johnson JE, Marshall PA (</w:t>
      </w:r>
      <w:r w:rsidR="0033244F" w:rsidRPr="008E6775">
        <w:rPr>
          <w:rFonts w:cs="Arial"/>
          <w:szCs w:val="22"/>
          <w:lang w:val="en-US"/>
        </w:rPr>
        <w:t>Eds</w:t>
      </w:r>
      <w:r w:rsidRPr="008E6775">
        <w:rPr>
          <w:rFonts w:cs="Arial"/>
          <w:szCs w:val="22"/>
          <w:lang w:val="en-US"/>
        </w:rPr>
        <w:t>) Climate change and the Great Barrier Reef. Great Barrier Reef Marine Park Authority and the Australian Greenhouse Office, Australia, pp 774-801</w:t>
      </w:r>
    </w:p>
    <w:p w14:paraId="20487CAD" w14:textId="77777777" w:rsidR="009D540B" w:rsidRDefault="009D540B" w:rsidP="009F400E">
      <w:pPr>
        <w:ind w:left="284" w:hanging="284"/>
        <w:rPr>
          <w:rFonts w:eastAsia="MS Mincho" w:cs="Arial"/>
          <w:szCs w:val="22"/>
        </w:rPr>
      </w:pPr>
      <w:r>
        <w:rPr>
          <w:rFonts w:eastAsia="MS Mincho" w:cs="Arial"/>
          <w:szCs w:val="22"/>
        </w:rPr>
        <w:t xml:space="preserve">Maxim L, Spangenberg JH, O’Conner M (2009) </w:t>
      </w:r>
      <w:proofErr w:type="gramStart"/>
      <w:r>
        <w:rPr>
          <w:rFonts w:eastAsia="MS Mincho" w:cs="Arial"/>
          <w:szCs w:val="22"/>
        </w:rPr>
        <w:t>An</w:t>
      </w:r>
      <w:proofErr w:type="gramEnd"/>
      <w:r>
        <w:rPr>
          <w:rFonts w:eastAsia="MS Mincho" w:cs="Arial"/>
          <w:szCs w:val="22"/>
        </w:rPr>
        <w:t xml:space="preserve"> analysis of risks for biodiversity under the DPSIR framework</w:t>
      </w:r>
      <w:r w:rsidR="0078561E">
        <w:rPr>
          <w:rFonts w:eastAsia="MS Mincho" w:cs="Arial"/>
          <w:szCs w:val="22"/>
        </w:rPr>
        <w:t>. Ecological Economics 69:12-23</w:t>
      </w:r>
    </w:p>
    <w:p w14:paraId="17E3B4DE" w14:textId="77777777" w:rsidR="00C70CED" w:rsidRPr="008E6775" w:rsidRDefault="00C70CED" w:rsidP="009F400E">
      <w:pPr>
        <w:ind w:left="284" w:hanging="284"/>
        <w:rPr>
          <w:rFonts w:eastAsia="MS Mincho" w:cs="Arial"/>
          <w:szCs w:val="22"/>
        </w:rPr>
      </w:pPr>
      <w:r w:rsidRPr="00E8277D">
        <w:rPr>
          <w:rFonts w:eastAsia="MS Mincho" w:cs="Arial"/>
          <w:szCs w:val="22"/>
        </w:rPr>
        <w:t xml:space="preserve">Maynard </w:t>
      </w:r>
      <w:r w:rsidR="00E8277D" w:rsidRPr="00E8277D">
        <w:rPr>
          <w:rFonts w:eastAsia="MS Mincho" w:cs="Arial"/>
          <w:szCs w:val="22"/>
        </w:rPr>
        <w:t>JA, McKagan S, Raymundo L, Johnson S, Ahmadia GA, Johnston L, Houk P, Williams GJ, Kendall M, Heron SF, van Hooidonk R, Mcleod E, Tracey D, Planes S (</w:t>
      </w:r>
      <w:r w:rsidRPr="00E8277D">
        <w:rPr>
          <w:rFonts w:eastAsia="MS Mincho" w:cs="Arial"/>
          <w:szCs w:val="22"/>
        </w:rPr>
        <w:t>2015</w:t>
      </w:r>
      <w:r w:rsidR="00E8277D" w:rsidRPr="00E8277D">
        <w:rPr>
          <w:rFonts w:eastAsia="MS Mincho" w:cs="Arial"/>
          <w:szCs w:val="22"/>
        </w:rPr>
        <w:t>) Assessing relative resilience potential of coral reefs to inform management. Biological Conservation 192:109-119</w:t>
      </w:r>
    </w:p>
    <w:p w14:paraId="159E6F15" w14:textId="77777777" w:rsidR="009F400E" w:rsidRPr="008E6775" w:rsidRDefault="009F400E" w:rsidP="009F400E">
      <w:pPr>
        <w:pStyle w:val="Reportrefs"/>
        <w:spacing w:after="120"/>
        <w:ind w:left="284" w:hanging="284"/>
        <w:rPr>
          <w:rFonts w:eastAsia="MS Mincho" w:cs="Arial"/>
          <w:sz w:val="22"/>
          <w:szCs w:val="22"/>
        </w:rPr>
      </w:pPr>
      <w:r w:rsidRPr="008E6775">
        <w:rPr>
          <w:rFonts w:cs="Arial"/>
          <w:sz w:val="22"/>
          <w:szCs w:val="22"/>
        </w:rPr>
        <w:t xml:space="preserve">Miller IR, Jonker M, Coleman G (2009) Crown-of-thorns seastars and coral surveys using the manta tow and SCUBA Search techniques. </w:t>
      </w:r>
      <w:proofErr w:type="gramStart"/>
      <w:r w:rsidRPr="008E6775">
        <w:rPr>
          <w:rFonts w:cs="Arial"/>
          <w:sz w:val="22"/>
          <w:szCs w:val="22"/>
        </w:rPr>
        <w:t>Long-term Monitoring of the Great Barrier Reef Standard Operational Procedure Number 9, Edition 3.</w:t>
      </w:r>
      <w:proofErr w:type="gramEnd"/>
      <w:r w:rsidRPr="008E6775">
        <w:rPr>
          <w:rFonts w:cs="Arial"/>
          <w:sz w:val="22"/>
          <w:szCs w:val="22"/>
        </w:rPr>
        <w:t xml:space="preserve"> Australian Institute of Marine Science, Townsville</w:t>
      </w:r>
    </w:p>
    <w:p w14:paraId="7A184893" w14:textId="77777777" w:rsidR="009F400E" w:rsidRPr="008E6775" w:rsidRDefault="009F400E" w:rsidP="009F400E">
      <w:pPr>
        <w:ind w:left="284" w:hanging="284"/>
        <w:rPr>
          <w:rFonts w:cs="Arial"/>
          <w:szCs w:val="22"/>
          <w:lang w:val="en-US"/>
        </w:rPr>
      </w:pPr>
      <w:r w:rsidRPr="008E6775">
        <w:rPr>
          <w:rFonts w:cs="Arial"/>
          <w:szCs w:val="22"/>
          <w:lang w:val="en-US"/>
        </w:rPr>
        <w:t xml:space="preserve">Mora C (2008) </w:t>
      </w:r>
      <w:proofErr w:type="gramStart"/>
      <w:r w:rsidRPr="008E6775">
        <w:rPr>
          <w:rFonts w:cs="Arial"/>
          <w:szCs w:val="22"/>
          <w:lang w:val="en-US"/>
        </w:rPr>
        <w:t>A</w:t>
      </w:r>
      <w:proofErr w:type="gramEnd"/>
      <w:r w:rsidRPr="008E6775">
        <w:rPr>
          <w:rFonts w:cs="Arial"/>
          <w:szCs w:val="22"/>
          <w:lang w:val="en-US"/>
        </w:rPr>
        <w:t xml:space="preserve"> clear human footprint in the coral reefs of the Caribbean. Proceedings of the Royal Society B 275:767-773</w:t>
      </w:r>
    </w:p>
    <w:p w14:paraId="10A52857" w14:textId="77777777" w:rsidR="009F400E" w:rsidRDefault="009F400E" w:rsidP="009F400E">
      <w:pPr>
        <w:pStyle w:val="Reportrefs"/>
        <w:spacing w:after="120"/>
        <w:ind w:left="284" w:hanging="284"/>
        <w:rPr>
          <w:rFonts w:eastAsia="MS Mincho" w:cs="Arial"/>
          <w:sz w:val="22"/>
          <w:szCs w:val="22"/>
          <w:lang w:val="en-AU" w:eastAsia="ja-JP"/>
        </w:rPr>
      </w:pPr>
      <w:r w:rsidRPr="00E947AF">
        <w:rPr>
          <w:rFonts w:eastAsia="MS Mincho" w:cs="Arial"/>
          <w:sz w:val="22"/>
          <w:szCs w:val="22"/>
          <w:lang w:val="en-AU" w:eastAsia="ja-JP"/>
        </w:rPr>
        <w:t xml:space="preserve">Morrow KM, Ritson-Williams R, Ross C, Liles MR, Paul VJ (2012) Macroalgal extracts induce bacterial assemblage shifts and </w:t>
      </w:r>
      <w:r w:rsidR="0033244F" w:rsidRPr="00E947AF">
        <w:rPr>
          <w:rFonts w:eastAsia="MS Mincho" w:cs="Arial"/>
          <w:sz w:val="22"/>
          <w:szCs w:val="22"/>
          <w:lang w:val="en-AU" w:eastAsia="ja-JP"/>
        </w:rPr>
        <w:t>sub lethal</w:t>
      </w:r>
      <w:r w:rsidRPr="00E947AF">
        <w:rPr>
          <w:rFonts w:eastAsia="MS Mincho" w:cs="Arial"/>
          <w:sz w:val="22"/>
          <w:szCs w:val="22"/>
          <w:lang w:val="en-AU" w:eastAsia="ja-JP"/>
        </w:rPr>
        <w:t xml:space="preserve"> tissue stress in Caribbean corals. PLoS ONE 7(9):e44859</w:t>
      </w:r>
    </w:p>
    <w:p w14:paraId="2B094BAD" w14:textId="77777777" w:rsidR="00841A85" w:rsidRPr="00E947AF" w:rsidRDefault="00841A85" w:rsidP="009F400E">
      <w:pPr>
        <w:pStyle w:val="Reportrefs"/>
        <w:spacing w:after="120"/>
        <w:ind w:left="284" w:hanging="284"/>
        <w:rPr>
          <w:rFonts w:eastAsia="MS Mincho" w:cs="Arial"/>
          <w:sz w:val="22"/>
          <w:szCs w:val="22"/>
          <w:lang w:val="en-AU" w:eastAsia="ja-JP"/>
        </w:rPr>
      </w:pPr>
      <w:proofErr w:type="gramStart"/>
      <w:r>
        <w:rPr>
          <w:rFonts w:eastAsia="MS Mincho" w:cs="Arial"/>
          <w:sz w:val="22"/>
          <w:szCs w:val="22"/>
          <w:lang w:val="en-AU" w:eastAsia="ja-JP"/>
        </w:rPr>
        <w:t>Muir PR, Wallace CC, Done T, Aguirre DJ (2015) Limited scope for latitudinal extension of reef corals.</w:t>
      </w:r>
      <w:proofErr w:type="gramEnd"/>
      <w:r>
        <w:rPr>
          <w:rFonts w:eastAsia="MS Mincho" w:cs="Arial"/>
          <w:sz w:val="22"/>
          <w:szCs w:val="22"/>
          <w:lang w:val="en-AU" w:eastAsia="ja-JP"/>
        </w:rPr>
        <w:t xml:space="preserve"> Science 348:1135-1138</w:t>
      </w:r>
    </w:p>
    <w:p w14:paraId="1EA8FCEC" w14:textId="77777777" w:rsidR="009F400E" w:rsidRPr="00E947AF" w:rsidRDefault="009F400E" w:rsidP="009F400E">
      <w:pPr>
        <w:pStyle w:val="Reportrefs"/>
        <w:spacing w:after="120"/>
        <w:ind w:left="284" w:hanging="284"/>
        <w:rPr>
          <w:rFonts w:cs="Arial"/>
          <w:sz w:val="22"/>
          <w:szCs w:val="22"/>
          <w:lang w:eastAsia="en-GB"/>
        </w:rPr>
      </w:pPr>
      <w:r w:rsidRPr="00E947AF">
        <w:rPr>
          <w:rFonts w:cs="Arial"/>
          <w:sz w:val="22"/>
          <w:szCs w:val="22"/>
          <w:lang w:eastAsia="en-GB"/>
        </w:rPr>
        <w:t>Negri AP, Flores F, Röthig T, Uthicke S (2011) Herbicides increase the vulnerability of corals to rising sea surface temperature. Limnology and Oceanography 56:471-485</w:t>
      </w:r>
    </w:p>
    <w:p w14:paraId="53FBB1BD" w14:textId="77777777" w:rsidR="009F400E" w:rsidRPr="00E947AF" w:rsidRDefault="009F400E" w:rsidP="009F400E">
      <w:pPr>
        <w:pStyle w:val="Reportrefs"/>
        <w:spacing w:after="120"/>
        <w:ind w:left="284" w:hanging="284"/>
        <w:rPr>
          <w:rStyle w:val="Hyperlink"/>
          <w:rFonts w:cs="Arial"/>
          <w:color w:val="auto"/>
          <w:sz w:val="22"/>
          <w:szCs w:val="22"/>
          <w:u w:val="none"/>
        </w:rPr>
      </w:pPr>
      <w:r w:rsidRPr="00E947AF">
        <w:rPr>
          <w:rStyle w:val="Hyperlink"/>
          <w:rFonts w:cs="Arial"/>
          <w:color w:val="auto"/>
          <w:sz w:val="22"/>
          <w:szCs w:val="22"/>
          <w:u w:val="none"/>
        </w:rPr>
        <w:t xml:space="preserve">Oksanen </w:t>
      </w:r>
      <w:r w:rsidRPr="00E947AF">
        <w:rPr>
          <w:rFonts w:cs="Arial"/>
          <w:sz w:val="22"/>
          <w:szCs w:val="22"/>
        </w:rPr>
        <w:t xml:space="preserve">J, Guillaume Blanchet F, Kindt R, Legendre P, Minchin PR, O’Hara RB, Simpson GL, Solymos P, Stevens MHH, Wagner H (2013) vegan: community ecology package. </w:t>
      </w:r>
      <w:proofErr w:type="gramStart"/>
      <w:r w:rsidRPr="00E947AF">
        <w:rPr>
          <w:rFonts w:cs="Arial"/>
          <w:sz w:val="22"/>
          <w:szCs w:val="22"/>
        </w:rPr>
        <w:t>R package version 2.0-8.</w:t>
      </w:r>
      <w:proofErr w:type="gramEnd"/>
      <w:r w:rsidRPr="00E947AF">
        <w:rPr>
          <w:rFonts w:cs="Arial"/>
          <w:sz w:val="22"/>
          <w:szCs w:val="22"/>
        </w:rPr>
        <w:t xml:space="preserve"> </w:t>
      </w:r>
      <w:hyperlink r:id="rId64" w:history="1">
        <w:r w:rsidRPr="00E947AF">
          <w:rPr>
            <w:rStyle w:val="Hyperlink"/>
            <w:rFonts w:cs="Arial"/>
            <w:color w:val="auto"/>
            <w:sz w:val="22"/>
            <w:szCs w:val="22"/>
            <w:u w:val="none"/>
          </w:rPr>
          <w:t>http://CRAN.R-project.org/package=vegan</w:t>
        </w:r>
      </w:hyperlink>
    </w:p>
    <w:p w14:paraId="79DE8EDA" w14:textId="77777777" w:rsidR="009F400E" w:rsidRDefault="009F400E" w:rsidP="009F400E">
      <w:pPr>
        <w:pStyle w:val="Reportrefs"/>
        <w:spacing w:after="120"/>
        <w:ind w:left="284" w:hanging="284"/>
        <w:rPr>
          <w:rFonts w:cs="Arial"/>
          <w:sz w:val="22"/>
          <w:szCs w:val="22"/>
        </w:rPr>
      </w:pPr>
      <w:r w:rsidRPr="00E947AF">
        <w:rPr>
          <w:rFonts w:cs="Arial"/>
          <w:sz w:val="22"/>
          <w:szCs w:val="22"/>
        </w:rPr>
        <w:t>Osborne K, Dolman AM, Burgess SC, Johns KA (2011) Disturbance and the Dynamics of Coral Cover on the Great Barrier Reef (1995–2009). PLoS ONE 6:e17516</w:t>
      </w:r>
    </w:p>
    <w:p w14:paraId="6A1B3050" w14:textId="77777777" w:rsidR="00BD5570" w:rsidRPr="00BD5570" w:rsidRDefault="00BD5570" w:rsidP="00BD5570">
      <w:pPr>
        <w:autoSpaceDE w:val="0"/>
        <w:autoSpaceDN w:val="0"/>
        <w:adjustRightInd w:val="0"/>
        <w:ind w:left="284" w:hanging="284"/>
        <w:jc w:val="left"/>
        <w:rPr>
          <w:rFonts w:eastAsiaTheme="minorHAnsi" w:cs="Arial"/>
          <w:color w:val="000000"/>
          <w:szCs w:val="22"/>
          <w:lang w:val="en-AU"/>
        </w:rPr>
      </w:pPr>
      <w:r>
        <w:rPr>
          <w:rFonts w:eastAsiaTheme="minorHAnsi" w:cs="Arial"/>
          <w:color w:val="000000"/>
          <w:szCs w:val="22"/>
          <w:lang w:val="en-AU"/>
        </w:rPr>
        <w:t>Plummer</w:t>
      </w:r>
      <w:r w:rsidRPr="00BD5570">
        <w:rPr>
          <w:rFonts w:eastAsiaTheme="minorHAnsi" w:cs="Arial"/>
          <w:color w:val="000000"/>
          <w:szCs w:val="22"/>
          <w:lang w:val="en-AU"/>
        </w:rPr>
        <w:t xml:space="preserve"> M </w:t>
      </w:r>
      <w:r>
        <w:rPr>
          <w:rFonts w:eastAsiaTheme="minorHAnsi" w:cs="Arial"/>
          <w:color w:val="000000"/>
          <w:szCs w:val="22"/>
          <w:lang w:val="en-AU"/>
        </w:rPr>
        <w:t>(</w:t>
      </w:r>
      <w:r w:rsidRPr="00BD5570">
        <w:rPr>
          <w:rFonts w:eastAsiaTheme="minorHAnsi" w:cs="Arial"/>
          <w:color w:val="000000"/>
          <w:szCs w:val="22"/>
          <w:lang w:val="en-AU"/>
        </w:rPr>
        <w:t>2003</w:t>
      </w:r>
      <w:r>
        <w:rPr>
          <w:rFonts w:eastAsiaTheme="minorHAnsi" w:cs="Arial"/>
          <w:color w:val="000000"/>
          <w:szCs w:val="22"/>
          <w:lang w:val="en-AU"/>
        </w:rPr>
        <w:t>)</w:t>
      </w:r>
      <w:r w:rsidRPr="00BD5570">
        <w:rPr>
          <w:rFonts w:eastAsiaTheme="minorHAnsi" w:cs="Arial"/>
          <w:color w:val="000000"/>
          <w:szCs w:val="22"/>
          <w:lang w:val="en-AU"/>
        </w:rPr>
        <w:t xml:space="preserve"> JAGS: A Program for Analysis of Bayesian Graphical Models Using Gibbs</w:t>
      </w:r>
      <w:r>
        <w:rPr>
          <w:rFonts w:eastAsiaTheme="minorHAnsi" w:cs="Arial"/>
          <w:color w:val="000000"/>
          <w:szCs w:val="22"/>
          <w:lang w:val="en-AU"/>
        </w:rPr>
        <w:t xml:space="preserve"> </w:t>
      </w:r>
      <w:r w:rsidRPr="00BD5570">
        <w:rPr>
          <w:rFonts w:eastAsiaTheme="minorHAnsi" w:cs="Arial"/>
          <w:color w:val="000000"/>
          <w:szCs w:val="22"/>
          <w:lang w:val="en-AU"/>
        </w:rPr>
        <w:t xml:space="preserve">Sampling. </w:t>
      </w:r>
      <w:proofErr w:type="gramStart"/>
      <w:r w:rsidRPr="00BD5570">
        <w:rPr>
          <w:rFonts w:eastAsiaTheme="minorHAnsi" w:cs="Arial"/>
          <w:color w:val="000000"/>
          <w:szCs w:val="22"/>
          <w:lang w:val="en-AU"/>
        </w:rPr>
        <w:t xml:space="preserve">In </w:t>
      </w:r>
      <w:r w:rsidRPr="00BD5570">
        <w:rPr>
          <w:rFonts w:eastAsiaTheme="minorHAnsi" w:cs="Arial"/>
          <w:i/>
          <w:iCs/>
          <w:color w:val="000000"/>
          <w:szCs w:val="22"/>
          <w:lang w:val="en-AU"/>
        </w:rPr>
        <w:t xml:space="preserve">Proceedings of the 3rd </w:t>
      </w:r>
      <w:r w:rsidR="0033244F" w:rsidRPr="00BD5570">
        <w:rPr>
          <w:rFonts w:eastAsiaTheme="minorHAnsi" w:cs="Arial"/>
          <w:i/>
          <w:iCs/>
          <w:color w:val="000000"/>
          <w:szCs w:val="22"/>
          <w:lang w:val="en-AU"/>
        </w:rPr>
        <w:t>International Workshop</w:t>
      </w:r>
      <w:r w:rsidRPr="00BD5570">
        <w:rPr>
          <w:rFonts w:eastAsiaTheme="minorHAnsi" w:cs="Arial"/>
          <w:i/>
          <w:iCs/>
          <w:color w:val="000000"/>
          <w:szCs w:val="22"/>
          <w:lang w:val="en-AU"/>
        </w:rPr>
        <w:t xml:space="preserve"> on Distributed Statistical Computing</w:t>
      </w:r>
      <w:r w:rsidRPr="00BD5570">
        <w:rPr>
          <w:rFonts w:eastAsiaTheme="minorHAnsi" w:cs="Arial"/>
          <w:color w:val="000000"/>
          <w:szCs w:val="22"/>
          <w:lang w:val="en-AU"/>
        </w:rPr>
        <w:t>.</w:t>
      </w:r>
      <w:proofErr w:type="gramEnd"/>
      <w:r w:rsidRPr="00BD5570">
        <w:rPr>
          <w:rFonts w:eastAsiaTheme="minorHAnsi" w:cs="Arial"/>
          <w:color w:val="000000"/>
          <w:szCs w:val="22"/>
          <w:lang w:val="en-AU"/>
        </w:rPr>
        <w:t xml:space="preserve"> Vienna,</w:t>
      </w:r>
      <w:r>
        <w:rPr>
          <w:rFonts w:eastAsiaTheme="minorHAnsi" w:cs="Arial"/>
          <w:color w:val="000000"/>
          <w:szCs w:val="22"/>
          <w:lang w:val="en-AU"/>
        </w:rPr>
        <w:t xml:space="preserve"> </w:t>
      </w:r>
      <w:r w:rsidRPr="00BD5570">
        <w:rPr>
          <w:rFonts w:eastAsiaTheme="minorHAnsi" w:cs="Arial"/>
          <w:color w:val="000000"/>
          <w:szCs w:val="22"/>
          <w:lang w:val="en-AU"/>
        </w:rPr>
        <w:t>Austria.</w:t>
      </w:r>
    </w:p>
    <w:p w14:paraId="3019554A" w14:textId="77777777" w:rsidR="00BD5570" w:rsidRPr="00BD5570" w:rsidRDefault="00BD5570" w:rsidP="00BD5570">
      <w:pPr>
        <w:autoSpaceDE w:val="0"/>
        <w:autoSpaceDN w:val="0"/>
        <w:adjustRightInd w:val="0"/>
        <w:ind w:left="284" w:hanging="284"/>
        <w:jc w:val="left"/>
        <w:rPr>
          <w:rFonts w:eastAsiaTheme="minorHAnsi" w:cs="Arial"/>
          <w:color w:val="000000"/>
          <w:szCs w:val="22"/>
          <w:lang w:val="en-AU"/>
        </w:rPr>
      </w:pPr>
      <w:r>
        <w:rPr>
          <w:rFonts w:eastAsiaTheme="minorHAnsi" w:cs="Arial"/>
          <w:color w:val="000000"/>
          <w:szCs w:val="22"/>
          <w:lang w:val="en-AU"/>
        </w:rPr>
        <w:t>Plummer</w:t>
      </w:r>
      <w:r w:rsidRPr="00BD5570">
        <w:rPr>
          <w:rFonts w:eastAsiaTheme="minorHAnsi" w:cs="Arial"/>
          <w:color w:val="000000"/>
          <w:szCs w:val="22"/>
          <w:lang w:val="en-AU"/>
        </w:rPr>
        <w:t xml:space="preserve"> M</w:t>
      </w:r>
      <w:r>
        <w:rPr>
          <w:rFonts w:eastAsiaTheme="minorHAnsi" w:cs="Arial"/>
          <w:color w:val="000000"/>
          <w:szCs w:val="22"/>
          <w:lang w:val="en-AU"/>
        </w:rPr>
        <w:t>,</w:t>
      </w:r>
      <w:r w:rsidRPr="00BD5570">
        <w:rPr>
          <w:rFonts w:eastAsiaTheme="minorHAnsi" w:cs="Arial"/>
          <w:color w:val="000000"/>
          <w:szCs w:val="22"/>
          <w:lang w:val="en-AU"/>
        </w:rPr>
        <w:t xml:space="preserve"> Best</w:t>
      </w:r>
      <w:r>
        <w:rPr>
          <w:rFonts w:eastAsiaTheme="minorHAnsi" w:cs="Arial"/>
          <w:color w:val="000000"/>
          <w:szCs w:val="22"/>
          <w:lang w:val="en-AU"/>
        </w:rPr>
        <w:t xml:space="preserve"> N</w:t>
      </w:r>
      <w:r w:rsidRPr="00BD5570">
        <w:rPr>
          <w:rFonts w:eastAsiaTheme="minorHAnsi" w:cs="Arial"/>
          <w:color w:val="000000"/>
          <w:szCs w:val="22"/>
          <w:lang w:val="en-AU"/>
        </w:rPr>
        <w:t>, Cowles</w:t>
      </w:r>
      <w:r>
        <w:rPr>
          <w:rFonts w:eastAsiaTheme="minorHAnsi" w:cs="Arial"/>
          <w:color w:val="000000"/>
          <w:szCs w:val="22"/>
          <w:lang w:val="en-AU"/>
        </w:rPr>
        <w:t xml:space="preserve"> K</w:t>
      </w:r>
      <w:r w:rsidRPr="00BD5570">
        <w:rPr>
          <w:rFonts w:eastAsiaTheme="minorHAnsi" w:cs="Arial"/>
          <w:color w:val="000000"/>
          <w:szCs w:val="22"/>
          <w:lang w:val="en-AU"/>
        </w:rPr>
        <w:t>, Vines</w:t>
      </w:r>
      <w:r>
        <w:rPr>
          <w:rFonts w:eastAsiaTheme="minorHAnsi" w:cs="Arial"/>
          <w:color w:val="000000"/>
          <w:szCs w:val="22"/>
          <w:lang w:val="en-AU"/>
        </w:rPr>
        <w:t xml:space="preserve"> K</w:t>
      </w:r>
      <w:r w:rsidRPr="00BD5570">
        <w:rPr>
          <w:rFonts w:eastAsiaTheme="minorHAnsi" w:cs="Arial"/>
          <w:color w:val="000000"/>
          <w:szCs w:val="22"/>
          <w:lang w:val="en-AU"/>
        </w:rPr>
        <w:t xml:space="preserve"> </w:t>
      </w:r>
      <w:r>
        <w:rPr>
          <w:rFonts w:eastAsiaTheme="minorHAnsi" w:cs="Arial"/>
          <w:color w:val="000000"/>
          <w:szCs w:val="22"/>
          <w:lang w:val="en-AU"/>
        </w:rPr>
        <w:t>(</w:t>
      </w:r>
      <w:r w:rsidRPr="00BD5570">
        <w:rPr>
          <w:rFonts w:eastAsiaTheme="minorHAnsi" w:cs="Arial"/>
          <w:color w:val="000000"/>
          <w:szCs w:val="22"/>
          <w:lang w:val="en-AU"/>
        </w:rPr>
        <w:t>2006</w:t>
      </w:r>
      <w:r>
        <w:rPr>
          <w:rFonts w:eastAsiaTheme="minorHAnsi" w:cs="Arial"/>
          <w:color w:val="000000"/>
          <w:szCs w:val="22"/>
          <w:lang w:val="en-AU"/>
        </w:rPr>
        <w:t xml:space="preserve">) </w:t>
      </w:r>
      <w:r w:rsidRPr="00BD5570">
        <w:rPr>
          <w:rFonts w:eastAsiaTheme="minorHAnsi" w:cs="Arial"/>
          <w:color w:val="000000"/>
          <w:szCs w:val="22"/>
          <w:lang w:val="en-AU"/>
        </w:rPr>
        <w:t>CODA: Convergence Diagnosis and</w:t>
      </w:r>
      <w:r>
        <w:rPr>
          <w:rFonts w:eastAsiaTheme="minorHAnsi" w:cs="Arial"/>
          <w:color w:val="000000"/>
          <w:szCs w:val="22"/>
          <w:lang w:val="en-AU"/>
        </w:rPr>
        <w:t xml:space="preserve"> Output Analysis for MCMC.</w:t>
      </w:r>
      <w:r w:rsidRPr="00BD5570">
        <w:rPr>
          <w:rFonts w:eastAsiaTheme="minorHAnsi" w:cs="Arial"/>
          <w:color w:val="000000"/>
          <w:szCs w:val="22"/>
          <w:lang w:val="en-AU"/>
        </w:rPr>
        <w:t xml:space="preserve"> </w:t>
      </w:r>
      <w:r w:rsidRPr="00BD5570">
        <w:rPr>
          <w:rFonts w:eastAsiaTheme="minorHAnsi" w:cs="Arial"/>
          <w:i/>
          <w:iCs/>
          <w:color w:val="000000"/>
          <w:szCs w:val="22"/>
          <w:lang w:val="en-AU"/>
        </w:rPr>
        <w:t xml:space="preserve">R News </w:t>
      </w:r>
      <w:r w:rsidRPr="00BD5570">
        <w:rPr>
          <w:rFonts w:eastAsiaTheme="minorHAnsi" w:cs="Arial"/>
          <w:color w:val="000000"/>
          <w:szCs w:val="22"/>
          <w:lang w:val="en-AU"/>
        </w:rPr>
        <w:t xml:space="preserve">6 (1): </w:t>
      </w:r>
      <w:r w:rsidRPr="00EB5372">
        <w:rPr>
          <w:rFonts w:eastAsiaTheme="minorHAnsi" w:cs="Arial"/>
          <w:szCs w:val="22"/>
          <w:lang w:val="en-AU"/>
        </w:rPr>
        <w:t>7–11</w:t>
      </w:r>
      <w:hyperlink r:id="rId65" w:history="1">
        <w:r w:rsidRPr="00EB5372">
          <w:rPr>
            <w:rStyle w:val="Hyperlink"/>
            <w:rFonts w:eastAsiaTheme="minorHAnsi" w:cs="Arial"/>
            <w:color w:val="auto"/>
            <w:szCs w:val="22"/>
            <w:lang w:val="en-AU"/>
          </w:rPr>
          <w:t>. http://CRAN.R-project.org/doc/Rnews/.</w:t>
        </w:r>
      </w:hyperlink>
    </w:p>
    <w:p w14:paraId="56E9C4C2" w14:textId="77777777" w:rsidR="009F400E" w:rsidRPr="00BD5570" w:rsidRDefault="009F400E" w:rsidP="00BD5570">
      <w:pPr>
        <w:autoSpaceDE w:val="0"/>
        <w:autoSpaceDN w:val="0"/>
        <w:adjustRightInd w:val="0"/>
        <w:ind w:left="284" w:hanging="284"/>
        <w:jc w:val="left"/>
        <w:rPr>
          <w:rFonts w:cs="Arial"/>
          <w:szCs w:val="22"/>
          <w:lang w:eastAsia="en-AU"/>
        </w:rPr>
      </w:pPr>
      <w:r w:rsidRPr="00BD5570">
        <w:rPr>
          <w:rFonts w:cs="Arial"/>
          <w:szCs w:val="22"/>
          <w:lang w:eastAsia="en-AU"/>
        </w:rPr>
        <w:t xml:space="preserve">Pratchett MS (2007) Feeding preferences of </w:t>
      </w:r>
      <w:r w:rsidRPr="00BD5570">
        <w:rPr>
          <w:rFonts w:cs="Arial"/>
          <w:i/>
          <w:szCs w:val="22"/>
          <w:lang w:eastAsia="en-AU"/>
        </w:rPr>
        <w:t>Acanthastrea planci</w:t>
      </w:r>
      <w:r w:rsidRPr="00BD5570">
        <w:rPr>
          <w:rFonts w:cs="Arial"/>
          <w:szCs w:val="22"/>
          <w:lang w:eastAsia="en-AU"/>
        </w:rPr>
        <w:t xml:space="preserve"> (Echinodermata: Asteroidea) under controlled conditions of food availability 1. </w:t>
      </w:r>
      <w:r w:rsidRPr="00BD5570">
        <w:rPr>
          <w:rFonts w:cs="Arial"/>
          <w:iCs/>
          <w:szCs w:val="22"/>
          <w:lang w:eastAsia="en-AU"/>
        </w:rPr>
        <w:t>Pacific Science</w:t>
      </w:r>
      <w:r w:rsidRPr="00BD5570">
        <w:rPr>
          <w:rFonts w:cs="Arial"/>
          <w:szCs w:val="22"/>
          <w:lang w:eastAsia="en-AU"/>
        </w:rPr>
        <w:t xml:space="preserve"> </w:t>
      </w:r>
      <w:r w:rsidRPr="00BD5570">
        <w:rPr>
          <w:rFonts w:cs="Arial"/>
          <w:iCs/>
          <w:szCs w:val="22"/>
          <w:lang w:eastAsia="en-AU"/>
        </w:rPr>
        <w:t>61</w:t>
      </w:r>
      <w:r w:rsidRPr="00BD5570">
        <w:rPr>
          <w:rFonts w:cs="Arial"/>
          <w:szCs w:val="22"/>
          <w:lang w:eastAsia="en-AU"/>
        </w:rPr>
        <w:t>(1): 113-120</w:t>
      </w:r>
    </w:p>
    <w:p w14:paraId="612E2E40" w14:textId="77777777" w:rsidR="00327673" w:rsidRPr="001844B3" w:rsidRDefault="00327673" w:rsidP="00327673">
      <w:pPr>
        <w:autoSpaceDE w:val="0"/>
        <w:autoSpaceDN w:val="0"/>
        <w:adjustRightInd w:val="0"/>
        <w:ind w:left="284" w:hanging="284"/>
        <w:jc w:val="left"/>
        <w:rPr>
          <w:rFonts w:cs="Arial"/>
          <w:szCs w:val="22"/>
          <w:lang w:eastAsia="en-AU"/>
        </w:rPr>
      </w:pPr>
      <w:r>
        <w:rPr>
          <w:rFonts w:eastAsia="MinionPro-Regular" w:cs="Arial"/>
          <w:szCs w:val="22"/>
        </w:rPr>
        <w:t>Puotinen M, Maynard JA, Beeden R, Radford B, Williams GJ (2016)</w:t>
      </w:r>
      <w:r w:rsidRPr="001844B3">
        <w:rPr>
          <w:rFonts w:eastAsia="MinionPro-Regular" w:cs="Arial"/>
          <w:i/>
          <w:iCs/>
          <w:szCs w:val="22"/>
        </w:rPr>
        <w:t xml:space="preserve"> </w:t>
      </w:r>
      <w:r w:rsidRPr="001844B3">
        <w:rPr>
          <w:rFonts w:eastAsia="MinionPro-Regular" w:cs="Arial"/>
          <w:szCs w:val="22"/>
        </w:rPr>
        <w:t>A robust operational model for predicting where tropical cyclone</w:t>
      </w:r>
      <w:r>
        <w:rPr>
          <w:rFonts w:eastAsia="MinionPro-Regular" w:cs="Arial"/>
          <w:szCs w:val="22"/>
        </w:rPr>
        <w:t xml:space="preserve"> </w:t>
      </w:r>
      <w:r w:rsidRPr="001844B3">
        <w:rPr>
          <w:rFonts w:eastAsia="MinionPro-Regular" w:cs="Arial"/>
          <w:szCs w:val="22"/>
        </w:rPr>
        <w:t xml:space="preserve">waves damage coral reefs. </w:t>
      </w:r>
      <w:r w:rsidRPr="001844B3">
        <w:rPr>
          <w:rFonts w:eastAsia="MinionPro-Regular" w:cs="Arial"/>
          <w:i/>
          <w:iCs/>
          <w:szCs w:val="22"/>
        </w:rPr>
        <w:t xml:space="preserve">Sci. Rep. </w:t>
      </w:r>
      <w:r w:rsidRPr="001844B3">
        <w:rPr>
          <w:rFonts w:eastAsia="MinionPro-Regular" w:cs="Arial"/>
          <w:b/>
          <w:bCs/>
          <w:szCs w:val="22"/>
        </w:rPr>
        <w:t>6</w:t>
      </w:r>
      <w:r w:rsidRPr="001844B3">
        <w:rPr>
          <w:rFonts w:eastAsia="MinionPro-Regular" w:cs="Arial"/>
          <w:szCs w:val="22"/>
        </w:rPr>
        <w:t>, 2600</w:t>
      </w:r>
      <w:r>
        <w:rPr>
          <w:rFonts w:eastAsia="MinionPro-Regular" w:cs="Arial"/>
          <w:szCs w:val="22"/>
        </w:rPr>
        <w:t xml:space="preserve">9; doi: 10.1038/srep26009 </w:t>
      </w:r>
    </w:p>
    <w:p w14:paraId="43B13D0B" w14:textId="77777777" w:rsidR="009F400E" w:rsidRDefault="009F400E" w:rsidP="009F400E">
      <w:pPr>
        <w:pStyle w:val="Reportrefs"/>
        <w:spacing w:after="120"/>
        <w:ind w:left="284" w:hanging="284"/>
        <w:rPr>
          <w:rFonts w:cs="Arial"/>
          <w:sz w:val="22"/>
          <w:szCs w:val="22"/>
        </w:rPr>
      </w:pPr>
      <w:r w:rsidRPr="000119B3">
        <w:rPr>
          <w:rFonts w:cs="Arial"/>
          <w:sz w:val="22"/>
          <w:szCs w:val="22"/>
        </w:rPr>
        <w:t>Rasiah V, Armour JD (2001) Nitrate accumulation under cropping in the ferrosols of Far North Queensland Wet Tropics. Australian Journal of soil research 39</w:t>
      </w:r>
      <w:r w:rsidR="005167C9">
        <w:rPr>
          <w:rFonts w:cs="Arial"/>
          <w:sz w:val="22"/>
          <w:szCs w:val="22"/>
        </w:rPr>
        <w:t>:</w:t>
      </w:r>
      <w:r w:rsidRPr="000119B3">
        <w:rPr>
          <w:rFonts w:cs="Arial"/>
          <w:sz w:val="22"/>
          <w:szCs w:val="22"/>
        </w:rPr>
        <w:t>329</w:t>
      </w:r>
      <w:r w:rsidR="005167C9">
        <w:rPr>
          <w:rFonts w:cs="Arial"/>
          <w:sz w:val="22"/>
          <w:szCs w:val="22"/>
        </w:rPr>
        <w:t>-</w:t>
      </w:r>
      <w:r w:rsidRPr="000119B3">
        <w:rPr>
          <w:rFonts w:cs="Arial"/>
          <w:sz w:val="22"/>
          <w:szCs w:val="22"/>
        </w:rPr>
        <w:t>341</w:t>
      </w:r>
    </w:p>
    <w:p w14:paraId="017FA924" w14:textId="77777777" w:rsidR="0078561E" w:rsidRPr="000119B3" w:rsidRDefault="0078561E" w:rsidP="009F400E">
      <w:pPr>
        <w:pStyle w:val="Reportrefs"/>
        <w:spacing w:after="120"/>
        <w:ind w:left="284" w:hanging="284"/>
        <w:rPr>
          <w:rFonts w:cs="Arial"/>
          <w:sz w:val="22"/>
          <w:szCs w:val="22"/>
        </w:rPr>
      </w:pPr>
      <w:r>
        <w:rPr>
          <w:rFonts w:cs="Arial"/>
          <w:sz w:val="22"/>
          <w:szCs w:val="22"/>
        </w:rPr>
        <w:t xml:space="preserve">Rehr AP, Small MJ, Bradley P, Fisher WS, Vega A, Black K, Stockton T (2012) A </w:t>
      </w:r>
      <w:r w:rsidR="0033244F">
        <w:rPr>
          <w:rFonts w:cs="Arial"/>
          <w:sz w:val="22"/>
          <w:szCs w:val="22"/>
        </w:rPr>
        <w:t>decision</w:t>
      </w:r>
      <w:r>
        <w:rPr>
          <w:rFonts w:cs="Arial"/>
          <w:sz w:val="22"/>
          <w:szCs w:val="22"/>
        </w:rPr>
        <w:t xml:space="preserve"> support framework for science-based multi-stakeholder deliberation: A coral reef example. Environmental Assessment 50:1204-1218</w:t>
      </w:r>
    </w:p>
    <w:p w14:paraId="19886AE6" w14:textId="77777777" w:rsidR="009F400E" w:rsidRPr="004D6D04" w:rsidRDefault="009F400E" w:rsidP="009F400E">
      <w:pPr>
        <w:ind w:left="284" w:hanging="284"/>
        <w:rPr>
          <w:rStyle w:val="Hyperlink"/>
          <w:color w:val="auto"/>
        </w:rPr>
      </w:pPr>
      <w:r w:rsidRPr="004D6D04">
        <w:lastRenderedPageBreak/>
        <w:t xml:space="preserve">Ridgeway G (2007) Generalized boosted models: a guide to the gbm package, </w:t>
      </w:r>
      <w:hyperlink r:id="rId66" w:history="1">
        <w:r w:rsidRPr="004D6D04">
          <w:rPr>
            <w:rStyle w:val="Hyperlink"/>
            <w:color w:val="auto"/>
          </w:rPr>
          <w:t>http://www.saedsayad.com/docs/gbm2.pdf</w:t>
        </w:r>
      </w:hyperlink>
    </w:p>
    <w:p w14:paraId="2179C277" w14:textId="77777777" w:rsidR="009F400E" w:rsidRPr="00E947AF" w:rsidRDefault="009F400E" w:rsidP="009F400E">
      <w:pPr>
        <w:pStyle w:val="Reportrefs"/>
        <w:spacing w:after="120"/>
        <w:ind w:left="284" w:hanging="284"/>
        <w:rPr>
          <w:rStyle w:val="cit-doi3"/>
          <w:rFonts w:cs="Arial"/>
          <w:iCs/>
          <w:sz w:val="22"/>
          <w:szCs w:val="22"/>
        </w:rPr>
      </w:pPr>
      <w:proofErr w:type="gramStart"/>
      <w:r w:rsidRPr="00E947AF">
        <w:rPr>
          <w:rFonts w:cs="Arial"/>
          <w:sz w:val="22"/>
          <w:szCs w:val="22"/>
          <w:lang w:val="en-AU"/>
        </w:rPr>
        <w:t>Roff G, Clark TR, Reymond CE, Zhao J-x, Feng Y, McCook LJ, Done TJ, Pandolfi JM (2013) Palaeoecological evidence of a historical collapse of corals at Pelorus Island, inshore Great Barrier Reef, following European settlement.</w:t>
      </w:r>
      <w:proofErr w:type="gramEnd"/>
      <w:r w:rsidRPr="00E947AF">
        <w:rPr>
          <w:rFonts w:cs="Arial"/>
          <w:sz w:val="22"/>
          <w:szCs w:val="22"/>
          <w:lang w:val="en-AU"/>
        </w:rPr>
        <w:t xml:space="preserve"> Proceedings of the Royal Society B </w:t>
      </w:r>
      <w:r w:rsidRPr="00E947AF">
        <w:rPr>
          <w:rStyle w:val="cit-vol2"/>
          <w:rFonts w:cs="Arial"/>
          <w:iCs/>
          <w:sz w:val="22"/>
          <w:szCs w:val="22"/>
        </w:rPr>
        <w:t xml:space="preserve">280 </w:t>
      </w:r>
      <w:r w:rsidRPr="00E947AF">
        <w:rPr>
          <w:rStyle w:val="cit-issue1"/>
          <w:sz w:val="22"/>
          <w:specVanish w:val="0"/>
        </w:rPr>
        <w:t xml:space="preserve">1750 </w:t>
      </w:r>
      <w:r w:rsidRPr="00E947AF">
        <w:rPr>
          <w:rStyle w:val="cit-elocation"/>
          <w:rFonts w:cs="Arial"/>
          <w:iCs/>
          <w:sz w:val="22"/>
          <w:szCs w:val="22"/>
        </w:rPr>
        <w:t>20122100</w:t>
      </w:r>
      <w:r w:rsidRPr="00E947AF">
        <w:rPr>
          <w:rStyle w:val="cit-sep2"/>
          <w:rFonts w:cs="Arial"/>
          <w:iCs/>
          <w:sz w:val="22"/>
          <w:szCs w:val="22"/>
        </w:rPr>
        <w:t>;</w:t>
      </w:r>
      <w:r w:rsidRPr="00E947AF">
        <w:rPr>
          <w:rStyle w:val="cit-elocation"/>
          <w:rFonts w:cs="Arial"/>
          <w:iCs/>
          <w:sz w:val="22"/>
          <w:szCs w:val="22"/>
        </w:rPr>
        <w:t xml:space="preserve"> </w:t>
      </w:r>
      <w:r w:rsidRPr="00E947AF">
        <w:rPr>
          <w:rStyle w:val="cit-sep2"/>
          <w:rFonts w:cs="Arial"/>
          <w:iCs/>
          <w:sz w:val="22"/>
          <w:szCs w:val="22"/>
        </w:rPr>
        <w:t>doi:</w:t>
      </w:r>
      <w:r w:rsidRPr="00E947AF">
        <w:rPr>
          <w:rStyle w:val="cit-doi3"/>
          <w:rFonts w:cs="Arial"/>
          <w:iCs/>
          <w:sz w:val="22"/>
          <w:szCs w:val="22"/>
        </w:rPr>
        <w:t>10.1098/rspb.2012.2100</w:t>
      </w:r>
    </w:p>
    <w:p w14:paraId="57260417" w14:textId="77777777" w:rsidR="009F400E" w:rsidRPr="00E947AF" w:rsidRDefault="009F400E" w:rsidP="009F400E">
      <w:pPr>
        <w:pStyle w:val="Reportrefs"/>
        <w:spacing w:after="120"/>
        <w:ind w:left="284" w:hanging="284"/>
        <w:rPr>
          <w:rFonts w:cs="Arial"/>
          <w:sz w:val="22"/>
          <w:szCs w:val="22"/>
        </w:rPr>
      </w:pPr>
      <w:proofErr w:type="gramStart"/>
      <w:r w:rsidRPr="00E947AF">
        <w:rPr>
          <w:rFonts w:cs="Arial"/>
          <w:sz w:val="22"/>
          <w:szCs w:val="22"/>
        </w:rPr>
        <w:t>Rogers CS (1990) Responses of coral reefs and reef organisms to sedimentation.</w:t>
      </w:r>
      <w:proofErr w:type="gramEnd"/>
      <w:r w:rsidRPr="00E947AF">
        <w:rPr>
          <w:rFonts w:cs="Arial"/>
          <w:sz w:val="22"/>
          <w:szCs w:val="22"/>
        </w:rPr>
        <w:t xml:space="preserve"> Marine Ecology progress Series 62:185-202</w:t>
      </w:r>
    </w:p>
    <w:p w14:paraId="6877D908" w14:textId="77777777" w:rsidR="009F400E" w:rsidRPr="00E947AF" w:rsidRDefault="009F400E" w:rsidP="009F400E">
      <w:pPr>
        <w:ind w:left="284" w:hanging="284"/>
        <w:rPr>
          <w:rFonts w:cs="Arial"/>
          <w:szCs w:val="22"/>
          <w:lang w:val="en-US"/>
        </w:rPr>
      </w:pPr>
      <w:r w:rsidRPr="00E947AF">
        <w:t>Schaffelke B, Anthony K, Blake J, Brodie J, Collier C, Devlin M, Fabricius K, Martin K, McKenzie L, Negri A, Ronan M, Thompson A, Warne M (</w:t>
      </w:r>
      <w:r w:rsidRPr="00E947AF">
        <w:rPr>
          <w:bCs/>
          <w:i/>
        </w:rPr>
        <w:t xml:space="preserve">2013) </w:t>
      </w:r>
      <w:r w:rsidRPr="00E947AF">
        <w:rPr>
          <w:bCs/>
        </w:rPr>
        <w:t>Supporting evidence to</w:t>
      </w:r>
      <w:r w:rsidRPr="00E947AF">
        <w:rPr>
          <w:bCs/>
          <w:i/>
        </w:rPr>
        <w:t xml:space="preserve"> Scientific consensus statement: </w:t>
      </w:r>
      <w:r w:rsidRPr="00E947AF">
        <w:rPr>
          <w:i/>
        </w:rPr>
        <w:t>Land use impacts on Great Barrier Reef water quality and ecosystem condition.</w:t>
      </w:r>
      <w:r w:rsidRPr="00E947AF">
        <w:t xml:space="preserve"> </w:t>
      </w:r>
      <w:proofErr w:type="gramStart"/>
      <w:r w:rsidRPr="00E947AF">
        <w:rPr>
          <w:i/>
        </w:rPr>
        <w:t>Chapter 1, Marine and Coastal ecosystem impacts</w:t>
      </w:r>
      <w:r w:rsidRPr="00E947AF">
        <w:t>, Reef Water Quality Protection Plan Secretariat, Brisbane.</w:t>
      </w:r>
      <w:proofErr w:type="gramEnd"/>
      <w:r w:rsidRPr="00E947AF">
        <w:rPr>
          <w:u w:val="single"/>
        </w:rPr>
        <w:t xml:space="preserve"> </w:t>
      </w:r>
      <w:r w:rsidRPr="00E947AF">
        <w:t xml:space="preserve">Available at: </w:t>
      </w:r>
      <w:r w:rsidRPr="00E947AF">
        <w:rPr>
          <w:rFonts w:eastAsia="MS Mincho" w:cs="HelveticaNeue-Bold"/>
          <w:bCs/>
          <w:szCs w:val="30"/>
          <w:lang w:eastAsia="en-AU"/>
        </w:rPr>
        <w:t>www.reefplan.qld.gov.au</w:t>
      </w:r>
    </w:p>
    <w:p w14:paraId="58CDF500" w14:textId="77777777" w:rsidR="009F400E" w:rsidRPr="00E947AF" w:rsidRDefault="009F400E" w:rsidP="009F400E">
      <w:pPr>
        <w:pStyle w:val="Reportrefs"/>
        <w:spacing w:after="120"/>
        <w:ind w:left="284" w:hanging="284"/>
        <w:rPr>
          <w:rFonts w:cs="Arial"/>
          <w:sz w:val="22"/>
          <w:szCs w:val="22"/>
        </w:rPr>
      </w:pPr>
      <w:r w:rsidRPr="00E947AF">
        <w:rPr>
          <w:rFonts w:cs="Arial"/>
          <w:sz w:val="22"/>
          <w:szCs w:val="22"/>
        </w:rPr>
        <w:t>Schaffelke B, Mellors J, Duke NC (2005) Water quality in the Great Barrier Reef region: responses of mangrove, seagrass and macroalgal communities. Marine Pollution Bulletin 51:279-296</w:t>
      </w:r>
    </w:p>
    <w:p w14:paraId="703CECD2" w14:textId="77777777" w:rsidR="009F400E" w:rsidRPr="00E947AF" w:rsidRDefault="009F400E" w:rsidP="009F400E">
      <w:pPr>
        <w:ind w:left="284" w:hanging="284"/>
        <w:rPr>
          <w:rFonts w:cs="Arial"/>
          <w:szCs w:val="22"/>
          <w:lang w:val="en-US"/>
        </w:rPr>
      </w:pPr>
      <w:r w:rsidRPr="00E947AF">
        <w:rPr>
          <w:rFonts w:cs="Arial"/>
          <w:szCs w:val="22"/>
          <w:lang w:val="en-US"/>
        </w:rPr>
        <w:t xml:space="preserve">Schaffelke B, Thompson A, Carleton J, Cripps E, Davidson J, Doyle J, Furnas M, Gunn K, Neale S, Skuza M, Uthicke S, Wright M, Zagorskis I (2008) Water Quality and Ecosystem Monitoring Programme – Reef Water Quality Protection Plan. Final Report August 2008. Report to the Great Barrier Reef Marine Park Authority. </w:t>
      </w:r>
      <w:proofErr w:type="gramStart"/>
      <w:r w:rsidRPr="00E947AF">
        <w:rPr>
          <w:rFonts w:cs="Arial"/>
          <w:szCs w:val="22"/>
          <w:lang w:val="en-US"/>
        </w:rPr>
        <w:t>Australian Institute of Marine Science, Townsville.</w:t>
      </w:r>
      <w:proofErr w:type="gramEnd"/>
      <w:r w:rsidRPr="00E947AF">
        <w:rPr>
          <w:rFonts w:cs="Arial"/>
          <w:szCs w:val="22"/>
          <w:lang w:val="en-US"/>
        </w:rPr>
        <w:t xml:space="preserve"> 153p</w:t>
      </w:r>
    </w:p>
    <w:p w14:paraId="6C561CBD" w14:textId="77777777" w:rsidR="009F400E" w:rsidRPr="00E947AF" w:rsidRDefault="009F400E" w:rsidP="009F400E">
      <w:pPr>
        <w:ind w:left="284" w:hanging="284"/>
        <w:rPr>
          <w:rFonts w:cs="Arial"/>
          <w:szCs w:val="22"/>
          <w:lang w:val="en-US"/>
        </w:rPr>
      </w:pPr>
      <w:r w:rsidRPr="00E947AF">
        <w:rPr>
          <w:rFonts w:cs="Arial"/>
          <w:szCs w:val="22"/>
          <w:lang w:val="en-US"/>
        </w:rPr>
        <w:t xml:space="preserve">Schroeder T, Behnert I, Schaale M, </w:t>
      </w:r>
      <w:r w:rsidR="0033244F" w:rsidRPr="00E947AF">
        <w:rPr>
          <w:rFonts w:cs="Arial"/>
          <w:szCs w:val="22"/>
          <w:lang w:val="en-US"/>
        </w:rPr>
        <w:t>Fischer</w:t>
      </w:r>
      <w:r w:rsidRPr="00E947AF">
        <w:rPr>
          <w:rFonts w:cs="Arial"/>
          <w:szCs w:val="22"/>
          <w:lang w:val="en-US"/>
        </w:rPr>
        <w:t xml:space="preserve"> J, Doerffer R (2007) Atmospheric correction algorithm for MERIS above case-2 waters. International Journal of Remote Sensing, 28:1469-1486</w:t>
      </w:r>
    </w:p>
    <w:p w14:paraId="3E996098" w14:textId="77777777" w:rsidR="009F400E" w:rsidRPr="00E947AF" w:rsidRDefault="009F400E" w:rsidP="009F400E">
      <w:pPr>
        <w:ind w:left="284" w:hanging="284"/>
        <w:rPr>
          <w:rFonts w:cs="Arial"/>
          <w:szCs w:val="22"/>
        </w:rPr>
      </w:pPr>
      <w:r w:rsidRPr="00E947AF">
        <w:rPr>
          <w:rFonts w:cs="Arial"/>
          <w:szCs w:val="22"/>
        </w:rPr>
        <w:t>Schroeder T, Devlin M, Brando V, Dekker AG, Brodie JE, Clementson LA, McKinna L (2012) Inter-annual variability of wet season freshwater</w:t>
      </w:r>
      <w:r w:rsidR="0033244F">
        <w:rPr>
          <w:rFonts w:cs="Arial"/>
          <w:szCs w:val="22"/>
        </w:rPr>
        <w:t xml:space="preserve"> extent into the Great Barrier R</w:t>
      </w:r>
      <w:r w:rsidRPr="00E947AF">
        <w:rPr>
          <w:rFonts w:cs="Arial"/>
          <w:szCs w:val="22"/>
        </w:rPr>
        <w:t>eef lagoon based on satellite coastal ocean colour observations. Marine Pollution Bulletin 65: 210-223</w:t>
      </w:r>
    </w:p>
    <w:p w14:paraId="1D1B6A48" w14:textId="77777777" w:rsidR="009F400E" w:rsidRPr="00500284" w:rsidRDefault="009F400E" w:rsidP="009F400E">
      <w:pPr>
        <w:autoSpaceDE w:val="0"/>
        <w:autoSpaceDN w:val="0"/>
        <w:adjustRightInd w:val="0"/>
        <w:ind w:left="284" w:hanging="284"/>
        <w:rPr>
          <w:rFonts w:cs="Arial"/>
          <w:szCs w:val="22"/>
          <w:lang w:eastAsia="en-AU"/>
        </w:rPr>
      </w:pPr>
      <w:proofErr w:type="gramStart"/>
      <w:r w:rsidRPr="00500284">
        <w:rPr>
          <w:rFonts w:cs="Arial"/>
          <w:szCs w:val="22"/>
        </w:rPr>
        <w:t xml:space="preserve">Smith LD (2008) </w:t>
      </w:r>
      <w:r w:rsidRPr="00500284">
        <w:rPr>
          <w:rFonts w:cs="Arial"/>
          <w:szCs w:val="22"/>
          <w:lang w:eastAsia="en-AU"/>
        </w:rPr>
        <w:t>Resilience of coral communities on an isolated system of reefs following catastrophic mass-bleaching.</w:t>
      </w:r>
      <w:proofErr w:type="gramEnd"/>
      <w:r w:rsidRPr="00500284">
        <w:rPr>
          <w:rFonts w:cs="Arial"/>
          <w:szCs w:val="22"/>
          <w:lang w:eastAsia="en-AU"/>
        </w:rPr>
        <w:t xml:space="preserve"> Coral Reefs 27:197-205</w:t>
      </w:r>
    </w:p>
    <w:p w14:paraId="3FC91570" w14:textId="77777777" w:rsidR="009F400E" w:rsidRDefault="009F400E" w:rsidP="009F400E">
      <w:pPr>
        <w:autoSpaceDE w:val="0"/>
        <w:autoSpaceDN w:val="0"/>
        <w:adjustRightInd w:val="0"/>
        <w:ind w:left="284" w:hanging="284"/>
        <w:rPr>
          <w:rFonts w:cs="Arial"/>
          <w:lang w:val="en-AU" w:eastAsia="en-AU"/>
        </w:rPr>
      </w:pPr>
      <w:r>
        <w:rPr>
          <w:rFonts w:eastAsia="Calibri" w:cs="Arial"/>
        </w:rPr>
        <w:t xml:space="preserve">Sofonia JJ, Anthony KRN (2008) High-sediment tolerance in the reef coral Turbinaria mesenterina from the inner Great Barrier Reef lagoon (Australia). </w:t>
      </w:r>
      <w:r>
        <w:rPr>
          <w:rFonts w:eastAsia="Calibri" w:cs="Arial"/>
          <w:lang w:val="en-AU" w:eastAsia="en-AU"/>
        </w:rPr>
        <w:t>Estuar</w:t>
      </w:r>
      <w:r w:rsidR="0021071D">
        <w:rPr>
          <w:rFonts w:eastAsia="Calibri" w:cs="Arial"/>
          <w:lang w:val="en-AU" w:eastAsia="en-AU"/>
        </w:rPr>
        <w:t>ine &amp;</w:t>
      </w:r>
      <w:r>
        <w:rPr>
          <w:rFonts w:eastAsia="Calibri" w:cs="Arial"/>
          <w:lang w:val="en-AU" w:eastAsia="en-AU"/>
        </w:rPr>
        <w:t xml:space="preserve"> Coast</w:t>
      </w:r>
      <w:r w:rsidR="0021071D">
        <w:rPr>
          <w:rFonts w:eastAsia="Calibri" w:cs="Arial"/>
          <w:lang w:val="en-AU" w:eastAsia="en-AU"/>
        </w:rPr>
        <w:t>al</w:t>
      </w:r>
      <w:r>
        <w:rPr>
          <w:rFonts w:eastAsia="Calibri" w:cs="Arial"/>
          <w:lang w:val="en-AU" w:eastAsia="en-AU"/>
        </w:rPr>
        <w:t xml:space="preserve"> Shelf Sci</w:t>
      </w:r>
      <w:r w:rsidR="005167C9">
        <w:rPr>
          <w:rFonts w:eastAsia="Calibri" w:cs="Arial"/>
          <w:lang w:val="en-AU" w:eastAsia="en-AU"/>
        </w:rPr>
        <w:t>ence</w:t>
      </w:r>
      <w:r>
        <w:rPr>
          <w:rFonts w:eastAsia="Calibri" w:cs="Arial"/>
          <w:lang w:val="en-AU" w:eastAsia="en-AU"/>
        </w:rPr>
        <w:t xml:space="preserve"> 78: 748–752</w:t>
      </w:r>
    </w:p>
    <w:p w14:paraId="204835E4" w14:textId="77777777" w:rsidR="009F400E" w:rsidRPr="00500284" w:rsidRDefault="009F400E" w:rsidP="009F400E">
      <w:pPr>
        <w:pStyle w:val="Reportrefs"/>
        <w:spacing w:after="120"/>
        <w:ind w:left="284" w:hanging="284"/>
        <w:rPr>
          <w:rFonts w:cs="Arial"/>
          <w:sz w:val="22"/>
          <w:szCs w:val="22"/>
        </w:rPr>
      </w:pPr>
      <w:proofErr w:type="gramStart"/>
      <w:r w:rsidRPr="00500284">
        <w:rPr>
          <w:rFonts w:cs="Arial"/>
          <w:sz w:val="22"/>
          <w:szCs w:val="22"/>
        </w:rPr>
        <w:t>Stafford-Smith MG, Ormond RFG (1992) Sediment-rejection Mechanisms of 42 Species of Australian Scleractinian Corals.</w:t>
      </w:r>
      <w:proofErr w:type="gramEnd"/>
      <w:r w:rsidRPr="00500284">
        <w:rPr>
          <w:rFonts w:cs="Arial"/>
          <w:sz w:val="22"/>
          <w:szCs w:val="22"/>
        </w:rPr>
        <w:t xml:space="preserve"> Australian Journal of Marine and Freshwater Research 43:683-705 </w:t>
      </w:r>
    </w:p>
    <w:p w14:paraId="0D483B41" w14:textId="77777777" w:rsidR="009F400E" w:rsidRDefault="009F400E" w:rsidP="009F400E">
      <w:pPr>
        <w:pStyle w:val="Reportrefs"/>
        <w:spacing w:after="120"/>
        <w:ind w:left="284" w:hanging="284"/>
        <w:rPr>
          <w:rFonts w:eastAsiaTheme="minorHAnsi" w:cs="Arial"/>
          <w:sz w:val="22"/>
          <w:szCs w:val="22"/>
          <w:lang w:val="en-AU"/>
        </w:rPr>
      </w:pPr>
      <w:r w:rsidRPr="00500284">
        <w:rPr>
          <w:rFonts w:eastAsiaTheme="minorHAnsi" w:cs="Arial"/>
          <w:sz w:val="22"/>
          <w:szCs w:val="22"/>
          <w:lang w:val="en-AU"/>
        </w:rPr>
        <w:t xml:space="preserve">Steffen W, Hughes L, Karoly, D (2013) </w:t>
      </w:r>
      <w:proofErr w:type="gramStart"/>
      <w:r w:rsidRPr="00500284">
        <w:rPr>
          <w:rFonts w:eastAsiaTheme="minorHAnsi" w:cs="Arial"/>
          <w:sz w:val="22"/>
          <w:szCs w:val="22"/>
          <w:lang w:val="en-AU"/>
        </w:rPr>
        <w:t>The</w:t>
      </w:r>
      <w:proofErr w:type="gramEnd"/>
      <w:r w:rsidRPr="00500284">
        <w:rPr>
          <w:rFonts w:eastAsiaTheme="minorHAnsi" w:cs="Arial"/>
          <w:sz w:val="22"/>
          <w:szCs w:val="22"/>
          <w:lang w:val="en-AU"/>
        </w:rPr>
        <w:t xml:space="preserve"> Critical Decade: Extreme Weather. Climate Commission Secretariat, Department of Industry, Innovation, Climate Change, Science, Research and Tertiary Education, Commonwealth of Australia, 63p</w:t>
      </w:r>
    </w:p>
    <w:p w14:paraId="2715F4C5" w14:textId="77777777" w:rsidR="00BD5570" w:rsidRPr="009E700A" w:rsidRDefault="00BD5570" w:rsidP="00BD5570">
      <w:pPr>
        <w:autoSpaceDE w:val="0"/>
        <w:autoSpaceDN w:val="0"/>
        <w:adjustRightInd w:val="0"/>
        <w:ind w:left="284" w:hanging="284"/>
        <w:jc w:val="left"/>
        <w:rPr>
          <w:rFonts w:eastAsiaTheme="minorHAnsi" w:cs="Arial"/>
          <w:szCs w:val="22"/>
          <w:lang w:val="en-AU"/>
        </w:rPr>
      </w:pPr>
      <w:r w:rsidRPr="009E700A">
        <w:rPr>
          <w:rFonts w:eastAsiaTheme="minorHAnsi" w:cs="Arial"/>
          <w:szCs w:val="22"/>
          <w:lang w:val="en-AU"/>
        </w:rPr>
        <w:t xml:space="preserve">Su Y-S, Yajima M (2014) </w:t>
      </w:r>
      <w:r w:rsidRPr="009E700A">
        <w:rPr>
          <w:rFonts w:eastAsiaTheme="minorHAnsi" w:cs="Arial"/>
          <w:i/>
          <w:iCs/>
          <w:szCs w:val="22"/>
          <w:lang w:val="en-AU"/>
        </w:rPr>
        <w:t>R2jags: A Package for Running Jags from R</w:t>
      </w:r>
      <w:r w:rsidRPr="009E700A">
        <w:rPr>
          <w:rFonts w:eastAsiaTheme="minorHAnsi" w:cs="Arial"/>
          <w:szCs w:val="22"/>
          <w:lang w:val="en-AU"/>
        </w:rPr>
        <w:t xml:space="preserve">. </w:t>
      </w:r>
      <w:hyperlink r:id="rId67" w:history="1">
        <w:r w:rsidRPr="009E700A">
          <w:rPr>
            <w:rStyle w:val="Hyperlink"/>
            <w:rFonts w:eastAsiaTheme="minorHAnsi" w:cs="Arial"/>
            <w:color w:val="auto"/>
            <w:szCs w:val="22"/>
            <w:lang w:val="en-AU"/>
          </w:rPr>
          <w:t>http://CRAN.R-project.org/package=R2jags</w:t>
        </w:r>
      </w:hyperlink>
      <w:r w:rsidRPr="009E700A">
        <w:rPr>
          <w:rFonts w:eastAsiaTheme="minorHAnsi" w:cs="Arial"/>
          <w:szCs w:val="22"/>
          <w:lang w:val="en-AU"/>
        </w:rPr>
        <w:t>.</w:t>
      </w:r>
    </w:p>
    <w:p w14:paraId="105C0056" w14:textId="77777777" w:rsidR="009F400E" w:rsidRPr="00500284" w:rsidRDefault="009F400E" w:rsidP="009F400E">
      <w:pPr>
        <w:pStyle w:val="Reportrefs"/>
        <w:spacing w:after="120"/>
        <w:ind w:left="284" w:hanging="284"/>
        <w:rPr>
          <w:rFonts w:cs="Arial"/>
          <w:sz w:val="22"/>
          <w:szCs w:val="22"/>
        </w:rPr>
      </w:pPr>
      <w:r w:rsidRPr="00500284">
        <w:rPr>
          <w:rFonts w:cs="Arial"/>
          <w:sz w:val="22"/>
          <w:szCs w:val="22"/>
        </w:rPr>
        <w:t>Sweatman H, Thompson A, Delean S, Davidson J, Neale S (2007) Status of inshore reefs of the Great Barrier Reef 2004. Australian Institute of Marine Science, Townsville</w:t>
      </w:r>
    </w:p>
    <w:p w14:paraId="3485A3C2" w14:textId="77777777" w:rsidR="009F400E" w:rsidRPr="00500284" w:rsidRDefault="009F400E" w:rsidP="009F400E">
      <w:pPr>
        <w:pStyle w:val="Reportrefs"/>
        <w:spacing w:after="120"/>
        <w:ind w:left="284" w:hanging="284"/>
        <w:rPr>
          <w:rFonts w:cs="Arial"/>
          <w:sz w:val="22"/>
          <w:szCs w:val="22"/>
        </w:rPr>
      </w:pPr>
      <w:r w:rsidRPr="00500284">
        <w:rPr>
          <w:rFonts w:cs="Arial"/>
          <w:sz w:val="22"/>
          <w:szCs w:val="22"/>
        </w:rPr>
        <w:t>Szmant AM (2002) Nutrient enrichment on coral reefs: Is it a major cause of coral reef decline? Estuaries 25: 743-766</w:t>
      </w:r>
    </w:p>
    <w:p w14:paraId="05E80C04" w14:textId="77777777" w:rsidR="009F400E" w:rsidRPr="00500284" w:rsidRDefault="009F400E" w:rsidP="009F400E">
      <w:pPr>
        <w:pStyle w:val="Reportrefs"/>
        <w:spacing w:after="120"/>
        <w:ind w:left="284" w:hanging="284"/>
        <w:rPr>
          <w:rFonts w:eastAsia="MS Mincho" w:cs="Arial"/>
          <w:sz w:val="22"/>
          <w:szCs w:val="22"/>
          <w:lang w:eastAsia="ja-JP"/>
        </w:rPr>
      </w:pPr>
      <w:r w:rsidRPr="00500284">
        <w:rPr>
          <w:rFonts w:cs="Arial"/>
          <w:sz w:val="22"/>
          <w:szCs w:val="22"/>
          <w:lang w:val="en-AU" w:eastAsia="en-AU"/>
        </w:rPr>
        <w:t xml:space="preserve">Tanner, J. E. (1995) Competition between scleractinian corals and macroalgae: an experimental investigation of coral growth, survival and reproduction. </w:t>
      </w:r>
      <w:r w:rsidRPr="00500284">
        <w:rPr>
          <w:rFonts w:cs="Arial"/>
          <w:iCs/>
          <w:sz w:val="22"/>
          <w:szCs w:val="22"/>
          <w:lang w:val="en-AU" w:eastAsia="en-AU"/>
        </w:rPr>
        <w:t>Journal of Experimental Marine Biology and Ecology</w:t>
      </w:r>
      <w:r w:rsidRPr="00500284">
        <w:rPr>
          <w:rFonts w:cs="Arial"/>
          <w:sz w:val="22"/>
          <w:szCs w:val="22"/>
          <w:lang w:val="en-AU" w:eastAsia="en-AU"/>
        </w:rPr>
        <w:t xml:space="preserve"> </w:t>
      </w:r>
      <w:r w:rsidRPr="00500284">
        <w:rPr>
          <w:rFonts w:cs="Arial"/>
          <w:iCs/>
          <w:sz w:val="22"/>
          <w:szCs w:val="22"/>
          <w:lang w:val="en-AU" w:eastAsia="en-AU"/>
        </w:rPr>
        <w:t>190</w:t>
      </w:r>
      <w:r w:rsidRPr="00500284">
        <w:rPr>
          <w:rFonts w:cs="Arial"/>
          <w:sz w:val="22"/>
          <w:szCs w:val="22"/>
          <w:lang w:val="en-AU" w:eastAsia="en-AU"/>
        </w:rPr>
        <w:t>(2): 151-168</w:t>
      </w:r>
    </w:p>
    <w:p w14:paraId="3221B452" w14:textId="77777777" w:rsidR="009F400E" w:rsidRPr="004806D6" w:rsidRDefault="009F400E" w:rsidP="009F400E">
      <w:pPr>
        <w:pStyle w:val="Reportrefs"/>
        <w:spacing w:after="120"/>
        <w:ind w:left="284" w:hanging="284"/>
        <w:rPr>
          <w:rFonts w:eastAsia="MS Mincho" w:cs="Arial"/>
          <w:sz w:val="20"/>
          <w:szCs w:val="22"/>
          <w:lang w:eastAsia="ja-JP"/>
        </w:rPr>
      </w:pPr>
      <w:r w:rsidRPr="004806D6">
        <w:rPr>
          <w:rFonts w:eastAsia="MS Mincho" w:cs="Arial"/>
          <w:sz w:val="22"/>
          <w:szCs w:val="22"/>
          <w:lang w:eastAsia="ja-JP"/>
        </w:rPr>
        <w:t xml:space="preserve">Thompson A, Brando VE, Schaffelke B, Schroeder T (2014a) </w:t>
      </w:r>
      <w:r w:rsidRPr="004806D6">
        <w:rPr>
          <w:sz w:val="22"/>
        </w:rPr>
        <w:t xml:space="preserve">Coral community responses to declining water quality: Whitsunday Islands, Great Barrier Reef, Australia. Coral Reefs 33:923-938 </w:t>
      </w:r>
    </w:p>
    <w:p w14:paraId="520F7079" w14:textId="77777777" w:rsidR="009F400E" w:rsidRPr="00500284" w:rsidRDefault="009F400E" w:rsidP="009F400E">
      <w:pPr>
        <w:pStyle w:val="Reportrefs"/>
        <w:spacing w:after="120"/>
        <w:ind w:left="284" w:hanging="284"/>
        <w:rPr>
          <w:rFonts w:eastAsia="MS Mincho" w:cs="Arial"/>
          <w:sz w:val="22"/>
          <w:szCs w:val="22"/>
          <w:lang w:eastAsia="ja-JP"/>
        </w:rPr>
      </w:pPr>
      <w:proofErr w:type="gramStart"/>
      <w:r w:rsidRPr="00500284">
        <w:rPr>
          <w:rFonts w:eastAsia="MS Mincho" w:cs="Arial"/>
          <w:sz w:val="22"/>
          <w:szCs w:val="22"/>
          <w:lang w:eastAsia="ja-JP"/>
        </w:rPr>
        <w:lastRenderedPageBreak/>
        <w:t>Thompson A, Costello P, Davidson J, Logan M, Schaffelke B, Takahashi M, Uthicke S (2012) Reef Rescue Marine Monitoring Program.</w:t>
      </w:r>
      <w:proofErr w:type="gramEnd"/>
      <w:r w:rsidRPr="00500284">
        <w:rPr>
          <w:rFonts w:eastAsia="MS Mincho" w:cs="Arial"/>
          <w:sz w:val="22"/>
          <w:szCs w:val="22"/>
          <w:lang w:eastAsia="ja-JP"/>
        </w:rPr>
        <w:t xml:space="preserve"> Final Report of AIMS Activities 2011 </w:t>
      </w:r>
      <w:proofErr w:type="gramStart"/>
      <w:r w:rsidRPr="00500284">
        <w:rPr>
          <w:rFonts w:eastAsia="MS Mincho" w:cs="Arial"/>
          <w:sz w:val="22"/>
          <w:szCs w:val="22"/>
          <w:lang w:eastAsia="ja-JP"/>
        </w:rPr>
        <w:t>Inshore</w:t>
      </w:r>
      <w:proofErr w:type="gramEnd"/>
      <w:r w:rsidRPr="00500284">
        <w:rPr>
          <w:rFonts w:eastAsia="MS Mincho" w:cs="Arial"/>
          <w:sz w:val="22"/>
          <w:szCs w:val="22"/>
          <w:lang w:eastAsia="ja-JP"/>
        </w:rPr>
        <w:t xml:space="preserve"> coral reef monitoring. Report for Great Barrier Reef Marine Park Authority. Australian Institute of Marine Science, Townsville </w:t>
      </w:r>
    </w:p>
    <w:p w14:paraId="355AC51F" w14:textId="77777777" w:rsidR="009F400E" w:rsidRPr="004806D6" w:rsidRDefault="009F400E" w:rsidP="009F400E">
      <w:pPr>
        <w:pStyle w:val="Reportrefs"/>
        <w:spacing w:after="120"/>
        <w:ind w:left="284" w:hanging="284"/>
        <w:rPr>
          <w:rFonts w:cs="Arial"/>
          <w:sz w:val="22"/>
          <w:szCs w:val="22"/>
        </w:rPr>
      </w:pPr>
      <w:proofErr w:type="gramStart"/>
      <w:r w:rsidRPr="004806D6">
        <w:rPr>
          <w:rFonts w:cs="Arial"/>
          <w:sz w:val="22"/>
          <w:szCs w:val="22"/>
        </w:rPr>
        <w:t>Thompson A, Dolman A (2010) Coral bleaching: one disturbance too many for inshore reefs of the Great Barrier Reef.</w:t>
      </w:r>
      <w:proofErr w:type="gramEnd"/>
      <w:r w:rsidRPr="004806D6">
        <w:rPr>
          <w:rFonts w:cs="Arial"/>
          <w:sz w:val="22"/>
          <w:szCs w:val="22"/>
        </w:rPr>
        <w:t xml:space="preserve"> Coral Reefs 29:637-648 </w:t>
      </w:r>
    </w:p>
    <w:p w14:paraId="76491711" w14:textId="77777777" w:rsidR="009F400E" w:rsidRDefault="009F400E" w:rsidP="009F400E">
      <w:pPr>
        <w:ind w:left="284" w:hanging="284"/>
        <w:rPr>
          <w:rFonts w:cs="Arial"/>
          <w:szCs w:val="22"/>
          <w:lang w:val="en-US"/>
        </w:rPr>
      </w:pPr>
      <w:r w:rsidRPr="00500284">
        <w:rPr>
          <w:rFonts w:cs="Arial"/>
          <w:szCs w:val="22"/>
          <w:lang w:val="en-US"/>
        </w:rPr>
        <w:t>Thompson A, Schaffelke B, De’ath G, Cripps E, Sweatman H (2010</w:t>
      </w:r>
      <w:r>
        <w:rPr>
          <w:rFonts w:cs="Arial"/>
          <w:szCs w:val="22"/>
          <w:lang w:val="en-US"/>
        </w:rPr>
        <w:t>a</w:t>
      </w:r>
      <w:r w:rsidRPr="00500284">
        <w:rPr>
          <w:rFonts w:cs="Arial"/>
          <w:szCs w:val="22"/>
          <w:lang w:val="en-US"/>
        </w:rPr>
        <w:t xml:space="preserve">) Water Quality and Ecosystem Monitoring Programme-Reef Water Quality Protection Plan. </w:t>
      </w:r>
      <w:proofErr w:type="gramStart"/>
      <w:r w:rsidRPr="00500284">
        <w:rPr>
          <w:rFonts w:cs="Arial"/>
          <w:szCs w:val="22"/>
          <w:lang w:val="en-US"/>
        </w:rPr>
        <w:t>Synthesis and spatial analysis of inshore monitoring data 2005-08.</w:t>
      </w:r>
      <w:proofErr w:type="gramEnd"/>
      <w:r w:rsidRPr="00500284">
        <w:rPr>
          <w:rFonts w:cs="Arial"/>
          <w:szCs w:val="22"/>
          <w:lang w:val="en-US"/>
        </w:rPr>
        <w:t xml:space="preserve"> Report to the Great Barrier Reef Marine Park Authority. </w:t>
      </w:r>
      <w:proofErr w:type="gramStart"/>
      <w:r w:rsidRPr="00500284">
        <w:rPr>
          <w:rFonts w:cs="Arial"/>
          <w:szCs w:val="22"/>
          <w:lang w:val="en-US"/>
        </w:rPr>
        <w:t>Australian Institute of Marine Science, Townsville.</w:t>
      </w:r>
      <w:proofErr w:type="gramEnd"/>
      <w:r w:rsidRPr="00500284">
        <w:rPr>
          <w:rFonts w:cs="Arial"/>
          <w:szCs w:val="22"/>
          <w:lang w:val="en-US"/>
        </w:rPr>
        <w:t xml:space="preserve"> 81p</w:t>
      </w:r>
    </w:p>
    <w:p w14:paraId="6D06DB16" w14:textId="77777777" w:rsidR="006A7515" w:rsidRDefault="006A7515" w:rsidP="006A7515">
      <w:pPr>
        <w:pStyle w:val="Reportrefs"/>
        <w:spacing w:after="120"/>
        <w:ind w:left="284" w:hanging="284"/>
        <w:rPr>
          <w:rFonts w:eastAsia="MS Mincho"/>
          <w:color w:val="000000"/>
          <w:sz w:val="22"/>
          <w:szCs w:val="22"/>
          <w:lang w:eastAsia="ja-JP"/>
        </w:rPr>
      </w:pPr>
      <w:r w:rsidRPr="0038146D">
        <w:rPr>
          <w:rFonts w:eastAsia="MS Mincho"/>
          <w:color w:val="000000"/>
          <w:sz w:val="22"/>
          <w:szCs w:val="22"/>
          <w:lang w:eastAsia="ja-JP"/>
        </w:rPr>
        <w:t>Thompson A, Davidson J, Schaffelke B, Sweatman H (2010</w:t>
      </w:r>
      <w:r>
        <w:rPr>
          <w:rFonts w:eastAsia="MS Mincho"/>
          <w:color w:val="000000"/>
          <w:sz w:val="22"/>
          <w:szCs w:val="22"/>
          <w:lang w:eastAsia="ja-JP"/>
        </w:rPr>
        <w:t>b</w:t>
      </w:r>
      <w:r w:rsidRPr="0038146D">
        <w:rPr>
          <w:rFonts w:eastAsia="MS Mincho"/>
          <w:color w:val="000000"/>
          <w:sz w:val="22"/>
          <w:szCs w:val="22"/>
          <w:lang w:eastAsia="ja-JP"/>
        </w:rPr>
        <w:t xml:space="preserve">) Reef Rescue Marine Monitoring Program. </w:t>
      </w:r>
      <w:proofErr w:type="gramStart"/>
      <w:r w:rsidRPr="0038146D">
        <w:rPr>
          <w:rFonts w:eastAsia="MS Mincho"/>
          <w:color w:val="000000"/>
          <w:sz w:val="22"/>
          <w:szCs w:val="22"/>
          <w:lang w:eastAsia="ja-JP"/>
        </w:rPr>
        <w:t>Final Report of AIMS Activities – Inshore coral reef monitoring 2009/10.</w:t>
      </w:r>
      <w:proofErr w:type="gramEnd"/>
      <w:r w:rsidRPr="0038146D">
        <w:rPr>
          <w:rFonts w:eastAsia="MS Mincho"/>
          <w:color w:val="000000"/>
          <w:sz w:val="22"/>
          <w:szCs w:val="22"/>
          <w:lang w:eastAsia="ja-JP"/>
        </w:rPr>
        <w:t xml:space="preserve"> Report for Reef and Rainforest Research Centre. Australian Institute of Marine Science, Townsville </w:t>
      </w:r>
    </w:p>
    <w:p w14:paraId="3B0FDB32" w14:textId="77777777" w:rsidR="009F400E" w:rsidRPr="00500284" w:rsidRDefault="009F400E" w:rsidP="009F400E">
      <w:pPr>
        <w:pStyle w:val="Reportrefs"/>
        <w:spacing w:after="120"/>
        <w:ind w:left="284" w:hanging="284"/>
        <w:rPr>
          <w:rFonts w:cs="Arial"/>
          <w:sz w:val="22"/>
          <w:szCs w:val="22"/>
          <w:lang w:val="en-AU"/>
        </w:rPr>
      </w:pPr>
      <w:r w:rsidRPr="00500284">
        <w:rPr>
          <w:rFonts w:cs="Arial"/>
          <w:sz w:val="22"/>
          <w:szCs w:val="22"/>
          <w:lang w:val="en-AU"/>
        </w:rPr>
        <w:t xml:space="preserve">Thompson A, Schaffelke B, Logan M, Costello P, Davidson J, Doyle J, Furnas M, Gunn K, Liddy M, Skuza M, Uthicke S, Wright M and Zagorskis I (2013) Reef Rescue Marine Monitoring Program. Annual Report of AIMS Activities 2012 to 2013– Inshore water quality and coral reef monitoring. Report for the Great Barrier Reef Marine Park Authority. </w:t>
      </w:r>
      <w:proofErr w:type="gramStart"/>
      <w:r w:rsidRPr="00500284">
        <w:rPr>
          <w:rFonts w:cs="Arial"/>
          <w:sz w:val="22"/>
          <w:szCs w:val="22"/>
          <w:lang w:val="en-AU"/>
        </w:rPr>
        <w:t>Australian Institute of Marine Science, Townsville.</w:t>
      </w:r>
      <w:proofErr w:type="gramEnd"/>
      <w:r w:rsidRPr="00500284">
        <w:rPr>
          <w:rFonts w:cs="Arial"/>
          <w:sz w:val="22"/>
          <w:szCs w:val="22"/>
          <w:lang w:val="en-AU"/>
        </w:rPr>
        <w:t xml:space="preserve"> 182</w:t>
      </w:r>
      <w:r w:rsidR="005167C9">
        <w:rPr>
          <w:rFonts w:cs="Arial"/>
          <w:sz w:val="22"/>
          <w:szCs w:val="22"/>
          <w:lang w:val="en-AU"/>
        </w:rPr>
        <w:t>p</w:t>
      </w:r>
      <w:r w:rsidRPr="00500284">
        <w:rPr>
          <w:rFonts w:cs="Arial"/>
          <w:sz w:val="22"/>
          <w:szCs w:val="22"/>
          <w:lang w:val="en-AU"/>
        </w:rPr>
        <w:t xml:space="preserve"> </w:t>
      </w:r>
    </w:p>
    <w:p w14:paraId="6A58DEE9" w14:textId="77777777" w:rsidR="009D3707" w:rsidRPr="009D3707" w:rsidRDefault="009D3707" w:rsidP="009F400E">
      <w:pPr>
        <w:pStyle w:val="Default0"/>
        <w:spacing w:after="120"/>
        <w:ind w:left="284" w:hanging="284"/>
        <w:rPr>
          <w:rFonts w:ascii="Arial" w:hAnsi="Arial" w:cs="Arial"/>
          <w:sz w:val="22"/>
          <w:szCs w:val="22"/>
        </w:rPr>
      </w:pPr>
      <w:r w:rsidRPr="009D3707">
        <w:rPr>
          <w:rFonts w:ascii="Arial" w:hAnsi="Arial" w:cs="Arial"/>
          <w:sz w:val="22"/>
          <w:szCs w:val="22"/>
        </w:rPr>
        <w:t>Thompson A, Lønborg C, C</w:t>
      </w:r>
      <w:r w:rsidR="0049629B">
        <w:rPr>
          <w:rFonts w:ascii="Arial" w:hAnsi="Arial" w:cs="Arial"/>
          <w:sz w:val="22"/>
          <w:szCs w:val="22"/>
        </w:rPr>
        <w:t>ostello P, Davidson J, Logan M,</w:t>
      </w:r>
      <w:r w:rsidRPr="009D3707">
        <w:rPr>
          <w:rFonts w:ascii="Arial" w:hAnsi="Arial" w:cs="Arial"/>
          <w:sz w:val="22"/>
          <w:szCs w:val="22"/>
        </w:rPr>
        <w:t xml:space="preserve"> Furnas M, Gunn K, Liddy M, Skuza M, Uthicke S, Wright M and Zagorskis I, Schaffelke B (2014</w:t>
      </w:r>
      <w:r w:rsidR="0049629B">
        <w:rPr>
          <w:rFonts w:ascii="Arial" w:hAnsi="Arial" w:cs="Arial"/>
          <w:sz w:val="22"/>
          <w:szCs w:val="22"/>
        </w:rPr>
        <w:t>b</w:t>
      </w:r>
      <w:r w:rsidRPr="009D3707">
        <w:rPr>
          <w:rFonts w:ascii="Arial" w:hAnsi="Arial" w:cs="Arial"/>
          <w:sz w:val="22"/>
          <w:szCs w:val="22"/>
        </w:rPr>
        <w:t>) Marine Monitoring Program. Annual Report of AIMS Activities 2013 to 2014– Inshore water quality and coral reef monitoring. Report for the Great Barrier Reef Marine Park Authority. Australian Institute of Marine Science 146p</w:t>
      </w:r>
    </w:p>
    <w:p w14:paraId="6E6C7100" w14:textId="77777777" w:rsidR="009F400E" w:rsidRDefault="009F400E" w:rsidP="009F400E">
      <w:pPr>
        <w:pStyle w:val="Default0"/>
        <w:spacing w:after="120"/>
        <w:ind w:left="284" w:hanging="284"/>
        <w:rPr>
          <w:rFonts w:ascii="Arial" w:hAnsi="Arial" w:cs="Arial"/>
          <w:sz w:val="22"/>
          <w:szCs w:val="22"/>
        </w:rPr>
      </w:pPr>
      <w:r w:rsidRPr="007B7075">
        <w:rPr>
          <w:rFonts w:ascii="Arial" w:hAnsi="Arial" w:cs="Arial"/>
          <w:sz w:val="22"/>
          <w:szCs w:val="22"/>
        </w:rPr>
        <w:t>Turner RDR, Huggins R, Wallace R, Smith RA, Vardy S</w:t>
      </w:r>
      <w:r w:rsidR="005167C9">
        <w:rPr>
          <w:rFonts w:ascii="Arial" w:hAnsi="Arial" w:cs="Arial"/>
          <w:sz w:val="22"/>
          <w:szCs w:val="22"/>
        </w:rPr>
        <w:t>,</w:t>
      </w:r>
      <w:r w:rsidRPr="007B7075">
        <w:rPr>
          <w:rFonts w:ascii="Arial" w:hAnsi="Arial" w:cs="Arial"/>
          <w:sz w:val="22"/>
          <w:szCs w:val="22"/>
        </w:rPr>
        <w:t xml:space="preserve"> Warne MSt</w:t>
      </w:r>
      <w:r w:rsidR="005167C9">
        <w:rPr>
          <w:rFonts w:ascii="Arial" w:hAnsi="Arial" w:cs="Arial"/>
          <w:sz w:val="22"/>
          <w:szCs w:val="22"/>
        </w:rPr>
        <w:t>J</w:t>
      </w:r>
      <w:r w:rsidRPr="007B7075">
        <w:rPr>
          <w:rFonts w:ascii="Arial" w:hAnsi="Arial" w:cs="Arial"/>
          <w:sz w:val="22"/>
          <w:szCs w:val="22"/>
        </w:rPr>
        <w:t xml:space="preserve"> (2012) Sediment, nutrient, and pesticide loads: Great Barrier Reef Catchment Loads Monitoring Program 2009–2010. Department of Science, Information Technology, Innovation and the Arts, Brisbane</w:t>
      </w:r>
    </w:p>
    <w:p w14:paraId="5137FD77" w14:textId="77777777" w:rsidR="009F400E" w:rsidRDefault="009F400E" w:rsidP="009F400E">
      <w:pPr>
        <w:ind w:left="284" w:hanging="284"/>
        <w:rPr>
          <w:rFonts w:cs="Arial"/>
        </w:rPr>
      </w:pPr>
      <w:r w:rsidRPr="007B7075">
        <w:rPr>
          <w:rFonts w:cs="Arial"/>
        </w:rPr>
        <w:t>Turner RDR, Huggins R, Wallace R, Smith RA, Vardy S</w:t>
      </w:r>
      <w:r w:rsidR="005167C9">
        <w:rPr>
          <w:rFonts w:cs="Arial"/>
        </w:rPr>
        <w:t>,</w:t>
      </w:r>
      <w:r w:rsidRPr="007B7075">
        <w:rPr>
          <w:rFonts w:cs="Arial"/>
        </w:rPr>
        <w:t xml:space="preserve"> Warne MStJ (2013) Total suspended solids, nutrient and pesticide loads (2010–2011) for rivers that discharge to the Great Barrier Reef: Great Barrier Reef Catchment Loads Monitoring Program 2010–2011. </w:t>
      </w:r>
      <w:proofErr w:type="gramStart"/>
      <w:r w:rsidRPr="007B7075">
        <w:rPr>
          <w:rFonts w:cs="Arial"/>
        </w:rPr>
        <w:t>Department of Science, Information Technology, Innovation and the Arts, Brisbane.</w:t>
      </w:r>
      <w:proofErr w:type="gramEnd"/>
      <w:r w:rsidRPr="007B7075">
        <w:rPr>
          <w:rFonts w:cs="Arial"/>
        </w:rPr>
        <w:t xml:space="preserve"> </w:t>
      </w:r>
    </w:p>
    <w:p w14:paraId="6C03B0CB" w14:textId="77777777" w:rsidR="009F400E" w:rsidRPr="004806D6" w:rsidRDefault="009F400E" w:rsidP="009F400E">
      <w:pPr>
        <w:pStyle w:val="Reportrefs"/>
        <w:spacing w:after="120"/>
        <w:ind w:left="284" w:hanging="284"/>
        <w:rPr>
          <w:rFonts w:cs="Arial"/>
          <w:sz w:val="22"/>
          <w:szCs w:val="22"/>
        </w:rPr>
      </w:pPr>
      <w:r w:rsidRPr="004806D6">
        <w:rPr>
          <w:rFonts w:eastAsia="MS Mincho" w:cs="Arial"/>
          <w:sz w:val="22"/>
          <w:szCs w:val="22"/>
        </w:rPr>
        <w:t xml:space="preserve">Uthicke S, Thompson A, Schaffelke B (2010) </w:t>
      </w:r>
      <w:r w:rsidRPr="004806D6">
        <w:rPr>
          <w:rFonts w:cs="Arial"/>
          <w:sz w:val="22"/>
          <w:szCs w:val="22"/>
        </w:rPr>
        <w:t>Effectiveness of benthic foraminiferal and coral assemblages as water quality indicators on inshore reefs of the Great Barrier Reef, Australia. Coral Reefs 29:209-225</w:t>
      </w:r>
    </w:p>
    <w:p w14:paraId="64A25188" w14:textId="77777777" w:rsidR="009F400E" w:rsidRPr="00E920C3" w:rsidRDefault="009F400E" w:rsidP="009F400E">
      <w:pPr>
        <w:pStyle w:val="Reportrefs"/>
        <w:spacing w:after="120"/>
        <w:ind w:left="284" w:hanging="284"/>
        <w:rPr>
          <w:rFonts w:cs="Arial"/>
          <w:sz w:val="22"/>
          <w:szCs w:val="22"/>
        </w:rPr>
      </w:pPr>
      <w:proofErr w:type="gramStart"/>
      <w:r w:rsidRPr="00E920C3">
        <w:rPr>
          <w:rFonts w:cs="Arial"/>
          <w:sz w:val="22"/>
          <w:szCs w:val="22"/>
        </w:rPr>
        <w:t>van</w:t>
      </w:r>
      <w:proofErr w:type="gramEnd"/>
      <w:r w:rsidRPr="00E920C3">
        <w:rPr>
          <w:rFonts w:cs="Arial"/>
          <w:sz w:val="22"/>
          <w:szCs w:val="22"/>
        </w:rPr>
        <w:t xml:space="preserve"> Dam JW, Negri AP, Uthicke S, Muller JF (2011) Chemical pollution on coral reefs: exposure and ecological effects. In: Sanchez-Bayo F, van den Brink PJ, Mann RM (Eds.), Ecological Impact of Toxic Chemicals. Bentham Science Publishers Ltd.  </w:t>
      </w:r>
    </w:p>
    <w:p w14:paraId="421EBCED" w14:textId="77777777" w:rsidR="009F400E" w:rsidRPr="00E920C3" w:rsidRDefault="009F400E" w:rsidP="009F400E">
      <w:pPr>
        <w:pStyle w:val="Reportrefs"/>
        <w:spacing w:after="120"/>
        <w:ind w:left="284" w:hanging="284"/>
        <w:rPr>
          <w:rFonts w:cs="Arial"/>
          <w:sz w:val="22"/>
          <w:szCs w:val="22"/>
        </w:rPr>
      </w:pPr>
      <w:r w:rsidRPr="00E920C3">
        <w:rPr>
          <w:rFonts w:cs="Arial"/>
          <w:sz w:val="22"/>
          <w:szCs w:val="22"/>
        </w:rPr>
        <w:t>Van Woesik R (1991) Immediate impact of the January 1991 floods on the coral assemblages of the Keppel Islands. Research Publication No. 23, GBRMPA</w:t>
      </w:r>
    </w:p>
    <w:p w14:paraId="3042A6DE" w14:textId="77777777" w:rsidR="009F400E" w:rsidRPr="00E920C3" w:rsidRDefault="009F400E" w:rsidP="009F400E">
      <w:pPr>
        <w:pStyle w:val="Reportrefs"/>
        <w:spacing w:after="120"/>
        <w:ind w:left="284" w:hanging="284"/>
        <w:rPr>
          <w:rFonts w:cs="Arial"/>
          <w:sz w:val="22"/>
          <w:szCs w:val="22"/>
        </w:rPr>
      </w:pPr>
      <w:proofErr w:type="gramStart"/>
      <w:r w:rsidRPr="00E920C3">
        <w:rPr>
          <w:rFonts w:cs="Arial"/>
          <w:sz w:val="22"/>
          <w:szCs w:val="22"/>
        </w:rPr>
        <w:t>van</w:t>
      </w:r>
      <w:proofErr w:type="gramEnd"/>
      <w:r w:rsidRPr="00E920C3">
        <w:rPr>
          <w:rFonts w:cs="Arial"/>
          <w:sz w:val="22"/>
          <w:szCs w:val="22"/>
        </w:rPr>
        <w:t xml:space="preserve"> Woesik R, Done TJ (1997) Coral communities and reef growth in the southern Great Barrier Reef. Coral Reefs 16:103-115</w:t>
      </w:r>
    </w:p>
    <w:p w14:paraId="0808532A" w14:textId="77777777" w:rsidR="009F400E" w:rsidRPr="00E920C3" w:rsidRDefault="009F400E" w:rsidP="009F400E">
      <w:pPr>
        <w:pStyle w:val="Reportrefs"/>
        <w:spacing w:after="120"/>
        <w:ind w:left="284" w:hanging="284"/>
        <w:rPr>
          <w:rFonts w:cs="Arial"/>
          <w:sz w:val="22"/>
          <w:szCs w:val="22"/>
        </w:rPr>
      </w:pPr>
      <w:proofErr w:type="gramStart"/>
      <w:r w:rsidRPr="00E920C3">
        <w:rPr>
          <w:rFonts w:cs="Arial"/>
          <w:sz w:val="22"/>
          <w:szCs w:val="22"/>
        </w:rPr>
        <w:t>van</w:t>
      </w:r>
      <w:proofErr w:type="gramEnd"/>
      <w:r w:rsidRPr="00E920C3">
        <w:rPr>
          <w:rFonts w:cs="Arial"/>
          <w:sz w:val="22"/>
          <w:szCs w:val="22"/>
        </w:rPr>
        <w:t xml:space="preserve"> Woesik R, Tomascik T, Blake S (1999) Coral assemblages and physico-chemical characteristics of the Whitsunday Islands: evidence of recent community changes. Marine and Freshwater Research 50:427-440</w:t>
      </w:r>
    </w:p>
    <w:p w14:paraId="426B34CB" w14:textId="77777777" w:rsidR="005167C9" w:rsidRDefault="009F400E" w:rsidP="009F400E">
      <w:pPr>
        <w:pStyle w:val="Reportrefs"/>
        <w:spacing w:after="120"/>
        <w:ind w:left="284" w:hanging="284"/>
        <w:rPr>
          <w:rFonts w:cs="Arial"/>
          <w:sz w:val="22"/>
          <w:szCs w:val="22"/>
        </w:rPr>
      </w:pPr>
      <w:r w:rsidRPr="00E920C3">
        <w:rPr>
          <w:rFonts w:cs="Arial"/>
          <w:sz w:val="22"/>
          <w:szCs w:val="22"/>
        </w:rPr>
        <w:t>Vega Thurber RL, Burkepile DE, Fuchs C, Shantz AA, McMinds R, Zaneveld JR (2013) Chronic nutrient enrichment increases prevalence and severity of coral disease and bleaching.  Glob</w:t>
      </w:r>
      <w:r w:rsidR="005167C9">
        <w:rPr>
          <w:rFonts w:cs="Arial"/>
          <w:sz w:val="22"/>
          <w:szCs w:val="22"/>
        </w:rPr>
        <w:t>al</w:t>
      </w:r>
      <w:r w:rsidRPr="00E920C3">
        <w:rPr>
          <w:rFonts w:cs="Arial"/>
          <w:sz w:val="22"/>
          <w:szCs w:val="22"/>
        </w:rPr>
        <w:t xml:space="preserve"> Chang</w:t>
      </w:r>
      <w:r w:rsidR="005167C9">
        <w:rPr>
          <w:rFonts w:cs="Arial"/>
          <w:sz w:val="22"/>
          <w:szCs w:val="22"/>
        </w:rPr>
        <w:t>e</w:t>
      </w:r>
      <w:r w:rsidRPr="00E920C3">
        <w:rPr>
          <w:rFonts w:cs="Arial"/>
          <w:sz w:val="22"/>
          <w:szCs w:val="22"/>
        </w:rPr>
        <w:t xml:space="preserve"> Biol</w:t>
      </w:r>
      <w:r w:rsidR="005167C9">
        <w:rPr>
          <w:rFonts w:cs="Arial"/>
          <w:sz w:val="22"/>
          <w:szCs w:val="22"/>
        </w:rPr>
        <w:t>ogy</w:t>
      </w:r>
      <w:r w:rsidRPr="00E920C3">
        <w:rPr>
          <w:rFonts w:cs="Arial"/>
          <w:sz w:val="22"/>
          <w:szCs w:val="22"/>
        </w:rPr>
        <w:t xml:space="preserve"> 2014 Feb; 20(2):544-54</w:t>
      </w:r>
    </w:p>
    <w:p w14:paraId="25D534FA" w14:textId="77777777" w:rsidR="009F400E" w:rsidRPr="00E920C3" w:rsidRDefault="009F400E" w:rsidP="009F400E">
      <w:pPr>
        <w:pStyle w:val="Reportrefs"/>
        <w:spacing w:after="120"/>
        <w:ind w:left="284" w:hanging="284"/>
        <w:rPr>
          <w:rFonts w:cs="Arial"/>
          <w:sz w:val="22"/>
          <w:szCs w:val="22"/>
          <w:lang w:val="en-AU"/>
        </w:rPr>
      </w:pPr>
      <w:r w:rsidRPr="00E920C3">
        <w:rPr>
          <w:rFonts w:cs="Arial"/>
          <w:sz w:val="22"/>
          <w:szCs w:val="22"/>
          <w:lang w:val="en-AU"/>
        </w:rPr>
        <w:t xml:space="preserve">Vega Thurber R, Burkepile DE, Correa AMS, Thurber AR, Shantz AA (2012) Macroalgae decrease growth and alter microbial community structure of the reef-building coral, </w:t>
      </w:r>
      <w:r w:rsidRPr="00E920C3">
        <w:rPr>
          <w:rFonts w:cs="Arial"/>
          <w:i/>
          <w:sz w:val="22"/>
          <w:szCs w:val="22"/>
          <w:lang w:val="en-AU"/>
        </w:rPr>
        <w:t>Porites astreoides</w:t>
      </w:r>
      <w:r w:rsidRPr="00E920C3">
        <w:rPr>
          <w:rFonts w:cs="Arial"/>
          <w:sz w:val="22"/>
          <w:szCs w:val="22"/>
          <w:lang w:val="en-AU"/>
        </w:rPr>
        <w:t>. PLoS ONE 7(9): e44246</w:t>
      </w:r>
    </w:p>
    <w:p w14:paraId="7F5E1D81" w14:textId="77777777" w:rsidR="009F400E" w:rsidRPr="00E920C3" w:rsidRDefault="009F400E" w:rsidP="009F400E">
      <w:pPr>
        <w:pStyle w:val="Reportrefs"/>
        <w:spacing w:after="120"/>
        <w:ind w:left="284" w:hanging="284"/>
        <w:rPr>
          <w:rFonts w:cs="Arial"/>
          <w:sz w:val="22"/>
          <w:szCs w:val="22"/>
        </w:rPr>
      </w:pPr>
      <w:r w:rsidRPr="00E920C3">
        <w:rPr>
          <w:rFonts w:cs="Arial"/>
          <w:sz w:val="22"/>
          <w:szCs w:val="22"/>
        </w:rPr>
        <w:lastRenderedPageBreak/>
        <w:t>Voss JD, Richardson LL (2006) Nutrient enrichment enhances black band disease progression in corals. Coral Reefs 25:569-576</w:t>
      </w:r>
    </w:p>
    <w:p w14:paraId="589ED107" w14:textId="77777777" w:rsidR="009F400E" w:rsidRDefault="009F400E" w:rsidP="009F400E">
      <w:pPr>
        <w:ind w:left="284" w:hanging="284"/>
        <w:rPr>
          <w:rFonts w:cs="Arial"/>
        </w:rPr>
      </w:pPr>
      <w:r w:rsidRPr="007B7075">
        <w:rPr>
          <w:rFonts w:cs="Arial"/>
        </w:rPr>
        <w:t xml:space="preserve">Wallace R, Huggins R, Smith R, Turner R, Vardy S and Warne MStJ </w:t>
      </w:r>
      <w:r w:rsidR="00493E76">
        <w:rPr>
          <w:rFonts w:cs="Arial"/>
        </w:rPr>
        <w:t>(</w:t>
      </w:r>
      <w:r w:rsidRPr="007B7075">
        <w:rPr>
          <w:rFonts w:cs="Arial"/>
        </w:rPr>
        <w:t>2014</w:t>
      </w:r>
      <w:r w:rsidR="00493E76">
        <w:rPr>
          <w:rFonts w:cs="Arial"/>
        </w:rPr>
        <w:t>)</w:t>
      </w:r>
      <w:r w:rsidRPr="007B7075">
        <w:rPr>
          <w:rFonts w:cs="Arial"/>
        </w:rPr>
        <w:t xml:space="preserve"> Total suspended solids, nutrient and pesticide loads (2011–2012) for rivers that discharge to the Great Barrier Reef – Great Barrier Reef Catchment Loads Monitoring Program 2011–2012. </w:t>
      </w:r>
      <w:proofErr w:type="gramStart"/>
      <w:r w:rsidRPr="007B7075">
        <w:rPr>
          <w:rFonts w:cs="Arial"/>
        </w:rPr>
        <w:t>Department of Science, Information Technology, In</w:t>
      </w:r>
      <w:r w:rsidR="002C56B6">
        <w:rPr>
          <w:rFonts w:cs="Arial"/>
        </w:rPr>
        <w:t>novation and the Arts.</w:t>
      </w:r>
      <w:proofErr w:type="gramEnd"/>
      <w:r w:rsidR="002C56B6">
        <w:rPr>
          <w:rFonts w:cs="Arial"/>
        </w:rPr>
        <w:t xml:space="preserve"> Brisbane</w:t>
      </w:r>
    </w:p>
    <w:p w14:paraId="5FC5DA6C" w14:textId="77777777" w:rsidR="009F400E" w:rsidRDefault="009F400E" w:rsidP="009F400E">
      <w:pPr>
        <w:ind w:left="284" w:hanging="284"/>
        <w:rPr>
          <w:rFonts w:cs="Arial"/>
        </w:rPr>
      </w:pPr>
      <w:r w:rsidRPr="007B7075">
        <w:rPr>
          <w:rFonts w:cs="Arial"/>
        </w:rPr>
        <w:t xml:space="preserve">Wallace R, Huggins R, Smith RA, Turner RDR, Garzon-Garcia A and Warne MS J </w:t>
      </w:r>
      <w:r w:rsidR="00493E76">
        <w:rPr>
          <w:rFonts w:cs="Arial"/>
        </w:rPr>
        <w:t>(</w:t>
      </w:r>
      <w:r w:rsidRPr="007B7075">
        <w:rPr>
          <w:rFonts w:cs="Arial"/>
        </w:rPr>
        <w:t>2015</w:t>
      </w:r>
      <w:r w:rsidR="00493E76">
        <w:rPr>
          <w:rFonts w:cs="Arial"/>
        </w:rPr>
        <w:t>)</w:t>
      </w:r>
      <w:r w:rsidRPr="007B7075">
        <w:rPr>
          <w:rFonts w:cs="Arial"/>
        </w:rPr>
        <w:t xml:space="preserve"> Total suspended solids, nutrient and pesticide loads (2012–2013) for rivers that discharge to the Great Barrier Reef – Great Barrier Reef Catchment Loads Monitoring Program 2012–2013. </w:t>
      </w:r>
      <w:proofErr w:type="gramStart"/>
      <w:r w:rsidRPr="007B7075">
        <w:rPr>
          <w:rFonts w:cs="Arial"/>
        </w:rPr>
        <w:t>Department of Science, Information Tech</w:t>
      </w:r>
      <w:r w:rsidR="002C56B6">
        <w:rPr>
          <w:rFonts w:cs="Arial"/>
        </w:rPr>
        <w:t>nology and Innovation.</w:t>
      </w:r>
      <w:proofErr w:type="gramEnd"/>
      <w:r w:rsidR="002C56B6">
        <w:rPr>
          <w:rFonts w:cs="Arial"/>
        </w:rPr>
        <w:t xml:space="preserve"> Brisbane</w:t>
      </w:r>
    </w:p>
    <w:p w14:paraId="44595C1E" w14:textId="77777777" w:rsidR="00CD7A57" w:rsidRPr="0021071D" w:rsidRDefault="00CD7A57" w:rsidP="0021071D">
      <w:pPr>
        <w:ind w:left="284" w:hanging="284"/>
        <w:rPr>
          <w:rFonts w:cs="Arial"/>
          <w:color w:val="222222"/>
          <w:szCs w:val="22"/>
        </w:rPr>
      </w:pPr>
      <w:r w:rsidRPr="0021071D">
        <w:rPr>
          <w:rFonts w:cs="Arial"/>
          <w:color w:val="222222"/>
          <w:szCs w:val="22"/>
        </w:rPr>
        <w:t>Walshe T, MacNeil A, Archer A, Sweatman H, Lawrey E, Bay L, Addison P, Anthony K</w:t>
      </w:r>
      <w:r w:rsidR="002C56B6" w:rsidRPr="0021071D">
        <w:rPr>
          <w:rFonts w:cs="Arial"/>
          <w:color w:val="222222"/>
          <w:szCs w:val="22"/>
        </w:rPr>
        <w:t xml:space="preserve"> (2014)</w:t>
      </w:r>
      <w:r w:rsidRPr="0021071D">
        <w:rPr>
          <w:rFonts w:cs="Arial"/>
          <w:color w:val="222222"/>
          <w:szCs w:val="22"/>
        </w:rPr>
        <w:t xml:space="preserve"> I</w:t>
      </w:r>
      <w:r w:rsidR="002C56B6" w:rsidRPr="0021071D">
        <w:rPr>
          <w:rFonts w:cs="Arial"/>
          <w:color w:val="222222"/>
          <w:szCs w:val="22"/>
        </w:rPr>
        <w:t>ntegrated monitoring, modelling and management of the Great Barrier Reef World Heritage Area – Demonstration case for the Mackay Region. Report to the Department of the Environment 81pp</w:t>
      </w:r>
    </w:p>
    <w:p w14:paraId="332FC08B" w14:textId="77777777" w:rsidR="009F400E" w:rsidRPr="00E920C3" w:rsidRDefault="00CD7A57" w:rsidP="00CD7A57">
      <w:pPr>
        <w:ind w:left="284" w:hanging="284"/>
        <w:rPr>
          <w:rFonts w:eastAsiaTheme="minorHAnsi" w:cs="Arial"/>
          <w:szCs w:val="22"/>
          <w:lang w:val="en-AU"/>
        </w:rPr>
      </w:pPr>
      <w:r w:rsidRPr="00E920C3">
        <w:rPr>
          <w:rFonts w:eastAsiaTheme="minorHAnsi" w:cs="Arial"/>
          <w:szCs w:val="22"/>
          <w:lang w:val="en-AU"/>
        </w:rPr>
        <w:t xml:space="preserve"> </w:t>
      </w:r>
      <w:r w:rsidR="009F400E" w:rsidRPr="00E920C3">
        <w:rPr>
          <w:rFonts w:eastAsiaTheme="minorHAnsi" w:cs="Arial"/>
          <w:szCs w:val="22"/>
          <w:lang w:val="en-AU"/>
        </w:rPr>
        <w:t xml:space="preserve">Waters DK, Carroll C, Ellis R, Hateley L, McCloskey GL, Packett R, Dougall C, Fentie </w:t>
      </w:r>
      <w:r w:rsidR="0021071D">
        <w:rPr>
          <w:rFonts w:eastAsiaTheme="minorHAnsi" w:cs="Arial"/>
          <w:szCs w:val="22"/>
          <w:lang w:val="en-AU"/>
        </w:rPr>
        <w:t xml:space="preserve">B </w:t>
      </w:r>
      <w:r w:rsidR="00493E76">
        <w:rPr>
          <w:rFonts w:eastAsiaTheme="minorHAnsi" w:cs="Arial"/>
          <w:szCs w:val="22"/>
          <w:lang w:val="en-AU"/>
        </w:rPr>
        <w:t>(</w:t>
      </w:r>
      <w:r w:rsidR="009F400E" w:rsidRPr="00E920C3">
        <w:rPr>
          <w:rFonts w:eastAsiaTheme="minorHAnsi" w:cs="Arial"/>
          <w:szCs w:val="22"/>
          <w:lang w:val="en-AU"/>
        </w:rPr>
        <w:t>2014</w:t>
      </w:r>
      <w:r w:rsidR="00493E76">
        <w:rPr>
          <w:rFonts w:eastAsiaTheme="minorHAnsi" w:cs="Arial"/>
          <w:szCs w:val="22"/>
          <w:lang w:val="en-AU"/>
        </w:rPr>
        <w:t>)</w:t>
      </w:r>
      <w:r w:rsidR="009F400E" w:rsidRPr="00E920C3">
        <w:rPr>
          <w:rFonts w:eastAsiaTheme="minorHAnsi" w:cs="Arial"/>
          <w:szCs w:val="22"/>
          <w:lang w:val="en-AU"/>
        </w:rPr>
        <w:t xml:space="preserve"> </w:t>
      </w:r>
      <w:r w:rsidR="009F400E" w:rsidRPr="00E920C3">
        <w:rPr>
          <w:rFonts w:eastAsiaTheme="minorHAnsi" w:cs="Arial"/>
          <w:i/>
          <w:iCs/>
          <w:szCs w:val="22"/>
          <w:lang w:val="en-AU"/>
        </w:rPr>
        <w:t>Modelling reductions of pollutant loads due to improved management practices in the Great Barrier Reef catchments – Whole of GBR, Technical Report, Volume 1</w:t>
      </w:r>
      <w:r w:rsidR="009F400E" w:rsidRPr="00E920C3">
        <w:rPr>
          <w:rFonts w:eastAsiaTheme="minorHAnsi" w:cs="Arial"/>
          <w:szCs w:val="22"/>
          <w:lang w:val="en-AU"/>
        </w:rPr>
        <w:t xml:space="preserve">, Queensland Department of Natural Resources and Mines, Toowoomba, Queensland (ISBN: 978-1-7423-0999) </w:t>
      </w:r>
    </w:p>
    <w:p w14:paraId="49FA5F93" w14:textId="77777777" w:rsidR="009F400E" w:rsidRPr="00E920C3" w:rsidRDefault="009F400E" w:rsidP="009F400E">
      <w:pPr>
        <w:pStyle w:val="Reportrefs"/>
        <w:spacing w:after="120"/>
        <w:ind w:left="284" w:hanging="284"/>
        <w:rPr>
          <w:rFonts w:eastAsiaTheme="minorHAnsi" w:cs="Arial"/>
          <w:sz w:val="22"/>
          <w:szCs w:val="22"/>
        </w:rPr>
      </w:pPr>
      <w:r w:rsidRPr="00E920C3">
        <w:rPr>
          <w:rFonts w:eastAsiaTheme="minorHAnsi" w:cs="Arial"/>
          <w:sz w:val="22"/>
          <w:szCs w:val="22"/>
          <w:lang w:val="en-AU"/>
        </w:rPr>
        <w:t xml:space="preserve">Wiedenmann J, D'Angelo C, Smith EG, Hunt AN, Legiret FE, Postle AD, Achterberg EP (2013) </w:t>
      </w:r>
      <w:r w:rsidRPr="00E920C3">
        <w:rPr>
          <w:rFonts w:eastAsiaTheme="minorHAnsi" w:cs="Arial"/>
          <w:sz w:val="22"/>
          <w:szCs w:val="22"/>
        </w:rPr>
        <w:t xml:space="preserve">Nutrient enrichment can increase the susceptibility of reef corals to bleaching. </w:t>
      </w:r>
      <w:proofErr w:type="gramStart"/>
      <w:r w:rsidRPr="00E920C3">
        <w:rPr>
          <w:rFonts w:eastAsiaTheme="minorHAnsi" w:cs="Arial"/>
          <w:sz w:val="22"/>
          <w:szCs w:val="22"/>
        </w:rPr>
        <w:t>Nature Climate.</w:t>
      </w:r>
      <w:proofErr w:type="gramEnd"/>
      <w:r w:rsidRPr="00E920C3">
        <w:rPr>
          <w:rFonts w:eastAsiaTheme="minorHAnsi" w:cs="Arial"/>
          <w:sz w:val="22"/>
          <w:szCs w:val="22"/>
        </w:rPr>
        <w:t xml:space="preserve"> Change 3:160-164</w:t>
      </w:r>
    </w:p>
    <w:p w14:paraId="25316465" w14:textId="77777777" w:rsidR="009F400E" w:rsidRPr="00E920C3" w:rsidRDefault="009F400E" w:rsidP="009F400E">
      <w:pPr>
        <w:pStyle w:val="Reportrefs"/>
        <w:spacing w:after="120"/>
        <w:ind w:left="284" w:hanging="284"/>
        <w:rPr>
          <w:rFonts w:cs="Arial"/>
          <w:sz w:val="22"/>
          <w:szCs w:val="22"/>
        </w:rPr>
      </w:pPr>
      <w:r w:rsidRPr="00E920C3">
        <w:rPr>
          <w:rFonts w:cs="Arial"/>
          <w:sz w:val="22"/>
          <w:szCs w:val="22"/>
        </w:rPr>
        <w:t>Wismer S, Hoey AS, Bellwood DR (2009) Cross-shelf benthic community structure on the Great Barrier Reef: relationships between macroalgal cover and herbivore biomass. Marine Ecology Progress Series 376:45-54</w:t>
      </w:r>
    </w:p>
    <w:p w14:paraId="72E52FEF" w14:textId="77777777" w:rsidR="009F400E" w:rsidRPr="00E920C3" w:rsidRDefault="009F400E" w:rsidP="009F400E">
      <w:pPr>
        <w:pStyle w:val="Reportrefs"/>
        <w:spacing w:after="120"/>
        <w:ind w:left="284" w:hanging="284"/>
        <w:rPr>
          <w:rFonts w:cs="Arial"/>
          <w:sz w:val="22"/>
          <w:szCs w:val="22"/>
          <w:lang w:val="en-US"/>
        </w:rPr>
      </w:pPr>
      <w:r w:rsidRPr="00E920C3">
        <w:rPr>
          <w:rFonts w:cs="Arial"/>
          <w:sz w:val="22"/>
          <w:szCs w:val="22"/>
          <w:lang w:val="en-US"/>
        </w:rPr>
        <w:t>Wolanski E, Fabricius KE, Cooper TF, Humphrey C (2008) Wet season fine sediment dynamics on the inner shelf of the Great Barrier Reef. Estuarine, Coastal and Shelf Science 77:755-762</w:t>
      </w:r>
    </w:p>
    <w:p w14:paraId="5D6CDB55" w14:textId="77777777" w:rsidR="009F400E" w:rsidRPr="00E920C3" w:rsidRDefault="009F400E" w:rsidP="009F400E">
      <w:pPr>
        <w:ind w:left="284" w:hanging="284"/>
        <w:rPr>
          <w:rFonts w:cs="Arial"/>
          <w:szCs w:val="22"/>
          <w:lang w:val="en-US"/>
        </w:rPr>
      </w:pPr>
      <w:r w:rsidRPr="00E920C3">
        <w:rPr>
          <w:szCs w:val="22"/>
        </w:rPr>
        <w:t>Wood SN (2006) Generalized Additive Models: An Introduction with R. Chapman &amp; Hall/CRC</w:t>
      </w:r>
    </w:p>
    <w:p w14:paraId="3427414B" w14:textId="77777777" w:rsidR="009F400E" w:rsidRDefault="009F400E" w:rsidP="009F400E">
      <w:pPr>
        <w:pStyle w:val="Reportrefs"/>
        <w:spacing w:after="120"/>
        <w:ind w:left="284" w:hanging="284"/>
        <w:rPr>
          <w:rFonts w:cs="Arial"/>
          <w:sz w:val="22"/>
          <w:szCs w:val="22"/>
          <w:lang w:eastAsia="en-AU"/>
        </w:rPr>
      </w:pPr>
      <w:r w:rsidRPr="00E920C3">
        <w:rPr>
          <w:rFonts w:cs="Arial"/>
          <w:sz w:val="22"/>
          <w:szCs w:val="22"/>
          <w:lang w:eastAsia="en-AU"/>
        </w:rPr>
        <w:t xml:space="preserve">Wooldridge S, Done T (2004) </w:t>
      </w:r>
      <w:proofErr w:type="gramStart"/>
      <w:r w:rsidRPr="00E920C3">
        <w:rPr>
          <w:rFonts w:cs="Arial"/>
          <w:sz w:val="22"/>
          <w:szCs w:val="22"/>
          <w:lang w:eastAsia="en-AU"/>
        </w:rPr>
        <w:t>Learning</w:t>
      </w:r>
      <w:proofErr w:type="gramEnd"/>
      <w:r w:rsidRPr="00E920C3">
        <w:rPr>
          <w:rFonts w:cs="Arial"/>
          <w:sz w:val="22"/>
          <w:szCs w:val="22"/>
          <w:lang w:eastAsia="en-AU"/>
        </w:rPr>
        <w:t xml:space="preserve"> to predict large-scale coral bleaching from past events: A Bayesian approach using remotely sensed data, in-situ data, and environmental proxies. Coral Reefs 23:96–108</w:t>
      </w:r>
    </w:p>
    <w:p w14:paraId="6100A5EC" w14:textId="77777777" w:rsidR="00BD5570" w:rsidRPr="00E920C3" w:rsidRDefault="00BD5570" w:rsidP="009F400E">
      <w:pPr>
        <w:pStyle w:val="Reportrefs"/>
        <w:spacing w:after="120"/>
        <w:ind w:left="284" w:hanging="284"/>
        <w:rPr>
          <w:rFonts w:cs="Arial"/>
          <w:sz w:val="22"/>
          <w:szCs w:val="22"/>
          <w:lang w:eastAsia="en-AU"/>
        </w:rPr>
      </w:pPr>
      <w:r>
        <w:rPr>
          <w:rFonts w:cs="Arial"/>
          <w:sz w:val="22"/>
          <w:szCs w:val="22"/>
          <w:lang w:eastAsia="en-AU"/>
        </w:rPr>
        <w:t>Wooldridge S, Brodie JE (2015) Environmental triggers for primary outbreaks of crown-of-thorns starfish on the Great Barrier Reef, Australia</w:t>
      </w:r>
      <w:r w:rsidR="000B42CD">
        <w:rPr>
          <w:rFonts w:cs="Arial"/>
          <w:sz w:val="22"/>
          <w:szCs w:val="22"/>
          <w:lang w:eastAsia="en-AU"/>
        </w:rPr>
        <w:t xml:space="preserve">. </w:t>
      </w:r>
      <w:proofErr w:type="gramStart"/>
      <w:r w:rsidR="000B42CD">
        <w:rPr>
          <w:rFonts w:cs="Arial"/>
          <w:sz w:val="22"/>
          <w:szCs w:val="22"/>
          <w:lang w:eastAsia="en-AU"/>
        </w:rPr>
        <w:t>Marine Pollution Bulletin.</w:t>
      </w:r>
      <w:proofErr w:type="gramEnd"/>
      <w:r w:rsidR="000B42CD">
        <w:rPr>
          <w:rFonts w:cs="Arial"/>
          <w:sz w:val="22"/>
          <w:szCs w:val="22"/>
          <w:lang w:eastAsia="en-AU"/>
        </w:rPr>
        <w:t xml:space="preserve"> http://dx.doi.org/10.1016/j.marpollbul.2015.08.049</w:t>
      </w:r>
    </w:p>
    <w:p w14:paraId="70EA3A1B" w14:textId="77777777" w:rsidR="009E3F08" w:rsidRPr="00920495" w:rsidRDefault="009E3F08" w:rsidP="009E3F08">
      <w:pPr>
        <w:rPr>
          <w:color w:val="0070C0"/>
        </w:rPr>
      </w:pPr>
    </w:p>
    <w:p w14:paraId="64C402CF" w14:textId="77777777" w:rsidR="007E5B6D" w:rsidRDefault="007E5B6D">
      <w:pPr>
        <w:jc w:val="left"/>
      </w:pPr>
      <w:r>
        <w:br w:type="page"/>
      </w:r>
    </w:p>
    <w:bookmarkEnd w:id="408"/>
    <w:bookmarkEnd w:id="409"/>
    <w:p w14:paraId="4EACB9B5" w14:textId="77777777" w:rsidR="006D709F" w:rsidRDefault="006D709F">
      <w:pPr>
        <w:rPr>
          <w:b/>
          <w:color w:val="0070C0"/>
          <w:kern w:val="28"/>
          <w:sz w:val="36"/>
        </w:rPr>
      </w:pPr>
    </w:p>
    <w:p w14:paraId="535D2DEB" w14:textId="77777777" w:rsidR="009E3F08" w:rsidRPr="00B23AD6" w:rsidRDefault="009E3F08" w:rsidP="009E3F08">
      <w:pPr>
        <w:spacing w:after="5280"/>
        <w:rPr>
          <w:b/>
          <w:color w:val="0070C0"/>
          <w:kern w:val="28"/>
          <w:sz w:val="36"/>
        </w:rPr>
      </w:pPr>
    </w:p>
    <w:p w14:paraId="38B7700E" w14:textId="77777777" w:rsidR="008A1A24" w:rsidRPr="00B23AD6" w:rsidRDefault="008A1A24" w:rsidP="006D0A76">
      <w:pPr>
        <w:pStyle w:val="Heading1"/>
        <w:numPr>
          <w:ilvl w:val="0"/>
          <w:numId w:val="0"/>
        </w:numPr>
        <w:ind w:left="360"/>
        <w:sectPr w:rsidR="008A1A24" w:rsidRPr="00B23AD6" w:rsidSect="00E868B5">
          <w:footerReference w:type="default" r:id="rId68"/>
          <w:pgSz w:w="11907" w:h="16840" w:code="9"/>
          <w:pgMar w:top="1440" w:right="1134" w:bottom="1134" w:left="1134" w:header="709" w:footer="709" w:gutter="0"/>
          <w:pgNumType w:start="1"/>
          <w:cols w:space="708"/>
          <w:docGrid w:linePitch="360"/>
        </w:sectPr>
      </w:pPr>
      <w:bookmarkStart w:id="410" w:name="_Toc374701392"/>
      <w:bookmarkStart w:id="411" w:name="_Toc437424461"/>
      <w:bookmarkStart w:id="412" w:name="_Toc437424585"/>
      <w:bookmarkStart w:id="413" w:name="_Toc437432514"/>
      <w:bookmarkStart w:id="414" w:name="_Toc437432587"/>
      <w:bookmarkStart w:id="415" w:name="_Toc460490682"/>
      <w:bookmarkEnd w:id="402"/>
      <w:r w:rsidRPr="00B23AD6">
        <w:t xml:space="preserve">Appendix </w:t>
      </w:r>
      <w:r w:rsidR="000D268E">
        <w:t>1</w:t>
      </w:r>
      <w:r w:rsidRPr="00B23AD6">
        <w:t>: Additional Informatio</w:t>
      </w:r>
      <w:bookmarkEnd w:id="410"/>
      <w:bookmarkEnd w:id="411"/>
      <w:bookmarkEnd w:id="412"/>
      <w:bookmarkEnd w:id="413"/>
      <w:bookmarkEnd w:id="414"/>
      <w:r w:rsidR="0063376B">
        <w:t>n</w:t>
      </w:r>
      <w:bookmarkEnd w:id="415"/>
    </w:p>
    <w:p w14:paraId="7052A133" w14:textId="77777777" w:rsidR="00D05896" w:rsidRPr="00B202AC" w:rsidRDefault="0063376B" w:rsidP="0063376B">
      <w:pPr>
        <w:pStyle w:val="Heading7"/>
      </w:pPr>
      <w:bookmarkStart w:id="416" w:name="_Ref460423784"/>
      <w:bookmarkStart w:id="417" w:name="_Toc430267650"/>
      <w:bookmarkStart w:id="418" w:name="_Toc437424462"/>
      <w:bookmarkStart w:id="419" w:name="_Toc437424586"/>
      <w:bookmarkStart w:id="420" w:name="_Toc437432515"/>
      <w:bookmarkStart w:id="421" w:name="_Toc460491683"/>
      <w:r>
        <w:lastRenderedPageBreak/>
        <w:t xml:space="preserve">Table A </w:t>
      </w:r>
      <w:r>
        <w:fldChar w:fldCharType="begin"/>
      </w:r>
      <w:r>
        <w:instrText xml:space="preserve"> SEQ Table_A \* ARABIC </w:instrText>
      </w:r>
      <w:r>
        <w:fldChar w:fldCharType="separate"/>
      </w:r>
      <w:r w:rsidR="00B61881">
        <w:rPr>
          <w:noProof/>
        </w:rPr>
        <w:t>1</w:t>
      </w:r>
      <w:r>
        <w:fldChar w:fldCharType="end"/>
      </w:r>
      <w:bookmarkEnd w:id="416"/>
      <w:r>
        <w:t>:</w:t>
      </w:r>
      <w:r w:rsidR="006E3C16">
        <w:t xml:space="preserve"> </w:t>
      </w:r>
      <w:r w:rsidR="006E3C16">
        <w:rPr>
          <w:rStyle w:val="IntenseReference"/>
          <w:rFonts w:eastAsia="SimSun"/>
          <w:bCs w:val="0"/>
          <w:color w:val="auto"/>
          <w:szCs w:val="24"/>
        </w:rPr>
        <w:t>A</w:t>
      </w:r>
      <w:r w:rsidR="008A1A24" w:rsidRPr="00D05896">
        <w:rPr>
          <w:rStyle w:val="IntenseReference"/>
          <w:rFonts w:eastAsia="SimSun"/>
          <w:bCs w:val="0"/>
          <w:color w:val="auto"/>
          <w:szCs w:val="24"/>
        </w:rPr>
        <w:t>nnual freshwater discharge for the major Reef Catchments</w:t>
      </w:r>
      <w:bookmarkStart w:id="422" w:name="_Toc374701574"/>
      <w:bookmarkEnd w:id="417"/>
      <w:bookmarkEnd w:id="418"/>
      <w:bookmarkEnd w:id="419"/>
      <w:bookmarkEnd w:id="420"/>
      <w:bookmarkEnd w:id="421"/>
    </w:p>
    <w:tbl>
      <w:tblPr>
        <w:tblW w:w="0" w:type="auto"/>
        <w:tblLayout w:type="fixed"/>
        <w:tblLook w:val="04A0" w:firstRow="1" w:lastRow="0" w:firstColumn="1" w:lastColumn="0" w:noHBand="0" w:noVBand="1"/>
        <w:tblCaption w:val="Table A1 1: Annual freshwater discharge for the major Reef Catchments"/>
        <w:tblDescription w:val="Table A1 1: Annual freshwater discharge for the major Reef Catchments"/>
      </w:tblPr>
      <w:tblGrid>
        <w:gridCol w:w="1295"/>
        <w:gridCol w:w="2215"/>
        <w:gridCol w:w="851"/>
        <w:gridCol w:w="633"/>
        <w:gridCol w:w="633"/>
        <w:gridCol w:w="633"/>
        <w:gridCol w:w="633"/>
        <w:gridCol w:w="633"/>
        <w:gridCol w:w="633"/>
        <w:gridCol w:w="633"/>
        <w:gridCol w:w="634"/>
        <w:gridCol w:w="633"/>
        <w:gridCol w:w="633"/>
        <w:gridCol w:w="633"/>
        <w:gridCol w:w="633"/>
        <w:gridCol w:w="633"/>
        <w:gridCol w:w="633"/>
        <w:gridCol w:w="634"/>
      </w:tblGrid>
      <w:tr w:rsidR="003E306B" w14:paraId="42B2D25A" w14:textId="77777777" w:rsidTr="003E306B">
        <w:trPr>
          <w:tblHeader/>
        </w:trPr>
        <w:tc>
          <w:tcPr>
            <w:tcW w:w="129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2CFF12BF" w14:textId="77777777" w:rsidR="003E306B" w:rsidRDefault="003E306B" w:rsidP="003E78FD">
            <w:r>
              <w:rPr>
                <w:rFonts w:ascii="Arial Narrow Bold" w:hAnsi="Arial Narrow Bold" w:cs="Arial Narrow Bold"/>
                <w:color w:val="000000"/>
                <w:sz w:val="16"/>
              </w:rPr>
              <w:t>Region</w:t>
            </w:r>
          </w:p>
        </w:tc>
        <w:tc>
          <w:tcPr>
            <w:tcW w:w="221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507EEE8B" w14:textId="77777777" w:rsidR="003E306B" w:rsidRDefault="003E306B" w:rsidP="003E78FD">
            <w:r>
              <w:rPr>
                <w:rFonts w:ascii="Arial Narrow Bold" w:hAnsi="Arial Narrow Bold" w:cs="Arial Narrow Bold"/>
                <w:color w:val="000000"/>
                <w:sz w:val="16"/>
              </w:rPr>
              <w:t>River</w:t>
            </w:r>
          </w:p>
        </w:tc>
        <w:tc>
          <w:tcPr>
            <w:tcW w:w="851"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30923D70" w14:textId="77777777" w:rsidR="003E306B" w:rsidRDefault="003E306B" w:rsidP="003E78FD">
            <w:r>
              <w:rPr>
                <w:rFonts w:ascii="Arial Narrow Bold" w:hAnsi="Arial Narrow Bold" w:cs="Arial Narrow Bold"/>
                <w:color w:val="000000"/>
                <w:sz w:val="16"/>
              </w:rPr>
              <w:t>Median</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754BBD96" w14:textId="77777777" w:rsidR="003E306B" w:rsidRDefault="003E306B" w:rsidP="003E78FD">
            <w:r>
              <w:rPr>
                <w:rFonts w:ascii="Arial Narrow Bold" w:hAnsi="Arial Narrow Bold" w:cs="Arial Narrow Bold"/>
                <w:color w:val="000000"/>
                <w:sz w:val="16"/>
              </w:rPr>
              <w:t>2001</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75B523C4" w14:textId="77777777" w:rsidR="003E306B" w:rsidRDefault="003E306B" w:rsidP="003E78FD">
            <w:r>
              <w:rPr>
                <w:rFonts w:ascii="Arial Narrow Bold" w:hAnsi="Arial Narrow Bold" w:cs="Arial Narrow Bold"/>
                <w:color w:val="000000"/>
                <w:sz w:val="16"/>
              </w:rPr>
              <w:t>2002</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412A1535" w14:textId="77777777" w:rsidR="003E306B" w:rsidRDefault="003E306B" w:rsidP="003E78FD">
            <w:r>
              <w:rPr>
                <w:rFonts w:ascii="Arial Narrow Bold" w:hAnsi="Arial Narrow Bold" w:cs="Arial Narrow Bold"/>
                <w:color w:val="000000"/>
                <w:sz w:val="16"/>
              </w:rPr>
              <w:t>2003</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067C679A" w14:textId="77777777" w:rsidR="003E306B" w:rsidRDefault="003E306B" w:rsidP="003E78FD">
            <w:r>
              <w:rPr>
                <w:rFonts w:ascii="Arial Narrow Bold" w:hAnsi="Arial Narrow Bold" w:cs="Arial Narrow Bold"/>
                <w:color w:val="000000"/>
                <w:sz w:val="16"/>
              </w:rPr>
              <w:t>2004</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6D9F2E26" w14:textId="77777777" w:rsidR="003E306B" w:rsidRDefault="003E306B" w:rsidP="003E78FD">
            <w:r>
              <w:rPr>
                <w:rFonts w:ascii="Arial Narrow Bold" w:hAnsi="Arial Narrow Bold" w:cs="Arial Narrow Bold"/>
                <w:color w:val="000000"/>
                <w:sz w:val="16"/>
              </w:rPr>
              <w:t>2005</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0EBA5248" w14:textId="77777777" w:rsidR="003E306B" w:rsidRDefault="003E306B" w:rsidP="003E78FD">
            <w:r>
              <w:rPr>
                <w:rFonts w:ascii="Arial Narrow Bold" w:hAnsi="Arial Narrow Bold" w:cs="Arial Narrow Bold"/>
                <w:color w:val="000000"/>
                <w:sz w:val="16"/>
              </w:rPr>
              <w:t>2006</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CF34BFB" w14:textId="77777777" w:rsidR="003E306B" w:rsidRDefault="003E306B" w:rsidP="003E78FD">
            <w:r>
              <w:rPr>
                <w:rFonts w:ascii="Arial Narrow Bold" w:hAnsi="Arial Narrow Bold" w:cs="Arial Narrow Bold"/>
                <w:color w:val="000000"/>
                <w:sz w:val="16"/>
              </w:rPr>
              <w:t>2007</w:t>
            </w:r>
          </w:p>
        </w:tc>
        <w:tc>
          <w:tcPr>
            <w:tcW w:w="634"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3CB69C06" w14:textId="77777777" w:rsidR="003E306B" w:rsidRDefault="003E306B" w:rsidP="003E78FD">
            <w:r>
              <w:rPr>
                <w:rFonts w:ascii="Arial Narrow Bold" w:hAnsi="Arial Narrow Bold" w:cs="Arial Narrow Bold"/>
                <w:color w:val="000000"/>
                <w:sz w:val="16"/>
              </w:rPr>
              <w:t>2008</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448C62BA" w14:textId="77777777" w:rsidR="003E306B" w:rsidRDefault="003E306B" w:rsidP="003E78FD">
            <w:r>
              <w:rPr>
                <w:rFonts w:ascii="Arial Narrow Bold" w:hAnsi="Arial Narrow Bold" w:cs="Arial Narrow Bold"/>
                <w:color w:val="000000"/>
                <w:sz w:val="16"/>
              </w:rPr>
              <w:t>2009</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58B45D86" w14:textId="77777777" w:rsidR="003E306B" w:rsidRDefault="003E306B" w:rsidP="003E78FD">
            <w:r>
              <w:rPr>
                <w:rFonts w:ascii="Arial Narrow Bold" w:hAnsi="Arial Narrow Bold" w:cs="Arial Narrow Bold"/>
                <w:color w:val="000000"/>
                <w:sz w:val="16"/>
              </w:rPr>
              <w:t>2010</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A74C35C" w14:textId="77777777" w:rsidR="003E306B" w:rsidRDefault="003E306B" w:rsidP="003E78FD">
            <w:r>
              <w:rPr>
                <w:rFonts w:ascii="Arial Narrow Bold" w:hAnsi="Arial Narrow Bold" w:cs="Arial Narrow Bold"/>
                <w:color w:val="000000"/>
                <w:sz w:val="16"/>
              </w:rPr>
              <w:t>2011</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0C77668F" w14:textId="77777777" w:rsidR="003E306B" w:rsidRDefault="003E306B" w:rsidP="003E78FD">
            <w:r>
              <w:rPr>
                <w:rFonts w:ascii="Arial Narrow Bold" w:hAnsi="Arial Narrow Bold" w:cs="Arial Narrow Bold"/>
                <w:color w:val="000000"/>
                <w:sz w:val="16"/>
              </w:rPr>
              <w:t>2012</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5BA63006" w14:textId="77777777" w:rsidR="003E306B" w:rsidRDefault="003E306B" w:rsidP="003E78FD">
            <w:r>
              <w:rPr>
                <w:rFonts w:ascii="Arial Narrow Bold" w:hAnsi="Arial Narrow Bold" w:cs="Arial Narrow Bold"/>
                <w:color w:val="000000"/>
                <w:sz w:val="16"/>
              </w:rPr>
              <w:t>2013</w:t>
            </w:r>
          </w:p>
        </w:tc>
        <w:tc>
          <w:tcPr>
            <w:tcW w:w="633"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8D393D" w14:textId="77777777" w:rsidR="003E306B" w:rsidRDefault="003E306B" w:rsidP="003E78FD">
            <w:r>
              <w:rPr>
                <w:rFonts w:ascii="Arial Narrow Bold" w:hAnsi="Arial Narrow Bold" w:cs="Arial Narrow Bold"/>
                <w:color w:val="000000"/>
                <w:sz w:val="16"/>
              </w:rPr>
              <w:t>2014</w:t>
            </w:r>
          </w:p>
        </w:tc>
        <w:tc>
          <w:tcPr>
            <w:tcW w:w="634"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71D99194" w14:textId="77777777" w:rsidR="003E306B" w:rsidRDefault="003E306B" w:rsidP="003E78FD">
            <w:r>
              <w:rPr>
                <w:rFonts w:ascii="Arial Narrow Bold" w:hAnsi="Arial Narrow Bold" w:cs="Arial Narrow Bold"/>
                <w:color w:val="000000"/>
                <w:sz w:val="16"/>
              </w:rPr>
              <w:t>2015</w:t>
            </w:r>
          </w:p>
        </w:tc>
      </w:tr>
      <w:tr w:rsidR="003E306B" w14:paraId="3F097ABD" w14:textId="77777777" w:rsidTr="003E306B">
        <w:tc>
          <w:tcPr>
            <w:tcW w:w="12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13C9CA3" w14:textId="77777777" w:rsidR="003E306B" w:rsidRDefault="003E306B" w:rsidP="003E78FD">
            <w:r>
              <w:rPr>
                <w:rFonts w:ascii="Arial Narrow" w:hAnsi="Arial Narrow" w:cs="Arial Narrow"/>
                <w:color w:val="000000"/>
                <w:sz w:val="16"/>
              </w:rPr>
              <w:t>Wet Tropics</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D52002A" w14:textId="77777777" w:rsidR="003E306B" w:rsidRDefault="003E306B" w:rsidP="003E78FD">
            <w:r>
              <w:rPr>
                <w:rFonts w:ascii="Arial Narrow" w:hAnsi="Arial Narrow" w:cs="Arial Narrow"/>
                <w:color w:val="000000"/>
                <w:sz w:val="16"/>
              </w:rPr>
              <w:t>Daintree River (108002A)</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DDD3B1F" w14:textId="77777777" w:rsidR="003E306B" w:rsidRDefault="003E306B" w:rsidP="003E78FD">
            <w:r>
              <w:rPr>
                <w:rFonts w:ascii="Arial Narrow" w:hAnsi="Arial Narrow" w:cs="Arial Narrow"/>
                <w:color w:val="000000"/>
                <w:sz w:val="16"/>
              </w:rPr>
              <w:t xml:space="preserve"> 727872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B321BCF" w14:textId="77777777" w:rsidR="003E306B" w:rsidRDefault="003E306B" w:rsidP="003E78FD">
            <w:r>
              <w:rPr>
                <w:rFonts w:ascii="Arial Narrow" w:hAnsi="Arial Narrow" w:cs="Arial Narrow"/>
                <w:color w:val="000000"/>
                <w:sz w:val="16"/>
              </w:rPr>
              <w:t>1.4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C619E4E" w14:textId="77777777" w:rsidR="003E306B" w:rsidRDefault="003E306B" w:rsidP="003E78FD">
            <w:r>
              <w:rPr>
                <w:rFonts w:ascii="Arial Narrow" w:hAnsi="Arial Narrow" w:cs="Arial Narrow"/>
                <w:color w:val="000000"/>
                <w:sz w:val="16"/>
              </w:rPr>
              <w:t>0.1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802E278" w14:textId="77777777" w:rsidR="003E306B" w:rsidRDefault="003E306B" w:rsidP="003E78FD">
            <w:r>
              <w:rPr>
                <w:rFonts w:ascii="Arial Narrow" w:hAnsi="Arial Narrow" w:cs="Arial Narrow"/>
                <w:color w:val="000000"/>
                <w:sz w:val="16"/>
              </w:rPr>
              <w:t>0.2</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1B6B7AF" w14:textId="77777777" w:rsidR="003E306B" w:rsidRDefault="003E306B" w:rsidP="003E78FD">
            <w:r>
              <w:rPr>
                <w:rFonts w:ascii="Arial Narrow" w:hAnsi="Arial Narrow" w:cs="Arial Narrow"/>
                <w:color w:val="000000"/>
                <w:sz w:val="16"/>
              </w:rPr>
              <w:t>2.0</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9B1A738" w14:textId="77777777" w:rsidR="003E306B" w:rsidRDefault="003E306B" w:rsidP="003E78FD">
            <w:r>
              <w:rPr>
                <w:rFonts w:ascii="Arial Narrow" w:hAnsi="Arial Narrow" w:cs="Arial Narrow"/>
                <w:color w:val="000000"/>
                <w:sz w:val="16"/>
              </w:rPr>
              <w:t>0.7</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F68BF85" w14:textId="77777777" w:rsidR="003E306B" w:rsidRDefault="003E306B" w:rsidP="003E78FD">
            <w:r>
              <w:rPr>
                <w:rFonts w:ascii="Arial Narrow" w:hAnsi="Arial Narrow" w:cs="Arial Narrow"/>
                <w:color w:val="000000"/>
                <w:sz w:val="16"/>
              </w:rPr>
              <w:t>1.7</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08849A6" w14:textId="77777777" w:rsidR="003E306B" w:rsidRDefault="003E306B" w:rsidP="003E78FD">
            <w:r>
              <w:rPr>
                <w:rFonts w:ascii="Arial Narrow" w:hAnsi="Arial Narrow" w:cs="Arial Narrow"/>
                <w:color w:val="000000"/>
                <w:sz w:val="16"/>
              </w:rPr>
              <w:t>1.0</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77E5AB8"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56B109A" w14:textId="77777777" w:rsidR="003E306B" w:rsidRDefault="003E306B" w:rsidP="003E78FD">
            <w:r>
              <w:rPr>
                <w:rFonts w:ascii="Arial Narrow" w:hAnsi="Arial Narrow" w:cs="Arial Narrow"/>
                <w:color w:val="000000"/>
                <w:sz w:val="16"/>
              </w:rPr>
              <w:t>0.9</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768898E" w14:textId="77777777" w:rsidR="003E306B" w:rsidRDefault="003E306B" w:rsidP="003E78FD">
            <w:r>
              <w:rPr>
                <w:rFonts w:ascii="Arial Narrow" w:hAnsi="Arial Narrow" w:cs="Arial Narrow"/>
                <w:color w:val="000000"/>
                <w:sz w:val="16"/>
              </w:rPr>
              <w:t>1.7</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007213D6" w14:textId="77777777" w:rsidR="003E306B" w:rsidRDefault="003E306B" w:rsidP="003E78FD">
            <w:r>
              <w:rPr>
                <w:rFonts w:ascii="Arial Narrow" w:hAnsi="Arial Narrow" w:cs="Arial Narrow"/>
                <w:color w:val="000000"/>
                <w:sz w:val="16"/>
              </w:rPr>
              <w:t>2.3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36FA6F9" w14:textId="77777777" w:rsidR="003E306B" w:rsidRDefault="003E306B" w:rsidP="003E78FD">
            <w:r>
              <w:rPr>
                <w:rFonts w:ascii="Arial Narrow" w:hAnsi="Arial Narrow" w:cs="Arial Narrow"/>
                <w:color w:val="000000"/>
                <w:sz w:val="16"/>
              </w:rPr>
              <w:t>1.3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D657B11" w14:textId="77777777" w:rsidR="003E306B" w:rsidRDefault="003E306B" w:rsidP="003E78FD">
            <w:r>
              <w:rPr>
                <w:rFonts w:ascii="Arial Narrow" w:hAnsi="Arial Narrow" w:cs="Arial Narrow"/>
                <w:color w:val="000000"/>
                <w:sz w:val="16"/>
              </w:rPr>
              <w:t>0.9</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92F3400" w14:textId="77777777" w:rsidR="003E306B" w:rsidRDefault="003E306B" w:rsidP="003E78FD">
            <w:r>
              <w:rPr>
                <w:rFonts w:ascii="Arial Narrow" w:hAnsi="Arial Narrow" w:cs="Arial Narrow"/>
                <w:color w:val="000000"/>
                <w:sz w:val="16"/>
              </w:rPr>
              <w:t>3.2</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2EAA6B0" w14:textId="77777777" w:rsidR="003E306B" w:rsidRDefault="003E306B" w:rsidP="003E78FD">
            <w:r>
              <w:rPr>
                <w:rFonts w:ascii="Arial Narrow" w:hAnsi="Arial Narrow" w:cs="Arial Narrow"/>
                <w:color w:val="000000"/>
                <w:sz w:val="16"/>
              </w:rPr>
              <w:t>1.1</w:t>
            </w:r>
          </w:p>
        </w:tc>
      </w:tr>
      <w:tr w:rsidR="003E306B" w14:paraId="5B4D3B18" w14:textId="77777777" w:rsidTr="003E306B">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9B68577" w14:textId="77777777" w:rsidR="003E306B" w:rsidRDefault="003E306B" w:rsidP="003E78FD"/>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A2B1A26" w14:textId="77777777" w:rsidR="003E306B" w:rsidRDefault="003E306B" w:rsidP="003E78FD">
            <w:r>
              <w:rPr>
                <w:rFonts w:ascii="Arial Narrow" w:hAnsi="Arial Narrow" w:cs="Arial Narrow"/>
                <w:color w:val="000000"/>
                <w:sz w:val="16"/>
              </w:rPr>
              <w:t>Barron River (110001D)</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296D736" w14:textId="77777777" w:rsidR="003E306B" w:rsidRDefault="003E306B" w:rsidP="003E78FD">
            <w:r>
              <w:rPr>
                <w:rFonts w:ascii="Arial Narrow" w:hAnsi="Arial Narrow" w:cs="Arial Narrow"/>
                <w:color w:val="000000"/>
                <w:sz w:val="16"/>
              </w:rPr>
              <w:t xml:space="preserve"> 529091</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FCAD6F4" w14:textId="77777777" w:rsidR="003E306B" w:rsidRDefault="003E306B" w:rsidP="003E78FD">
            <w:r>
              <w:rPr>
                <w:rFonts w:ascii="Arial Narrow" w:hAnsi="Arial Narrow" w:cs="Arial Narrow"/>
                <w:color w:val="000000"/>
                <w:sz w:val="16"/>
              </w:rPr>
              <w:t>1.6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A55284" w14:textId="77777777" w:rsidR="003E306B" w:rsidRDefault="003E306B" w:rsidP="003E78FD">
            <w:r>
              <w:rPr>
                <w:rFonts w:ascii="Arial Narrow" w:hAnsi="Arial Narrow" w:cs="Arial Narrow"/>
                <w:color w:val="000000"/>
                <w:sz w:val="16"/>
              </w:rPr>
              <w:t>0.3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85B76E3" w14:textId="77777777" w:rsidR="003E306B" w:rsidRDefault="003E306B" w:rsidP="003E78FD">
            <w:r>
              <w:rPr>
                <w:rFonts w:ascii="Arial Narrow" w:hAnsi="Arial Narrow" w:cs="Arial Narrow"/>
                <w:color w:val="000000"/>
                <w:sz w:val="16"/>
              </w:rPr>
              <w:t>0.2</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37EC8947" w14:textId="77777777" w:rsidR="003E306B" w:rsidRDefault="003E306B" w:rsidP="003E78FD">
            <w:r>
              <w:rPr>
                <w:rFonts w:ascii="Arial Narrow" w:hAnsi="Arial Narrow" w:cs="Arial Narrow"/>
                <w:color w:val="000000"/>
                <w:sz w:val="16"/>
              </w:rPr>
              <w:t>1.8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85B4615" w14:textId="77777777" w:rsidR="003E306B" w:rsidRDefault="003E306B" w:rsidP="003E78FD">
            <w:r>
              <w:rPr>
                <w:rFonts w:ascii="Arial Narrow" w:hAnsi="Arial Narrow" w:cs="Arial Narrow"/>
                <w:color w:val="000000"/>
                <w:sz w:val="16"/>
              </w:rPr>
              <w:t>0.7</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09C4C93" w14:textId="77777777" w:rsidR="003E306B" w:rsidRDefault="003E306B" w:rsidP="003E78FD">
            <w:r>
              <w:rPr>
                <w:rFonts w:ascii="Arial Narrow" w:hAnsi="Arial Narrow" w:cs="Arial Narrow"/>
                <w:color w:val="000000"/>
                <w:sz w:val="16"/>
              </w:rPr>
              <w:t>1.4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7327F09" w14:textId="77777777" w:rsidR="003E306B" w:rsidRDefault="003E306B" w:rsidP="003E78FD">
            <w:r>
              <w:rPr>
                <w:rFonts w:ascii="Arial Narrow" w:hAnsi="Arial Narrow" w:cs="Arial Narrow"/>
                <w:color w:val="000000"/>
                <w:sz w:val="16"/>
              </w:rPr>
              <w:t>0.8</w:t>
            </w:r>
          </w:p>
        </w:tc>
        <w:tc>
          <w:tcPr>
            <w:tcW w:w="63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7408217" w14:textId="77777777" w:rsidR="003E306B" w:rsidRDefault="003E306B" w:rsidP="003E78FD">
            <w:r>
              <w:rPr>
                <w:rFonts w:ascii="Arial Narrow" w:hAnsi="Arial Narrow" w:cs="Arial Narrow"/>
                <w:color w:val="000000"/>
                <w:sz w:val="16"/>
              </w:rPr>
              <w:t>3.0</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0CB9615" w14:textId="77777777" w:rsidR="003E306B" w:rsidRDefault="003E306B" w:rsidP="003E78FD">
            <w:r>
              <w:rPr>
                <w:rFonts w:ascii="Arial Narrow" w:hAnsi="Arial Narrow" w:cs="Arial Narrow"/>
                <w:color w:val="000000"/>
                <w:sz w:val="16"/>
              </w:rPr>
              <w:t>1.5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D49626C" w14:textId="77777777" w:rsidR="003E306B" w:rsidRDefault="003E306B" w:rsidP="003E78FD">
            <w:r>
              <w:rPr>
                <w:rFonts w:ascii="Arial Narrow" w:hAnsi="Arial Narrow" w:cs="Arial Narrow"/>
                <w:color w:val="000000"/>
                <w:sz w:val="16"/>
              </w:rPr>
              <w:t>0.9</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35184F4" w14:textId="77777777" w:rsidR="003E306B" w:rsidRDefault="003E306B" w:rsidP="003E78FD">
            <w:r>
              <w:rPr>
                <w:rFonts w:ascii="Arial Narrow" w:hAnsi="Arial Narrow" w:cs="Arial Narrow"/>
                <w:color w:val="000000"/>
                <w:sz w:val="16"/>
              </w:rPr>
              <w:t>3.6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966558F" w14:textId="77777777" w:rsidR="003E306B" w:rsidRDefault="003E306B" w:rsidP="003E78FD">
            <w:r>
              <w:rPr>
                <w:rFonts w:ascii="Arial Narrow" w:hAnsi="Arial Narrow" w:cs="Arial Narrow"/>
                <w:color w:val="000000"/>
                <w:sz w:val="16"/>
              </w:rPr>
              <w:t>1.5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5ED55BE" w14:textId="77777777" w:rsidR="003E306B" w:rsidRDefault="003E306B" w:rsidP="003E78FD">
            <w:r>
              <w:rPr>
                <w:rFonts w:ascii="Arial Narrow" w:hAnsi="Arial Narrow" w:cs="Arial Narrow"/>
                <w:color w:val="000000"/>
                <w:sz w:val="16"/>
              </w:rPr>
              <w:t>0.5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CFF5188" w14:textId="77777777" w:rsidR="003E306B" w:rsidRDefault="003E306B" w:rsidP="003E78FD">
            <w:r>
              <w:rPr>
                <w:rFonts w:ascii="Arial Narrow" w:hAnsi="Arial Narrow" w:cs="Arial Narrow"/>
                <w:color w:val="000000"/>
                <w:sz w:val="16"/>
              </w:rPr>
              <w:t>1.1</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9E7C3BE" w14:textId="77777777" w:rsidR="003E306B" w:rsidRDefault="003E306B" w:rsidP="003E78FD">
            <w:r>
              <w:rPr>
                <w:rFonts w:ascii="Arial Narrow" w:hAnsi="Arial Narrow" w:cs="Arial Narrow"/>
                <w:color w:val="000000"/>
                <w:sz w:val="16"/>
              </w:rPr>
              <w:t>0.7</w:t>
            </w:r>
          </w:p>
        </w:tc>
      </w:tr>
      <w:tr w:rsidR="003E306B" w14:paraId="7B634B1D" w14:textId="77777777" w:rsidTr="003E306B">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CE0F736" w14:textId="77777777" w:rsidR="003E306B" w:rsidRDefault="003E306B" w:rsidP="003E78FD"/>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D78B740" w14:textId="77777777" w:rsidR="003E306B" w:rsidRDefault="003E306B" w:rsidP="003E78FD">
            <w:r>
              <w:rPr>
                <w:rFonts w:ascii="Arial Narrow" w:hAnsi="Arial Narrow" w:cs="Arial Narrow"/>
                <w:color w:val="000000"/>
                <w:sz w:val="16"/>
              </w:rPr>
              <w:t>Mulgrave River (111007A)</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B1AC38E" w14:textId="77777777" w:rsidR="003E306B" w:rsidRDefault="003E306B" w:rsidP="003E78FD">
            <w:r>
              <w:rPr>
                <w:rFonts w:ascii="Arial Narrow" w:hAnsi="Arial Narrow" w:cs="Arial Narrow"/>
                <w:color w:val="000000"/>
                <w:sz w:val="16"/>
              </w:rPr>
              <w:t xml:space="preserve"> 728917</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CCCE5FF" w14:textId="77777777" w:rsidR="003E306B" w:rsidRDefault="003E306B" w:rsidP="003E78FD">
            <w:r>
              <w:rPr>
                <w:rFonts w:ascii="Arial Narrow" w:hAnsi="Arial Narrow" w:cs="Arial Narrow"/>
                <w:color w:val="000000"/>
                <w:sz w:val="16"/>
              </w:rPr>
              <w:t>1.1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BA01F16" w14:textId="77777777" w:rsidR="003E306B" w:rsidRDefault="003E306B" w:rsidP="003E78FD">
            <w:r>
              <w:rPr>
                <w:rFonts w:ascii="Arial Narrow" w:hAnsi="Arial Narrow" w:cs="Arial Narrow"/>
                <w:color w:val="000000"/>
                <w:sz w:val="16"/>
              </w:rPr>
              <w:t>0.3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8D5525A" w14:textId="77777777" w:rsidR="003E306B" w:rsidRDefault="003E306B" w:rsidP="003E78FD">
            <w:r>
              <w:rPr>
                <w:rFonts w:ascii="Arial Narrow" w:hAnsi="Arial Narrow" w:cs="Arial Narrow"/>
                <w:color w:val="000000"/>
                <w:sz w:val="16"/>
              </w:rPr>
              <w:t>0.5</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AC52BD9" w14:textId="77777777" w:rsidR="003E306B" w:rsidRDefault="003E306B" w:rsidP="003E78FD">
            <w:r>
              <w:rPr>
                <w:rFonts w:ascii="Arial Narrow" w:hAnsi="Arial Narrow" w:cs="Arial Narrow"/>
                <w:color w:val="000000"/>
                <w:sz w:val="16"/>
              </w:rPr>
              <w:t>1.6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93005EA" w14:textId="77777777" w:rsidR="003E306B" w:rsidRDefault="003E306B" w:rsidP="003E78FD">
            <w:r>
              <w:rPr>
                <w:rFonts w:ascii="Arial Narrow" w:hAnsi="Arial Narrow" w:cs="Arial Narrow"/>
                <w:color w:val="000000"/>
                <w:sz w:val="16"/>
              </w:rPr>
              <w:t>0.6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25FB302" w14:textId="77777777" w:rsidR="003E306B" w:rsidRDefault="003E306B" w:rsidP="003E78FD">
            <w:r>
              <w:rPr>
                <w:rFonts w:ascii="Arial Narrow" w:hAnsi="Arial Narrow" w:cs="Arial Narrow"/>
                <w:color w:val="000000"/>
                <w:sz w:val="16"/>
              </w:rPr>
              <w:t>1.3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C6314C4" w14:textId="77777777" w:rsidR="003E306B" w:rsidRDefault="003E306B" w:rsidP="003E78FD">
            <w:r>
              <w:rPr>
                <w:rFonts w:ascii="Arial Narrow" w:hAnsi="Arial Narrow" w:cs="Arial Narrow"/>
                <w:color w:val="000000"/>
                <w:sz w:val="16"/>
              </w:rPr>
              <w:t>1.0</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0207028" w14:textId="77777777" w:rsidR="003E306B" w:rsidRDefault="003E306B" w:rsidP="003E78FD">
            <w:r>
              <w:rPr>
                <w:rFonts w:ascii="Arial Narrow" w:hAnsi="Arial Narrow" w:cs="Arial Narrow"/>
                <w:color w:val="000000"/>
                <w:sz w:val="16"/>
              </w:rPr>
              <w:t>1.3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77B76EA"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68DB450"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354B61F1" w14:textId="77777777" w:rsidR="003E306B" w:rsidRDefault="003E306B" w:rsidP="003E78FD">
            <w:r>
              <w:rPr>
                <w:rFonts w:ascii="Arial Narrow" w:hAnsi="Arial Narrow" w:cs="Arial Narrow"/>
                <w:color w:val="000000"/>
                <w:sz w:val="16"/>
              </w:rPr>
              <w:t>2.1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7F91E36" w14:textId="77777777" w:rsidR="003E306B" w:rsidRDefault="003E306B" w:rsidP="003E78FD">
            <w:r>
              <w:rPr>
                <w:rFonts w:ascii="Arial Narrow" w:hAnsi="Arial Narrow" w:cs="Arial Narrow"/>
                <w:color w:val="000000"/>
                <w:sz w:val="16"/>
              </w:rPr>
              <w:t>1.5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B08D848" w14:textId="77777777" w:rsidR="003E306B" w:rsidRDefault="003E306B" w:rsidP="003E78FD">
            <w:r>
              <w:rPr>
                <w:rFonts w:ascii="Arial Narrow" w:hAnsi="Arial Narrow" w:cs="Arial Narrow"/>
                <w:color w:val="000000"/>
                <w:sz w:val="16"/>
              </w:rPr>
              <w:t>0.7</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D5E13C1" w14:textId="77777777" w:rsidR="003E306B" w:rsidRDefault="003E306B" w:rsidP="003E78FD">
            <w:r>
              <w:rPr>
                <w:rFonts w:ascii="Arial Narrow" w:hAnsi="Arial Narrow" w:cs="Arial Narrow"/>
                <w:color w:val="000000"/>
                <w:sz w:val="16"/>
              </w:rPr>
              <w:t>1.3</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D28A588" w14:textId="77777777" w:rsidR="003E306B" w:rsidRDefault="003E306B" w:rsidP="003E78FD">
            <w:r>
              <w:rPr>
                <w:rFonts w:ascii="Arial Narrow" w:hAnsi="Arial Narrow" w:cs="Arial Narrow"/>
                <w:color w:val="000000"/>
                <w:sz w:val="16"/>
              </w:rPr>
              <w:t>0.8</w:t>
            </w:r>
          </w:p>
        </w:tc>
      </w:tr>
      <w:tr w:rsidR="003E306B" w14:paraId="55616A1E" w14:textId="77777777" w:rsidTr="003E306B">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B458947" w14:textId="77777777" w:rsidR="003E306B" w:rsidRDefault="003E306B" w:rsidP="003E78FD"/>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5B03872" w14:textId="77777777" w:rsidR="003E306B" w:rsidRDefault="003E306B" w:rsidP="003E78FD">
            <w:r>
              <w:rPr>
                <w:rFonts w:ascii="Arial Narrow" w:hAnsi="Arial Narrow" w:cs="Arial Narrow"/>
                <w:color w:val="000000"/>
                <w:sz w:val="16"/>
              </w:rPr>
              <w:t>Russell River (111101D)</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472241C" w14:textId="77777777" w:rsidR="003E306B" w:rsidRDefault="003E306B" w:rsidP="003E78FD">
            <w:r>
              <w:rPr>
                <w:rFonts w:ascii="Arial Narrow" w:hAnsi="Arial Narrow" w:cs="Arial Narrow"/>
                <w:color w:val="000000"/>
                <w:sz w:val="16"/>
              </w:rPr>
              <w:t xml:space="preserve"> 995142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9E036F0"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9A87D44" w14:textId="77777777" w:rsidR="003E306B" w:rsidRDefault="003E306B" w:rsidP="003E78FD">
            <w:r>
              <w:rPr>
                <w:rFonts w:ascii="Arial Narrow" w:hAnsi="Arial Narrow" w:cs="Arial Narrow"/>
                <w:color w:val="000000"/>
                <w:sz w:val="16"/>
              </w:rPr>
              <w:t>0.4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FDA58A5" w14:textId="77777777" w:rsidR="003E306B" w:rsidRDefault="003E306B" w:rsidP="003E78FD">
            <w:r>
              <w:rPr>
                <w:rFonts w:ascii="Arial Narrow" w:hAnsi="Arial Narrow" w:cs="Arial Narrow"/>
                <w:color w:val="000000"/>
                <w:sz w:val="16"/>
              </w:rPr>
              <w:t>0.6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6877B99" w14:textId="77777777" w:rsidR="003E306B" w:rsidRDefault="003E306B" w:rsidP="003E78FD">
            <w:r>
              <w:rPr>
                <w:rFonts w:ascii="Arial Narrow" w:hAnsi="Arial Narrow" w:cs="Arial Narrow"/>
                <w:color w:val="000000"/>
                <w:sz w:val="16"/>
              </w:rPr>
              <w:t>1.4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69D6543"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F429C86" w14:textId="77777777" w:rsidR="003E306B" w:rsidRDefault="003E306B" w:rsidP="003E78FD">
            <w:r>
              <w:rPr>
                <w:rFonts w:ascii="Arial Narrow" w:hAnsi="Arial Narrow" w:cs="Arial Narrow"/>
                <w:color w:val="000000"/>
                <w:sz w:val="16"/>
              </w:rPr>
              <w:t>1.3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97B8AB5" w14:textId="77777777" w:rsidR="003E306B" w:rsidRDefault="003E306B" w:rsidP="003E78FD">
            <w:r>
              <w:rPr>
                <w:rFonts w:ascii="Arial Narrow" w:hAnsi="Arial Narrow" w:cs="Arial Narrow"/>
                <w:color w:val="000000"/>
                <w:sz w:val="16"/>
              </w:rPr>
              <w:t>1.3</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3852D47" w14:textId="77777777" w:rsidR="003E306B" w:rsidRDefault="003E306B" w:rsidP="003E78FD">
            <w:r>
              <w:rPr>
                <w:rFonts w:ascii="Arial Narrow" w:hAnsi="Arial Narrow" w:cs="Arial Narrow"/>
                <w:color w:val="000000"/>
                <w:sz w:val="16"/>
              </w:rPr>
              <w:t>1.1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726C971"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60AED49" w14:textId="77777777" w:rsidR="003E306B" w:rsidRDefault="003E306B" w:rsidP="003E78FD">
            <w:r>
              <w:rPr>
                <w:rFonts w:ascii="Arial Narrow" w:hAnsi="Arial Narrow" w:cs="Arial Narrow"/>
                <w:color w:val="000000"/>
                <w:sz w:val="16"/>
              </w:rPr>
              <w:t>1.3</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C3DDF77" w14:textId="77777777" w:rsidR="003E306B" w:rsidRDefault="003E306B" w:rsidP="003E78FD">
            <w:r>
              <w:rPr>
                <w:rFonts w:ascii="Arial Narrow" w:hAnsi="Arial Narrow" w:cs="Arial Narrow"/>
                <w:color w:val="000000"/>
                <w:sz w:val="16"/>
              </w:rPr>
              <w:t>1.7</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CB298D2" w14:textId="77777777" w:rsidR="003E306B" w:rsidRDefault="003E306B" w:rsidP="003E78FD">
            <w:r>
              <w:rPr>
                <w:rFonts w:ascii="Arial Narrow" w:hAnsi="Arial Narrow" w:cs="Arial Narrow"/>
                <w:color w:val="000000"/>
                <w:sz w:val="16"/>
              </w:rPr>
              <w:t>1.3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A9D79CC" w14:textId="77777777" w:rsidR="003E306B" w:rsidRDefault="003E306B" w:rsidP="003E78FD">
            <w:r>
              <w:rPr>
                <w:rFonts w:ascii="Arial Narrow" w:hAnsi="Arial Narrow" w:cs="Arial Narrow"/>
                <w:color w:val="000000"/>
                <w:sz w:val="16"/>
              </w:rPr>
              <w:t>0.8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65641DA" w14:textId="77777777" w:rsidR="003E306B" w:rsidRDefault="003E306B" w:rsidP="003E78FD">
            <w:r>
              <w:rPr>
                <w:rFonts w:ascii="Arial Narrow" w:hAnsi="Arial Narrow" w:cs="Arial Narrow"/>
                <w:color w:val="000000"/>
                <w:sz w:val="16"/>
              </w:rPr>
              <w:t>1.3</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629319E" w14:textId="77777777" w:rsidR="003E306B" w:rsidRDefault="003E306B" w:rsidP="003E78FD">
            <w:r>
              <w:rPr>
                <w:rFonts w:ascii="Arial Narrow" w:hAnsi="Arial Narrow" w:cs="Arial Narrow"/>
                <w:color w:val="000000"/>
                <w:sz w:val="16"/>
              </w:rPr>
              <w:t>0.7</w:t>
            </w:r>
          </w:p>
        </w:tc>
      </w:tr>
      <w:tr w:rsidR="003E306B" w14:paraId="7FE93528" w14:textId="77777777" w:rsidTr="003E306B">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530D412" w14:textId="77777777" w:rsidR="003E306B" w:rsidRDefault="003E306B" w:rsidP="003E78FD"/>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D4481D8" w14:textId="77777777" w:rsidR="003E306B" w:rsidRDefault="003E306B" w:rsidP="003E78FD">
            <w:r>
              <w:rPr>
                <w:rFonts w:ascii="Arial Narrow" w:hAnsi="Arial Narrow" w:cs="Arial Narrow"/>
                <w:color w:val="000000"/>
                <w:sz w:val="16"/>
              </w:rPr>
              <w:t>North Johnstone River (112004A)</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8360401" w14:textId="77777777" w:rsidR="003E306B" w:rsidRDefault="003E306B" w:rsidP="003E78FD">
            <w:r>
              <w:rPr>
                <w:rFonts w:ascii="Arial Narrow" w:hAnsi="Arial Narrow" w:cs="Arial Narrow"/>
                <w:color w:val="000000"/>
                <w:sz w:val="16"/>
              </w:rPr>
              <w:t>1764742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B44473E"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56E0E29" w14:textId="77777777" w:rsidR="003E306B" w:rsidRDefault="003E306B" w:rsidP="003E78FD">
            <w:r>
              <w:rPr>
                <w:rFonts w:ascii="Arial Narrow" w:hAnsi="Arial Narrow" w:cs="Arial Narrow"/>
                <w:color w:val="000000"/>
                <w:sz w:val="16"/>
              </w:rPr>
              <w:t>0.4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A21FF74" w14:textId="77777777" w:rsidR="003E306B" w:rsidRDefault="003E306B" w:rsidP="003E78FD">
            <w:r>
              <w:rPr>
                <w:rFonts w:ascii="Arial Narrow" w:hAnsi="Arial Narrow" w:cs="Arial Narrow"/>
                <w:color w:val="000000"/>
                <w:sz w:val="16"/>
              </w:rPr>
              <w:t>0.5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551E6B2" w14:textId="77777777" w:rsidR="003E306B" w:rsidRDefault="003E306B" w:rsidP="003E78FD">
            <w:r>
              <w:rPr>
                <w:rFonts w:ascii="Arial Narrow" w:hAnsi="Arial Narrow" w:cs="Arial Narrow"/>
                <w:color w:val="000000"/>
                <w:sz w:val="16"/>
              </w:rPr>
              <w:t>1.3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20C278A" w14:textId="77777777" w:rsidR="003E306B" w:rsidRDefault="003E306B" w:rsidP="003E78FD">
            <w:r>
              <w:rPr>
                <w:rFonts w:ascii="Arial Narrow" w:hAnsi="Arial Narrow" w:cs="Arial Narrow"/>
                <w:color w:val="000000"/>
                <w:sz w:val="16"/>
              </w:rPr>
              <w:t>0.8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75589AF"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78FF364" w14:textId="77777777" w:rsidR="003E306B" w:rsidRDefault="003E306B" w:rsidP="003E78FD">
            <w:r>
              <w:rPr>
                <w:rFonts w:ascii="Arial Narrow" w:hAnsi="Arial Narrow" w:cs="Arial Narrow"/>
                <w:color w:val="000000"/>
                <w:sz w:val="16"/>
              </w:rPr>
              <w:t>1.2</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878FDB2" w14:textId="77777777" w:rsidR="003E306B" w:rsidRDefault="003E306B" w:rsidP="003E78FD">
            <w:r>
              <w:rPr>
                <w:rFonts w:ascii="Arial Narrow" w:hAnsi="Arial Narrow" w:cs="Arial Narrow"/>
                <w:color w:val="000000"/>
                <w:sz w:val="16"/>
              </w:rPr>
              <w:t>1.1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4A9829C" w14:textId="77777777" w:rsidR="003E306B" w:rsidRDefault="003E306B" w:rsidP="003E78FD">
            <w:r>
              <w:rPr>
                <w:rFonts w:ascii="Arial Narrow" w:hAnsi="Arial Narrow" w:cs="Arial Narrow"/>
                <w:color w:val="000000"/>
                <w:sz w:val="16"/>
              </w:rPr>
              <w:t>1.1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604788E"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5491D047" w14:textId="77777777" w:rsidR="003E306B" w:rsidRDefault="003E306B" w:rsidP="003E78FD">
            <w:r>
              <w:rPr>
                <w:rFonts w:ascii="Arial Narrow" w:hAnsi="Arial Narrow" w:cs="Arial Narrow"/>
                <w:color w:val="000000"/>
                <w:sz w:val="16"/>
              </w:rPr>
              <w:t>2.0</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8F014D2" w14:textId="77777777" w:rsidR="003E306B" w:rsidRDefault="003E306B" w:rsidP="003E78FD">
            <w:r>
              <w:rPr>
                <w:rFonts w:ascii="Arial Narrow" w:hAnsi="Arial Narrow" w:cs="Arial Narrow"/>
                <w:color w:val="000000"/>
                <w:sz w:val="16"/>
              </w:rPr>
              <w:t>1.7</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D5BC51C" w14:textId="77777777" w:rsidR="003E306B" w:rsidRDefault="003E306B" w:rsidP="003E78FD">
            <w:r>
              <w:rPr>
                <w:rFonts w:ascii="Arial Narrow" w:hAnsi="Arial Narrow" w:cs="Arial Narrow"/>
                <w:color w:val="000000"/>
                <w:sz w:val="16"/>
              </w:rPr>
              <w:t>0.8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4A590B9" w14:textId="77777777" w:rsidR="003E306B" w:rsidRDefault="003E306B" w:rsidP="003E78FD">
            <w:r>
              <w:rPr>
                <w:rFonts w:ascii="Arial Narrow" w:hAnsi="Arial Narrow" w:cs="Arial Narrow"/>
                <w:color w:val="000000"/>
                <w:sz w:val="16"/>
              </w:rPr>
              <w:t>1.2</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EADE2F8" w14:textId="77777777" w:rsidR="003E306B" w:rsidRDefault="003E306B" w:rsidP="003E78FD">
            <w:r>
              <w:rPr>
                <w:rFonts w:ascii="Arial Narrow" w:hAnsi="Arial Narrow" w:cs="Arial Narrow"/>
                <w:color w:val="000000"/>
                <w:sz w:val="16"/>
              </w:rPr>
              <w:t>0.0</w:t>
            </w:r>
          </w:p>
        </w:tc>
      </w:tr>
      <w:tr w:rsidR="003E306B" w14:paraId="205F8C02" w14:textId="77777777" w:rsidTr="003E306B">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0A94368" w14:textId="77777777" w:rsidR="003E306B" w:rsidRDefault="003E306B" w:rsidP="003E78FD"/>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88BBAA1" w14:textId="77777777" w:rsidR="003E306B" w:rsidRDefault="003E306B" w:rsidP="003E78FD">
            <w:r>
              <w:rPr>
                <w:rFonts w:ascii="Arial Narrow" w:hAnsi="Arial Narrow" w:cs="Arial Narrow"/>
                <w:color w:val="000000"/>
                <w:sz w:val="16"/>
              </w:rPr>
              <w:t>South Johnstone River (112101B)</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83A820" w14:textId="77777777" w:rsidR="003E306B" w:rsidRDefault="003E306B" w:rsidP="003E78FD">
            <w:r>
              <w:rPr>
                <w:rFonts w:ascii="Arial Narrow" w:hAnsi="Arial Narrow" w:cs="Arial Narrow"/>
                <w:color w:val="000000"/>
                <w:sz w:val="16"/>
              </w:rPr>
              <w:t xml:space="preserve"> 850463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CD5B434" w14:textId="77777777" w:rsidR="003E306B" w:rsidRDefault="003E306B" w:rsidP="003E78FD">
            <w:r>
              <w:rPr>
                <w:rFonts w:ascii="Arial Narrow" w:hAnsi="Arial Narrow" w:cs="Arial Narrow"/>
                <w:color w:val="000000"/>
                <w:sz w:val="16"/>
              </w:rPr>
              <w:t>0.9</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D6F3444" w14:textId="77777777" w:rsidR="003E306B" w:rsidRDefault="003E306B" w:rsidP="003E78FD">
            <w:r>
              <w:rPr>
                <w:rFonts w:ascii="Arial Narrow" w:hAnsi="Arial Narrow" w:cs="Arial Narrow"/>
                <w:color w:val="000000"/>
                <w:sz w:val="16"/>
              </w:rPr>
              <w:t>0.4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E34D478" w14:textId="77777777" w:rsidR="003E306B" w:rsidRDefault="003E306B" w:rsidP="003E78FD">
            <w:r>
              <w:rPr>
                <w:rFonts w:ascii="Arial Narrow" w:hAnsi="Arial Narrow" w:cs="Arial Narrow"/>
                <w:color w:val="000000"/>
                <w:sz w:val="16"/>
              </w:rPr>
              <w:t>0.4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BC7C92C" w14:textId="77777777" w:rsidR="003E306B" w:rsidRDefault="003E306B" w:rsidP="003E78FD">
            <w:r>
              <w:rPr>
                <w:rFonts w:ascii="Arial Narrow" w:hAnsi="Arial Narrow" w:cs="Arial Narrow"/>
                <w:color w:val="000000"/>
                <w:sz w:val="16"/>
              </w:rPr>
              <w:t>0.5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A7D850F" w14:textId="77777777" w:rsidR="003E306B" w:rsidRDefault="003E306B" w:rsidP="003E78FD">
            <w:r>
              <w:rPr>
                <w:rFonts w:ascii="Arial Narrow" w:hAnsi="Arial Narrow" w:cs="Arial Narrow"/>
                <w:color w:val="000000"/>
                <w:sz w:val="16"/>
              </w:rPr>
              <w:t>0.6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C6675D3"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1C316A4" w14:textId="77777777" w:rsidR="003E306B" w:rsidRDefault="003E306B" w:rsidP="003E78FD">
            <w:r>
              <w:rPr>
                <w:rFonts w:ascii="Arial Narrow" w:hAnsi="Arial Narrow" w:cs="Arial Narrow"/>
                <w:color w:val="000000"/>
                <w:sz w:val="16"/>
              </w:rPr>
              <w:t>1.0</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4485624" w14:textId="77777777" w:rsidR="003E306B" w:rsidRDefault="003E306B" w:rsidP="003E78FD">
            <w:r>
              <w:rPr>
                <w:rFonts w:ascii="Arial Narrow" w:hAnsi="Arial Narrow" w:cs="Arial Narrow"/>
                <w:color w:val="000000"/>
                <w:sz w:val="16"/>
              </w:rPr>
              <w:t>0.9</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61D5E46"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FB669F0" w14:textId="77777777" w:rsidR="003E306B" w:rsidRDefault="003E306B" w:rsidP="003E78FD">
            <w:r>
              <w:rPr>
                <w:rFonts w:ascii="Arial Narrow" w:hAnsi="Arial Narrow" w:cs="Arial Narrow"/>
                <w:color w:val="000000"/>
                <w:sz w:val="16"/>
              </w:rPr>
              <w:t>0.8</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40AF31C" w14:textId="77777777" w:rsidR="003E306B" w:rsidRDefault="003E306B" w:rsidP="003E78FD">
            <w:r>
              <w:rPr>
                <w:rFonts w:ascii="Arial Narrow" w:hAnsi="Arial Narrow" w:cs="Arial Narrow"/>
                <w:color w:val="000000"/>
                <w:sz w:val="16"/>
              </w:rPr>
              <w:t>1.8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31D2142" w14:textId="77777777" w:rsidR="003E306B" w:rsidRDefault="003E306B" w:rsidP="003E78FD">
            <w:r>
              <w:rPr>
                <w:rFonts w:ascii="Arial Narrow" w:hAnsi="Arial Narrow" w:cs="Arial Narrow"/>
                <w:color w:val="000000"/>
                <w:sz w:val="16"/>
              </w:rPr>
              <w:t>1.1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F91C1A1" w14:textId="77777777" w:rsidR="003E306B" w:rsidRDefault="003E306B" w:rsidP="003E78FD">
            <w:r>
              <w:rPr>
                <w:rFonts w:ascii="Arial Narrow" w:hAnsi="Arial Narrow" w:cs="Arial Narrow"/>
                <w:color w:val="000000"/>
                <w:sz w:val="16"/>
              </w:rPr>
              <w:t>0.6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5BE49D5" w14:textId="77777777" w:rsidR="003E306B" w:rsidRDefault="003E306B" w:rsidP="003E78FD">
            <w:r>
              <w:rPr>
                <w:rFonts w:ascii="Arial Narrow" w:hAnsi="Arial Narrow" w:cs="Arial Narrow"/>
                <w:color w:val="000000"/>
                <w:sz w:val="16"/>
              </w:rPr>
              <w:t>0.9</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0232C19" w14:textId="77777777" w:rsidR="003E306B" w:rsidRDefault="003E306B" w:rsidP="003E78FD">
            <w:r>
              <w:rPr>
                <w:rFonts w:ascii="Arial Narrow" w:hAnsi="Arial Narrow" w:cs="Arial Narrow"/>
                <w:color w:val="000000"/>
                <w:sz w:val="16"/>
              </w:rPr>
              <w:t>0.5</w:t>
            </w:r>
          </w:p>
        </w:tc>
      </w:tr>
      <w:tr w:rsidR="003E306B" w14:paraId="16985FA7" w14:textId="77777777" w:rsidTr="003E306B">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C8AE2CD" w14:textId="77777777" w:rsidR="003E306B" w:rsidRDefault="003E306B" w:rsidP="003E78FD"/>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72B7D2F" w14:textId="77777777" w:rsidR="003E306B" w:rsidRDefault="003E306B" w:rsidP="003E78FD">
            <w:r>
              <w:rPr>
                <w:rFonts w:ascii="Arial Narrow" w:hAnsi="Arial Narrow" w:cs="Arial Narrow"/>
                <w:color w:val="000000"/>
                <w:sz w:val="16"/>
              </w:rPr>
              <w:t>Tully River (113006A)</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A6E3C14" w14:textId="77777777" w:rsidR="003E306B" w:rsidRDefault="003E306B" w:rsidP="003E78FD">
            <w:r>
              <w:rPr>
                <w:rFonts w:ascii="Arial Narrow" w:hAnsi="Arial Narrow" w:cs="Arial Narrow"/>
                <w:color w:val="000000"/>
                <w:sz w:val="16"/>
              </w:rPr>
              <w:t>2944018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203BA76"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41509A0" w14:textId="77777777" w:rsidR="003E306B" w:rsidRDefault="003E306B" w:rsidP="003E78FD">
            <w:r>
              <w:rPr>
                <w:rFonts w:ascii="Arial Narrow" w:hAnsi="Arial Narrow" w:cs="Arial Narrow"/>
                <w:color w:val="000000"/>
                <w:sz w:val="16"/>
              </w:rPr>
              <w:t>0.4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61F00EA" w14:textId="77777777" w:rsidR="003E306B" w:rsidRDefault="003E306B" w:rsidP="003E78FD">
            <w:r>
              <w:rPr>
                <w:rFonts w:ascii="Arial Narrow" w:hAnsi="Arial Narrow" w:cs="Arial Narrow"/>
                <w:color w:val="000000"/>
                <w:sz w:val="16"/>
              </w:rPr>
              <w:t>0.5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E72D6EA" w14:textId="77777777" w:rsidR="003E306B" w:rsidRDefault="003E306B" w:rsidP="003E78FD">
            <w:r>
              <w:rPr>
                <w:rFonts w:ascii="Arial Narrow" w:hAnsi="Arial Narrow" w:cs="Arial Narrow"/>
                <w:color w:val="000000"/>
                <w:sz w:val="16"/>
              </w:rPr>
              <w:t>1.1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6ABBAE7" w14:textId="77777777" w:rsidR="003E306B" w:rsidRDefault="003E306B" w:rsidP="003E78FD">
            <w:r>
              <w:rPr>
                <w:rFonts w:ascii="Arial Narrow" w:hAnsi="Arial Narrow" w:cs="Arial Narrow"/>
                <w:color w:val="000000"/>
                <w:sz w:val="16"/>
              </w:rPr>
              <w:t>0.7</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52E1F56"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57503FA" w14:textId="77777777" w:rsidR="003E306B" w:rsidRDefault="003E306B" w:rsidP="003E78FD">
            <w:r>
              <w:rPr>
                <w:rFonts w:ascii="Arial Narrow" w:hAnsi="Arial Narrow" w:cs="Arial Narrow"/>
                <w:color w:val="000000"/>
                <w:sz w:val="16"/>
              </w:rPr>
              <w:t>1.3</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5267094" w14:textId="77777777" w:rsidR="003E306B" w:rsidRDefault="003E306B" w:rsidP="003E78FD">
            <w:r>
              <w:rPr>
                <w:rFonts w:ascii="Arial Narrow" w:hAnsi="Arial Narrow" w:cs="Arial Narrow"/>
                <w:color w:val="000000"/>
                <w:sz w:val="16"/>
              </w:rPr>
              <w:t>1.1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EB9A0AE"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255EE8E"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45AD9208" w14:textId="77777777" w:rsidR="003E306B" w:rsidRDefault="003E306B" w:rsidP="003E78FD">
            <w:r>
              <w:rPr>
                <w:rFonts w:ascii="Arial Narrow" w:hAnsi="Arial Narrow" w:cs="Arial Narrow"/>
                <w:color w:val="000000"/>
                <w:sz w:val="16"/>
              </w:rPr>
              <w:t>2.1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EC80B95" w14:textId="77777777" w:rsidR="003E306B" w:rsidRDefault="003E306B" w:rsidP="003E78FD">
            <w:r>
              <w:rPr>
                <w:rFonts w:ascii="Arial Narrow" w:hAnsi="Arial Narrow" w:cs="Arial Narrow"/>
                <w:color w:val="000000"/>
                <w:sz w:val="16"/>
              </w:rPr>
              <w:t>1.2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B712254"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E3ECA21" w14:textId="77777777" w:rsidR="003E306B" w:rsidRDefault="003E306B" w:rsidP="003E78FD">
            <w:r>
              <w:rPr>
                <w:rFonts w:ascii="Arial Narrow" w:hAnsi="Arial Narrow" w:cs="Arial Narrow"/>
                <w:color w:val="000000"/>
                <w:sz w:val="16"/>
              </w:rPr>
              <w:t>1.2</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9DD371E" w14:textId="77777777" w:rsidR="003E306B" w:rsidRDefault="003E306B" w:rsidP="003E78FD">
            <w:r>
              <w:rPr>
                <w:rFonts w:ascii="Arial Narrow" w:hAnsi="Arial Narrow" w:cs="Arial Narrow"/>
                <w:color w:val="000000"/>
                <w:sz w:val="16"/>
              </w:rPr>
              <w:t>0.1</w:t>
            </w:r>
          </w:p>
        </w:tc>
      </w:tr>
      <w:tr w:rsidR="003E306B" w14:paraId="5A860B78" w14:textId="77777777" w:rsidTr="003E306B">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E9A56C4" w14:textId="77777777" w:rsidR="003E306B" w:rsidRDefault="003E306B" w:rsidP="003E78FD"/>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1FF99E3" w14:textId="77777777" w:rsidR="003E306B" w:rsidRDefault="003E306B" w:rsidP="003E78FD">
            <w:r>
              <w:rPr>
                <w:rFonts w:ascii="Arial Narrow" w:hAnsi="Arial Narrow" w:cs="Arial Narrow"/>
                <w:color w:val="000000"/>
                <w:sz w:val="16"/>
              </w:rPr>
              <w:t>Herbert River (116001E/F)</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5BF5688" w14:textId="77777777" w:rsidR="003E306B" w:rsidRDefault="003E306B" w:rsidP="003E78FD">
            <w:r>
              <w:rPr>
                <w:rFonts w:ascii="Arial Narrow" w:hAnsi="Arial Narrow" w:cs="Arial Narrow"/>
                <w:color w:val="000000"/>
                <w:sz w:val="16"/>
              </w:rPr>
              <w:t>3041440</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8677AAC" w14:textId="77777777" w:rsidR="003E306B" w:rsidRDefault="003E306B" w:rsidP="003E78FD">
            <w:r>
              <w:rPr>
                <w:rFonts w:ascii="Arial Narrow" w:hAnsi="Arial Narrow" w:cs="Arial Narrow"/>
                <w:color w:val="000000"/>
                <w:sz w:val="16"/>
              </w:rPr>
              <w:t>1.5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4D9D51B" w14:textId="77777777" w:rsidR="003E306B" w:rsidRDefault="003E306B" w:rsidP="003E78FD">
            <w:r>
              <w:rPr>
                <w:rFonts w:ascii="Arial Narrow" w:hAnsi="Arial Narrow" w:cs="Arial Narrow"/>
                <w:color w:val="000000"/>
                <w:sz w:val="16"/>
              </w:rPr>
              <w:t>0.3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3D11E43" w14:textId="77777777" w:rsidR="003E306B" w:rsidRDefault="003E306B" w:rsidP="003E78FD">
            <w:r>
              <w:rPr>
                <w:rFonts w:ascii="Arial Narrow" w:hAnsi="Arial Narrow" w:cs="Arial Narrow"/>
                <w:color w:val="000000"/>
                <w:sz w:val="16"/>
              </w:rPr>
              <w:t>0.2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882C5AE" w14:textId="77777777" w:rsidR="003E306B" w:rsidRDefault="003E306B" w:rsidP="003E78FD">
            <w:r>
              <w:rPr>
                <w:rFonts w:ascii="Arial Narrow" w:hAnsi="Arial Narrow" w:cs="Arial Narrow"/>
                <w:color w:val="000000"/>
                <w:sz w:val="16"/>
              </w:rPr>
              <w:t>1.1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BE6A024" w14:textId="77777777" w:rsidR="003E306B" w:rsidRDefault="003E306B" w:rsidP="003E78FD">
            <w:r>
              <w:rPr>
                <w:rFonts w:ascii="Arial Narrow" w:hAnsi="Arial Narrow" w:cs="Arial Narrow"/>
                <w:color w:val="000000"/>
                <w:sz w:val="16"/>
              </w:rPr>
              <w:t>0.4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99A6FB3" w14:textId="77777777" w:rsidR="003E306B" w:rsidRDefault="003E306B" w:rsidP="003E78FD">
            <w:r>
              <w:rPr>
                <w:rFonts w:ascii="Arial Narrow" w:hAnsi="Arial Narrow" w:cs="Arial Narrow"/>
                <w:color w:val="000000"/>
                <w:sz w:val="16"/>
              </w:rPr>
              <w:t>1.3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4BC1212" w14:textId="77777777" w:rsidR="003E306B" w:rsidRDefault="003E306B" w:rsidP="003E78FD">
            <w:r>
              <w:rPr>
                <w:rFonts w:ascii="Arial Narrow" w:hAnsi="Arial Narrow" w:cs="Arial Narrow"/>
                <w:color w:val="000000"/>
                <w:sz w:val="16"/>
              </w:rPr>
              <w:t>1.3</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E0E39E6" w14:textId="77777777" w:rsidR="003E306B" w:rsidRDefault="003E306B" w:rsidP="003E78FD">
            <w:r>
              <w:rPr>
                <w:rFonts w:ascii="Arial Narrow" w:hAnsi="Arial Narrow" w:cs="Arial Narrow"/>
                <w:color w:val="000000"/>
                <w:sz w:val="16"/>
              </w:rPr>
              <w:t>1.1</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CFDB9D" w14:textId="77777777" w:rsidR="003E306B" w:rsidRDefault="003E306B" w:rsidP="003E78FD">
            <w:r>
              <w:rPr>
                <w:rFonts w:ascii="Arial Narrow" w:hAnsi="Arial Narrow" w:cs="Arial Narrow"/>
                <w:color w:val="000000"/>
                <w:sz w:val="16"/>
              </w:rPr>
              <w:t>3.1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B28CC36"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72EF39C" w14:textId="77777777" w:rsidR="003E306B" w:rsidRDefault="003E306B" w:rsidP="003E78FD">
            <w:r>
              <w:rPr>
                <w:rFonts w:ascii="Arial Narrow" w:hAnsi="Arial Narrow" w:cs="Arial Narrow"/>
                <w:color w:val="000000"/>
                <w:sz w:val="16"/>
              </w:rPr>
              <w:t>3.8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F445FCB" w14:textId="77777777" w:rsidR="003E306B" w:rsidRDefault="003E306B" w:rsidP="003E78FD">
            <w:r>
              <w:rPr>
                <w:rFonts w:ascii="Arial Narrow" w:hAnsi="Arial Narrow" w:cs="Arial Narrow"/>
                <w:color w:val="000000"/>
                <w:sz w:val="16"/>
              </w:rPr>
              <w:t>1.4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D1BCA75"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E32D0EE" w14:textId="77777777" w:rsidR="003E306B" w:rsidRDefault="003E306B" w:rsidP="003E78FD">
            <w:r>
              <w:rPr>
                <w:rFonts w:ascii="Arial Narrow" w:hAnsi="Arial Narrow" w:cs="Arial Narrow"/>
                <w:color w:val="000000"/>
                <w:sz w:val="16"/>
              </w:rPr>
              <w:t>1.3</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E861FFD" w14:textId="77777777" w:rsidR="003E306B" w:rsidRDefault="003E306B" w:rsidP="003E78FD">
            <w:r>
              <w:rPr>
                <w:rFonts w:ascii="Arial Narrow" w:hAnsi="Arial Narrow" w:cs="Arial Narrow"/>
                <w:color w:val="000000"/>
                <w:sz w:val="16"/>
              </w:rPr>
              <w:t>0.3</w:t>
            </w:r>
          </w:p>
        </w:tc>
      </w:tr>
      <w:tr w:rsidR="003E306B" w14:paraId="078C7A1B" w14:textId="77777777" w:rsidTr="003E306B">
        <w:tc>
          <w:tcPr>
            <w:tcW w:w="129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372DD46" w14:textId="77777777" w:rsidR="003E306B" w:rsidRDefault="003E306B" w:rsidP="003E78FD">
            <w:r>
              <w:rPr>
                <w:rFonts w:ascii="Arial Narrow" w:hAnsi="Arial Narrow" w:cs="Arial Narrow"/>
                <w:color w:val="000000"/>
                <w:sz w:val="16"/>
              </w:rPr>
              <w:t>Burdekin</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89FA8BC" w14:textId="77777777" w:rsidR="003E306B" w:rsidRDefault="003E306B" w:rsidP="003E78FD">
            <w:r>
              <w:rPr>
                <w:rFonts w:ascii="Arial Narrow" w:hAnsi="Arial Narrow" w:cs="Arial Narrow"/>
                <w:color w:val="000000"/>
                <w:sz w:val="16"/>
              </w:rPr>
              <w:t>Burdekin River (120006B)</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0191A20" w14:textId="77777777" w:rsidR="003E306B" w:rsidRDefault="003E306B" w:rsidP="003E78FD">
            <w:r>
              <w:rPr>
                <w:rFonts w:ascii="Arial Narrow" w:hAnsi="Arial Narrow" w:cs="Arial Narrow"/>
                <w:color w:val="000000"/>
                <w:sz w:val="16"/>
              </w:rPr>
              <w:t>5312986</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E0C11B2" w14:textId="77777777" w:rsidR="003E306B" w:rsidRDefault="003E306B" w:rsidP="003E78FD">
            <w:r>
              <w:rPr>
                <w:rFonts w:ascii="Arial Narrow" w:hAnsi="Arial Narrow" w:cs="Arial Narrow"/>
                <w:color w:val="000000"/>
                <w:sz w:val="16"/>
              </w:rPr>
              <w:t>1.6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00FABDC" w14:textId="77777777" w:rsidR="003E306B" w:rsidRDefault="003E306B" w:rsidP="003E78FD">
            <w:r>
              <w:rPr>
                <w:rFonts w:ascii="Arial Narrow" w:hAnsi="Arial Narrow" w:cs="Arial Narrow"/>
                <w:color w:val="000000"/>
                <w:sz w:val="16"/>
              </w:rPr>
              <w:t>0.8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440FABA" w14:textId="77777777" w:rsidR="003E306B" w:rsidRDefault="003E306B" w:rsidP="003E78FD">
            <w:r>
              <w:rPr>
                <w:rFonts w:ascii="Arial Narrow" w:hAnsi="Arial Narrow" w:cs="Arial Narrow"/>
                <w:color w:val="000000"/>
                <w:sz w:val="16"/>
              </w:rPr>
              <w:t>0.4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BDF8950" w14:textId="77777777" w:rsidR="003E306B" w:rsidRDefault="003E306B" w:rsidP="003E78FD">
            <w:r>
              <w:rPr>
                <w:rFonts w:ascii="Arial Narrow" w:hAnsi="Arial Narrow" w:cs="Arial Narrow"/>
                <w:color w:val="000000"/>
                <w:sz w:val="16"/>
              </w:rPr>
              <w:t>0.3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9A39071" w14:textId="77777777" w:rsidR="003E306B" w:rsidRDefault="003E306B" w:rsidP="003E78FD">
            <w:r>
              <w:rPr>
                <w:rFonts w:ascii="Arial Narrow" w:hAnsi="Arial Narrow" w:cs="Arial Narrow"/>
                <w:color w:val="000000"/>
                <w:sz w:val="16"/>
              </w:rPr>
              <w:t>0.8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2E8F260" w14:textId="77777777" w:rsidR="003E306B" w:rsidRDefault="003E306B" w:rsidP="003E78FD">
            <w:r>
              <w:rPr>
                <w:rFonts w:ascii="Arial Narrow" w:hAnsi="Arial Narrow" w:cs="Arial Narrow"/>
                <w:color w:val="000000"/>
                <w:sz w:val="16"/>
              </w:rPr>
              <w:t>0.4</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DA736FA" w14:textId="77777777" w:rsidR="003E306B" w:rsidRDefault="003E306B" w:rsidP="003E78FD">
            <w:r>
              <w:rPr>
                <w:rFonts w:ascii="Arial Narrow" w:hAnsi="Arial Narrow" w:cs="Arial Narrow"/>
                <w:color w:val="000000"/>
                <w:sz w:val="16"/>
              </w:rPr>
              <w:t>1.8</w:t>
            </w:r>
          </w:p>
        </w:tc>
        <w:tc>
          <w:tcPr>
            <w:tcW w:w="63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2F4D017" w14:textId="77777777" w:rsidR="003E306B" w:rsidRDefault="003E306B" w:rsidP="003E78FD">
            <w:r>
              <w:rPr>
                <w:rFonts w:ascii="Arial Narrow" w:hAnsi="Arial Narrow" w:cs="Arial Narrow"/>
                <w:color w:val="000000"/>
                <w:sz w:val="16"/>
              </w:rPr>
              <w:t>5.2</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4DFCFD4" w14:textId="77777777" w:rsidR="003E306B" w:rsidRDefault="003E306B" w:rsidP="003E78FD">
            <w:r>
              <w:rPr>
                <w:rFonts w:ascii="Arial Narrow" w:hAnsi="Arial Narrow" w:cs="Arial Narrow"/>
                <w:color w:val="000000"/>
                <w:sz w:val="16"/>
              </w:rPr>
              <w:t>5.5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934F12D" w14:textId="77777777" w:rsidR="003E306B" w:rsidRDefault="003E306B" w:rsidP="003E78FD">
            <w:r>
              <w:rPr>
                <w:rFonts w:ascii="Arial Narrow" w:hAnsi="Arial Narrow" w:cs="Arial Narrow"/>
                <w:color w:val="000000"/>
                <w:sz w:val="16"/>
              </w:rPr>
              <w:t>1.5</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F151A40" w14:textId="77777777" w:rsidR="003E306B" w:rsidRDefault="003E306B" w:rsidP="003E78FD">
            <w:r>
              <w:rPr>
                <w:rFonts w:ascii="Arial Narrow" w:hAnsi="Arial Narrow" w:cs="Arial Narrow"/>
                <w:color w:val="000000"/>
                <w:sz w:val="16"/>
              </w:rPr>
              <w:t>6.6</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379CC6FE" w14:textId="77777777" w:rsidR="003E306B" w:rsidRDefault="003E306B" w:rsidP="003E78FD">
            <w:r>
              <w:rPr>
                <w:rFonts w:ascii="Arial Narrow" w:hAnsi="Arial Narrow" w:cs="Arial Narrow"/>
                <w:color w:val="000000"/>
                <w:sz w:val="16"/>
              </w:rPr>
              <w:t>2.9</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48ACB87" w14:textId="77777777" w:rsidR="003E306B" w:rsidRDefault="003E306B" w:rsidP="003E78FD">
            <w:r>
              <w:rPr>
                <w:rFonts w:ascii="Arial Narrow" w:hAnsi="Arial Narrow" w:cs="Arial Narrow"/>
                <w:color w:val="000000"/>
                <w:sz w:val="16"/>
              </w:rPr>
              <w:t>0.6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BAEB7EF" w14:textId="77777777" w:rsidR="003E306B" w:rsidRDefault="003E306B" w:rsidP="003E78FD">
            <w:r>
              <w:rPr>
                <w:rFonts w:ascii="Arial Narrow" w:hAnsi="Arial Narrow" w:cs="Arial Narrow"/>
                <w:color w:val="000000"/>
                <w:sz w:val="16"/>
              </w:rPr>
              <w:t>0.3</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8D32703" w14:textId="77777777" w:rsidR="003E306B" w:rsidRDefault="003E306B" w:rsidP="003E78FD">
            <w:r>
              <w:rPr>
                <w:rFonts w:ascii="Arial Narrow" w:hAnsi="Arial Narrow" w:cs="Arial Narrow"/>
                <w:color w:val="000000"/>
                <w:sz w:val="16"/>
              </w:rPr>
              <w:t>0.2</w:t>
            </w:r>
          </w:p>
        </w:tc>
      </w:tr>
      <w:tr w:rsidR="003E306B" w14:paraId="6A0F9AEC" w14:textId="77777777" w:rsidTr="003E306B">
        <w:tc>
          <w:tcPr>
            <w:tcW w:w="12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3351362" w14:textId="77777777" w:rsidR="003E306B" w:rsidRDefault="003E306B" w:rsidP="003E78FD">
            <w:r>
              <w:rPr>
                <w:rFonts w:ascii="Arial Narrow" w:hAnsi="Arial Narrow" w:cs="Arial Narrow"/>
                <w:color w:val="000000"/>
                <w:sz w:val="16"/>
              </w:rPr>
              <w:t>Mackay Whitsunday</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6356B93" w14:textId="77777777" w:rsidR="003E306B" w:rsidRDefault="0033244F" w:rsidP="003E78FD">
            <w:r>
              <w:rPr>
                <w:rFonts w:ascii="Arial Narrow" w:hAnsi="Arial Narrow" w:cs="Arial Narrow"/>
                <w:color w:val="000000"/>
                <w:sz w:val="16"/>
              </w:rPr>
              <w:t>O’Connell</w:t>
            </w:r>
            <w:r w:rsidR="003E306B">
              <w:rPr>
                <w:rFonts w:ascii="Arial Narrow" w:hAnsi="Arial Narrow" w:cs="Arial Narrow"/>
                <w:color w:val="000000"/>
                <w:sz w:val="16"/>
              </w:rPr>
              <w:t xml:space="preserve"> River (124001B)</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A6C9922" w14:textId="77777777" w:rsidR="003E306B" w:rsidRDefault="003E306B" w:rsidP="003E78FD">
            <w:r>
              <w:rPr>
                <w:rFonts w:ascii="Arial Narrow" w:hAnsi="Arial Narrow" w:cs="Arial Narrow"/>
                <w:color w:val="000000"/>
                <w:sz w:val="16"/>
              </w:rPr>
              <w:t xml:space="preserve"> 150788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3B5FB4"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7D358A1" w14:textId="77777777" w:rsidR="003E306B" w:rsidRDefault="003E306B" w:rsidP="003E78FD">
            <w:r>
              <w:rPr>
                <w:rFonts w:ascii="Arial Narrow" w:hAnsi="Arial Narrow" w:cs="Arial Narrow"/>
                <w:color w:val="000000"/>
                <w:sz w:val="16"/>
              </w:rPr>
              <w:t>0.6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1FBE2F7" w14:textId="77777777" w:rsidR="003E306B" w:rsidRDefault="003E306B" w:rsidP="003E78FD">
            <w:r>
              <w:rPr>
                <w:rFonts w:ascii="Arial Narrow" w:hAnsi="Arial Narrow" w:cs="Arial Narrow"/>
                <w:color w:val="000000"/>
                <w:sz w:val="16"/>
              </w:rPr>
              <w:t>0.2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73F0CB2" w14:textId="77777777" w:rsidR="003E306B" w:rsidRDefault="003E306B" w:rsidP="003E78FD">
            <w:r>
              <w:rPr>
                <w:rFonts w:ascii="Arial Narrow" w:hAnsi="Arial Narrow" w:cs="Arial Narrow"/>
                <w:color w:val="000000"/>
                <w:sz w:val="16"/>
              </w:rPr>
              <w:t>0.2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8D70950" w14:textId="77777777" w:rsidR="003E306B" w:rsidRDefault="003E306B" w:rsidP="003E78FD">
            <w:r>
              <w:rPr>
                <w:rFonts w:ascii="Arial Narrow" w:hAnsi="Arial Narrow" w:cs="Arial Narrow"/>
                <w:color w:val="000000"/>
                <w:sz w:val="16"/>
              </w:rPr>
              <w:t>0.5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C8D3D8B" w14:textId="77777777" w:rsidR="003E306B" w:rsidRDefault="003E306B" w:rsidP="003E78FD">
            <w:r>
              <w:rPr>
                <w:rFonts w:ascii="Arial Narrow" w:hAnsi="Arial Narrow" w:cs="Arial Narrow"/>
                <w:color w:val="000000"/>
                <w:sz w:val="16"/>
              </w:rPr>
              <w:t>0.6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17EE487" w14:textId="77777777" w:rsidR="003E306B" w:rsidRDefault="003E306B" w:rsidP="003E78FD">
            <w:r>
              <w:rPr>
                <w:rFonts w:ascii="Arial Narrow" w:hAnsi="Arial Narrow" w:cs="Arial Narrow"/>
                <w:color w:val="000000"/>
                <w:sz w:val="16"/>
              </w:rPr>
              <w:t>1.1</w:t>
            </w:r>
          </w:p>
        </w:tc>
        <w:tc>
          <w:tcPr>
            <w:tcW w:w="634"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C11B939" w14:textId="77777777" w:rsidR="003E306B" w:rsidRDefault="003E306B" w:rsidP="003E78FD">
            <w:r>
              <w:rPr>
                <w:rFonts w:ascii="Arial Narrow" w:hAnsi="Arial Narrow" w:cs="Arial Narrow"/>
                <w:color w:val="000000"/>
                <w:sz w:val="16"/>
              </w:rPr>
              <w:t>1.7</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EFBCA06" w14:textId="77777777" w:rsidR="003E306B" w:rsidRDefault="003E306B" w:rsidP="003E78FD">
            <w:r>
              <w:rPr>
                <w:rFonts w:ascii="Arial Narrow" w:hAnsi="Arial Narrow" w:cs="Arial Narrow"/>
                <w:color w:val="000000"/>
                <w:sz w:val="16"/>
              </w:rPr>
              <w:t>1.3</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2C823966" w14:textId="77777777" w:rsidR="003E306B" w:rsidRDefault="003E306B" w:rsidP="003E78FD">
            <w:r>
              <w:rPr>
                <w:rFonts w:ascii="Arial Narrow" w:hAnsi="Arial Narrow" w:cs="Arial Narrow"/>
                <w:color w:val="000000"/>
                <w:sz w:val="16"/>
              </w:rPr>
              <w:t>2.2</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AE0C324" w14:textId="77777777" w:rsidR="003E306B" w:rsidRDefault="003E306B" w:rsidP="003E78FD">
            <w:r>
              <w:rPr>
                <w:rFonts w:ascii="Arial Narrow" w:hAnsi="Arial Narrow" w:cs="Arial Narrow"/>
                <w:color w:val="000000"/>
                <w:sz w:val="16"/>
              </w:rPr>
              <w:t>3.9</w:t>
            </w:r>
          </w:p>
        </w:tc>
        <w:tc>
          <w:tcPr>
            <w:tcW w:w="633"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3BAB01B0" w14:textId="77777777" w:rsidR="003E306B" w:rsidRDefault="003E306B" w:rsidP="003E78FD">
            <w:r>
              <w:rPr>
                <w:rFonts w:ascii="Arial Narrow" w:hAnsi="Arial Narrow" w:cs="Arial Narrow"/>
                <w:color w:val="000000"/>
                <w:sz w:val="16"/>
              </w:rPr>
              <w:t>1.9</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A6C8CF6" w14:textId="77777777" w:rsidR="003E306B" w:rsidRDefault="003E306B" w:rsidP="003E78FD">
            <w:r>
              <w:rPr>
                <w:rFonts w:ascii="Arial Narrow" w:hAnsi="Arial Narrow" w:cs="Arial Narrow"/>
                <w:color w:val="000000"/>
                <w:sz w:val="16"/>
              </w:rPr>
              <w:t>0.7</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16892E9" w14:textId="77777777" w:rsidR="003E306B" w:rsidRDefault="003E306B" w:rsidP="003E78FD">
            <w:r>
              <w:rPr>
                <w:rFonts w:ascii="Arial Narrow" w:hAnsi="Arial Narrow" w:cs="Arial Narrow"/>
                <w:color w:val="000000"/>
                <w:sz w:val="16"/>
              </w:rPr>
              <w:t>0.6</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3D8AA71" w14:textId="77777777" w:rsidR="003E306B" w:rsidRDefault="003E306B" w:rsidP="003E78FD">
            <w:r>
              <w:rPr>
                <w:rFonts w:ascii="Arial Narrow" w:hAnsi="Arial Narrow" w:cs="Arial Narrow"/>
                <w:color w:val="000000"/>
                <w:sz w:val="16"/>
              </w:rPr>
              <w:t>0.1</w:t>
            </w:r>
          </w:p>
        </w:tc>
      </w:tr>
      <w:tr w:rsidR="003E306B" w14:paraId="01884041" w14:textId="77777777" w:rsidTr="003E306B">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3B742D2" w14:textId="77777777" w:rsidR="003E306B" w:rsidRDefault="003E306B" w:rsidP="003E78FD"/>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88B727D" w14:textId="77777777" w:rsidR="003E306B" w:rsidRDefault="003E306B" w:rsidP="003E78FD">
            <w:r>
              <w:rPr>
                <w:rFonts w:ascii="Arial Narrow" w:hAnsi="Arial Narrow" w:cs="Arial Narrow"/>
                <w:color w:val="000000"/>
                <w:sz w:val="16"/>
              </w:rPr>
              <w:t>Pioneer River (125007A)</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8B41D84" w14:textId="77777777" w:rsidR="003E306B" w:rsidRDefault="003E306B" w:rsidP="003E78FD">
            <w:r>
              <w:rPr>
                <w:rFonts w:ascii="Arial Narrow" w:hAnsi="Arial Narrow" w:cs="Arial Narrow"/>
                <w:color w:val="000000"/>
                <w:sz w:val="16"/>
              </w:rPr>
              <w:t xml:space="preserve"> 355584</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30DD57AD" w14:textId="77777777" w:rsidR="003E306B" w:rsidRDefault="003E306B" w:rsidP="003E78FD">
            <w:r>
              <w:rPr>
                <w:rFonts w:ascii="Arial Narrow" w:hAnsi="Arial Narrow" w:cs="Arial Narrow"/>
                <w:color w:val="000000"/>
                <w:sz w:val="16"/>
              </w:rPr>
              <w:t>2.1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679521A" w14:textId="77777777" w:rsidR="003E306B" w:rsidRDefault="003E306B" w:rsidP="003E78FD">
            <w:r>
              <w:rPr>
                <w:rFonts w:ascii="Arial Narrow" w:hAnsi="Arial Narrow" w:cs="Arial Narrow"/>
                <w:color w:val="000000"/>
                <w:sz w:val="16"/>
              </w:rPr>
              <w:t>0.6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74F8982" w14:textId="77777777" w:rsidR="003E306B" w:rsidRDefault="003E306B" w:rsidP="003E78FD">
            <w:r>
              <w:rPr>
                <w:rFonts w:ascii="Arial Narrow" w:hAnsi="Arial Narrow" w:cs="Arial Narrow"/>
                <w:color w:val="000000"/>
                <w:sz w:val="16"/>
              </w:rPr>
              <w:t>0.3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15B26CD" w14:textId="77777777" w:rsidR="003E306B" w:rsidRDefault="003E306B" w:rsidP="003E78FD">
            <w:r>
              <w:rPr>
                <w:rFonts w:ascii="Arial Narrow" w:hAnsi="Arial Narrow" w:cs="Arial Narrow"/>
                <w:color w:val="000000"/>
                <w:sz w:val="16"/>
              </w:rPr>
              <w:t>0.1</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0EC79DD" w14:textId="77777777" w:rsidR="003E306B" w:rsidRDefault="003E306B" w:rsidP="003E78FD">
            <w:r>
              <w:rPr>
                <w:rFonts w:ascii="Arial Narrow" w:hAnsi="Arial Narrow" w:cs="Arial Narrow"/>
                <w:color w:val="000000"/>
                <w:sz w:val="16"/>
              </w:rPr>
              <w:t>0.6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B0BE2A3" w14:textId="77777777" w:rsidR="003E306B" w:rsidRDefault="003E306B" w:rsidP="003E78FD">
            <w:r>
              <w:rPr>
                <w:rFonts w:ascii="Arial Narrow" w:hAnsi="Arial Narrow" w:cs="Arial Narrow"/>
                <w:color w:val="000000"/>
                <w:sz w:val="16"/>
              </w:rPr>
              <w:t>0.2</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32024867" w14:textId="77777777" w:rsidR="003E306B" w:rsidRDefault="003E306B" w:rsidP="003E78FD">
            <w:r>
              <w:rPr>
                <w:rFonts w:ascii="Arial Narrow" w:hAnsi="Arial Narrow" w:cs="Arial Narrow"/>
                <w:color w:val="000000"/>
                <w:sz w:val="16"/>
              </w:rPr>
              <w:t>2.0</w:t>
            </w:r>
          </w:p>
        </w:tc>
        <w:tc>
          <w:tcPr>
            <w:tcW w:w="63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CA0724F" w14:textId="77777777" w:rsidR="003E306B" w:rsidRDefault="003E306B" w:rsidP="003E78FD">
            <w:r>
              <w:rPr>
                <w:rFonts w:ascii="Arial Narrow" w:hAnsi="Arial Narrow" w:cs="Arial Narrow"/>
                <w:color w:val="000000"/>
                <w:sz w:val="16"/>
              </w:rPr>
              <w:t>3.7</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524E00D6" w14:textId="77777777" w:rsidR="003E306B" w:rsidRDefault="003E306B" w:rsidP="003E78FD">
            <w:r>
              <w:rPr>
                <w:rFonts w:ascii="Arial Narrow" w:hAnsi="Arial Narrow" w:cs="Arial Narrow"/>
                <w:color w:val="000000"/>
                <w:sz w:val="16"/>
              </w:rPr>
              <w:t>2.3</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582FE2B" w14:textId="77777777" w:rsidR="003E306B" w:rsidRDefault="003E306B" w:rsidP="003E78FD">
            <w:r>
              <w:rPr>
                <w:rFonts w:ascii="Arial Narrow" w:hAnsi="Arial Narrow" w:cs="Arial Narrow"/>
                <w:color w:val="000000"/>
                <w:sz w:val="16"/>
              </w:rPr>
              <w:t>3.3</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D5D64BA" w14:textId="77777777" w:rsidR="003E306B" w:rsidRDefault="003E306B" w:rsidP="003E78FD">
            <w:r>
              <w:rPr>
                <w:rFonts w:ascii="Arial Narrow" w:hAnsi="Arial Narrow" w:cs="Arial Narrow"/>
                <w:color w:val="000000"/>
                <w:sz w:val="16"/>
              </w:rPr>
              <w:t>9.2</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2EE1ABF" w14:textId="77777777" w:rsidR="003E306B" w:rsidRDefault="003E306B" w:rsidP="003E78FD">
            <w:r>
              <w:rPr>
                <w:rFonts w:ascii="Arial Narrow" w:hAnsi="Arial Narrow" w:cs="Arial Narrow"/>
                <w:color w:val="000000"/>
                <w:sz w:val="16"/>
              </w:rPr>
              <w:t>3.7</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6384EFCB" w14:textId="77777777" w:rsidR="003E306B" w:rsidRDefault="003E306B" w:rsidP="003E78FD">
            <w:r>
              <w:rPr>
                <w:rFonts w:ascii="Arial Narrow" w:hAnsi="Arial Narrow" w:cs="Arial Narrow"/>
                <w:color w:val="000000"/>
                <w:sz w:val="16"/>
              </w:rPr>
              <w:t>2.6</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DF039DA" w14:textId="77777777" w:rsidR="003E306B" w:rsidRDefault="003E306B" w:rsidP="003E78FD">
            <w:r>
              <w:rPr>
                <w:rFonts w:ascii="Arial Narrow" w:hAnsi="Arial Narrow" w:cs="Arial Narrow"/>
                <w:color w:val="000000"/>
                <w:sz w:val="16"/>
              </w:rPr>
              <w:t>1.4</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3E84ABF" w14:textId="77777777" w:rsidR="003E306B" w:rsidRDefault="003E306B" w:rsidP="003E78FD">
            <w:r>
              <w:rPr>
                <w:rFonts w:ascii="Arial Narrow" w:hAnsi="Arial Narrow" w:cs="Arial Narrow"/>
                <w:color w:val="000000"/>
                <w:sz w:val="16"/>
              </w:rPr>
              <w:t>0.3</w:t>
            </w:r>
          </w:p>
        </w:tc>
      </w:tr>
      <w:tr w:rsidR="003E306B" w14:paraId="62339520" w14:textId="77777777" w:rsidTr="003E306B">
        <w:tc>
          <w:tcPr>
            <w:tcW w:w="129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315C04C" w14:textId="77777777" w:rsidR="003E306B" w:rsidRDefault="003E306B" w:rsidP="003E78FD">
            <w:r>
              <w:rPr>
                <w:rFonts w:ascii="Arial Narrow" w:hAnsi="Arial Narrow" w:cs="Arial Narrow"/>
                <w:color w:val="000000"/>
                <w:sz w:val="16"/>
              </w:rPr>
              <w:t>Fitzroy</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47F16C6" w14:textId="77777777" w:rsidR="003E306B" w:rsidRDefault="003E306B" w:rsidP="003E78FD">
            <w:r>
              <w:rPr>
                <w:rFonts w:ascii="Arial Narrow" w:hAnsi="Arial Narrow" w:cs="Arial Narrow"/>
                <w:color w:val="000000"/>
                <w:sz w:val="16"/>
              </w:rPr>
              <w:t>Fitzroy River (130005A)</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A999634" w14:textId="77777777" w:rsidR="003E306B" w:rsidRDefault="003E306B" w:rsidP="003E78FD">
            <w:r>
              <w:rPr>
                <w:rFonts w:ascii="Arial Narrow" w:hAnsi="Arial Narrow" w:cs="Arial Narrow"/>
                <w:color w:val="000000"/>
                <w:sz w:val="16"/>
              </w:rPr>
              <w:t>3071435</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1240E6C" w14:textId="77777777" w:rsidR="003E306B" w:rsidRDefault="003E306B" w:rsidP="003E78FD">
            <w:r>
              <w:rPr>
                <w:rFonts w:ascii="Arial Narrow" w:hAnsi="Arial Narrow" w:cs="Arial Narrow"/>
                <w:color w:val="000000"/>
                <w:sz w:val="16"/>
              </w:rPr>
              <w:t>1.0</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F4A34A7" w14:textId="77777777" w:rsidR="003E306B" w:rsidRDefault="003E306B" w:rsidP="003E78FD">
            <w:r>
              <w:rPr>
                <w:rFonts w:ascii="Arial Narrow" w:hAnsi="Arial Narrow" w:cs="Arial Narrow"/>
                <w:color w:val="000000"/>
                <w:sz w:val="16"/>
              </w:rPr>
              <w:t>0.2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CD2C855" w14:textId="77777777" w:rsidR="003E306B" w:rsidRDefault="003E306B" w:rsidP="003E78FD">
            <w:r>
              <w:rPr>
                <w:rFonts w:ascii="Arial Narrow" w:hAnsi="Arial Narrow" w:cs="Arial Narrow"/>
                <w:color w:val="000000"/>
                <w:sz w:val="16"/>
              </w:rPr>
              <w:t>0.8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D5C1A4D" w14:textId="77777777" w:rsidR="003E306B" w:rsidRDefault="003E306B" w:rsidP="003E78FD">
            <w:r>
              <w:rPr>
                <w:rFonts w:ascii="Arial Narrow" w:hAnsi="Arial Narrow" w:cs="Arial Narrow"/>
                <w:color w:val="000000"/>
                <w:sz w:val="16"/>
              </w:rPr>
              <w:t>0.4</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169E95F" w14:textId="77777777" w:rsidR="003E306B" w:rsidRDefault="003E306B" w:rsidP="003E78FD">
            <w:r>
              <w:rPr>
                <w:rFonts w:ascii="Arial Narrow" w:hAnsi="Arial Narrow" w:cs="Arial Narrow"/>
                <w:color w:val="000000"/>
                <w:sz w:val="16"/>
              </w:rPr>
              <w:t>0.3</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72A9C7B" w14:textId="77777777" w:rsidR="003E306B" w:rsidRDefault="003E306B" w:rsidP="003E78FD">
            <w:r>
              <w:rPr>
                <w:rFonts w:ascii="Arial Narrow" w:hAnsi="Arial Narrow" w:cs="Arial Narrow"/>
                <w:color w:val="000000"/>
                <w:sz w:val="16"/>
              </w:rPr>
              <w:t>0.2</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8C1F2A6" w14:textId="77777777" w:rsidR="003E306B" w:rsidRDefault="003E306B" w:rsidP="003E78FD">
            <w:r>
              <w:rPr>
                <w:rFonts w:ascii="Arial Narrow" w:hAnsi="Arial Narrow" w:cs="Arial Narrow"/>
                <w:color w:val="000000"/>
                <w:sz w:val="16"/>
              </w:rPr>
              <w:t>0.3</w:t>
            </w:r>
          </w:p>
        </w:tc>
        <w:tc>
          <w:tcPr>
            <w:tcW w:w="63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386AD95" w14:textId="77777777" w:rsidR="003E306B" w:rsidRDefault="003E306B" w:rsidP="003E78FD">
            <w:r>
              <w:rPr>
                <w:rFonts w:ascii="Arial Narrow" w:hAnsi="Arial Narrow" w:cs="Arial Narrow"/>
                <w:color w:val="000000"/>
                <w:sz w:val="16"/>
              </w:rPr>
              <w:t>4.0</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0BE20D1" w14:textId="77777777" w:rsidR="003E306B" w:rsidRDefault="003E306B" w:rsidP="003E78FD">
            <w:r>
              <w:rPr>
                <w:rFonts w:ascii="Arial Narrow" w:hAnsi="Arial Narrow" w:cs="Arial Narrow"/>
                <w:color w:val="000000"/>
                <w:sz w:val="16"/>
              </w:rPr>
              <w:t>0.7</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8FDDD26" w14:textId="77777777" w:rsidR="003E306B" w:rsidRDefault="003E306B" w:rsidP="003E78FD">
            <w:r>
              <w:rPr>
                <w:rFonts w:ascii="Arial Narrow" w:hAnsi="Arial Narrow" w:cs="Arial Narrow"/>
                <w:color w:val="000000"/>
                <w:sz w:val="16"/>
              </w:rPr>
              <w:t>3.8</w:t>
            </w:r>
          </w:p>
        </w:tc>
        <w:tc>
          <w:tcPr>
            <w:tcW w:w="633"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E19D1F2" w14:textId="77777777" w:rsidR="003E306B" w:rsidRDefault="003E306B" w:rsidP="003E78FD">
            <w:r>
              <w:rPr>
                <w:rFonts w:ascii="Arial Narrow" w:hAnsi="Arial Narrow" w:cs="Arial Narrow"/>
                <w:color w:val="000000"/>
                <w:sz w:val="16"/>
              </w:rPr>
              <w:t>12.4</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4F981445" w14:textId="77777777" w:rsidR="003E306B" w:rsidRDefault="003E306B" w:rsidP="003E78FD">
            <w:r>
              <w:rPr>
                <w:rFonts w:ascii="Arial Narrow" w:hAnsi="Arial Narrow" w:cs="Arial Narrow"/>
                <w:color w:val="000000"/>
                <w:sz w:val="16"/>
              </w:rPr>
              <w:t>2.6</w:t>
            </w:r>
          </w:p>
        </w:tc>
        <w:tc>
          <w:tcPr>
            <w:tcW w:w="633" w:type="dxa"/>
            <w:tcBorders>
              <w:top w:val="single" w:sz="4" w:space="0" w:color="000000"/>
              <w:left w:val="single" w:sz="4" w:space="0" w:color="000000"/>
              <w:bottom w:val="single" w:sz="4" w:space="0" w:color="000000"/>
              <w:right w:val="single" w:sz="4" w:space="0" w:color="000000"/>
            </w:tcBorders>
            <w:shd w:val="clear" w:color="auto" w:fill="FFA500"/>
            <w:tcMar>
              <w:top w:w="40" w:type="dxa"/>
              <w:left w:w="40" w:type="dxa"/>
              <w:bottom w:w="40" w:type="dxa"/>
              <w:right w:w="40" w:type="dxa"/>
            </w:tcMar>
            <w:vAlign w:val="center"/>
          </w:tcPr>
          <w:p w14:paraId="184E6F5D" w14:textId="77777777" w:rsidR="003E306B" w:rsidRDefault="003E306B" w:rsidP="003E78FD">
            <w:r>
              <w:rPr>
                <w:rFonts w:ascii="Arial Narrow" w:hAnsi="Arial Narrow" w:cs="Arial Narrow"/>
                <w:color w:val="000000"/>
                <w:sz w:val="16"/>
              </w:rPr>
              <w:t>2.8</w:t>
            </w:r>
          </w:p>
        </w:tc>
        <w:tc>
          <w:tcPr>
            <w:tcW w:w="6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4130387" w14:textId="77777777" w:rsidR="003E306B" w:rsidRDefault="003E306B" w:rsidP="003E78FD">
            <w:r>
              <w:rPr>
                <w:rFonts w:ascii="Arial Narrow" w:hAnsi="Arial Narrow" w:cs="Arial Narrow"/>
                <w:color w:val="000000"/>
                <w:sz w:val="16"/>
              </w:rPr>
              <w:t>0.5</w:t>
            </w:r>
          </w:p>
        </w:tc>
        <w:tc>
          <w:tcPr>
            <w:tcW w:w="63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87B031F" w14:textId="77777777" w:rsidR="003E306B" w:rsidRDefault="003E306B" w:rsidP="003E78FD">
            <w:r>
              <w:rPr>
                <w:rFonts w:ascii="Arial Narrow" w:hAnsi="Arial Narrow" w:cs="Arial Narrow"/>
                <w:color w:val="000000"/>
                <w:sz w:val="16"/>
              </w:rPr>
              <w:t>0.9</w:t>
            </w:r>
          </w:p>
        </w:tc>
      </w:tr>
    </w:tbl>
    <w:p w14:paraId="6FECD6CC" w14:textId="77777777" w:rsidR="00D05896" w:rsidRDefault="00D05896" w:rsidP="00D05896">
      <w:pPr>
        <w:rPr>
          <w:rStyle w:val="IntenseReference"/>
          <w:rFonts w:eastAsia="SimSun"/>
        </w:rPr>
      </w:pPr>
    </w:p>
    <w:p w14:paraId="6BF938B5" w14:textId="77777777" w:rsidR="00D05896" w:rsidRPr="003E78FD" w:rsidRDefault="00D05896" w:rsidP="00D05896">
      <w:pPr>
        <w:rPr>
          <w:rStyle w:val="IntenseReference"/>
        </w:rPr>
      </w:pPr>
      <w:r w:rsidRPr="003E78FD">
        <w:rPr>
          <w:rStyle w:val="IntenseReference"/>
          <w:rFonts w:eastAsia="SimSun"/>
        </w:rPr>
        <w:t xml:space="preserve">Values for each water year (October to September) represent the proportional discharge relative to long-term medians for each river (in ML).  Median discharges were estimated from available long-term time series and included data between 1970 until 2000. Colours highlight years for which flow was 1.5 to 2 times the median (yellow), 2 to 3 times the median (orange), or more than three times the median (red). *** Indicates years for which &gt;15% of daily flow estimates were not available, ** similarly indicate years for which &gt;15% of daily flow was not available but these missing records are likely have been zero flow and so annual flow estimates are valid, whereas an * indicates that between 5% and 15% of daily observations were missing. </w:t>
      </w:r>
      <w:r w:rsidRPr="003E78FD">
        <w:rPr>
          <w:rStyle w:val="IntenseReference"/>
        </w:rPr>
        <w:t>Discharge data were supplied by the Queensland Department of Natural Resources and Mines (gauging station codes given after river names).</w:t>
      </w:r>
    </w:p>
    <w:p w14:paraId="53016779" w14:textId="77777777" w:rsidR="003E306B" w:rsidRDefault="003E306B" w:rsidP="00406BD7">
      <w:r>
        <w:br w:type="page"/>
      </w:r>
    </w:p>
    <w:p w14:paraId="77EB6033" w14:textId="77777777" w:rsidR="008A1A24" w:rsidRPr="006E3C16" w:rsidRDefault="0063376B" w:rsidP="0063376B">
      <w:pPr>
        <w:pStyle w:val="Caption"/>
        <w:rPr>
          <w:vanish/>
        </w:rPr>
      </w:pPr>
      <w:bookmarkStart w:id="423" w:name="_Ref460423821"/>
      <w:bookmarkStart w:id="424" w:name="_Toc430267654"/>
      <w:bookmarkStart w:id="425" w:name="_Toc437424463"/>
      <w:bookmarkStart w:id="426" w:name="_Toc437424587"/>
      <w:bookmarkStart w:id="427" w:name="_Toc437432516"/>
      <w:bookmarkStart w:id="428" w:name="_Toc460491684"/>
      <w:bookmarkStart w:id="429" w:name="_Toc311284550"/>
      <w:bookmarkStart w:id="430" w:name="_Toc311371438"/>
      <w:bookmarkStart w:id="431" w:name="_Toc373742672"/>
      <w:bookmarkStart w:id="432" w:name="_Toc373742734"/>
      <w:bookmarkStart w:id="433" w:name="_Toc374701577"/>
      <w:bookmarkEnd w:id="422"/>
      <w:r w:rsidRPr="0063376B">
        <w:rPr>
          <w:rStyle w:val="Heading7Char"/>
          <w:rFonts w:eastAsia="SimSun"/>
        </w:rPr>
        <w:lastRenderedPageBreak/>
        <w:t xml:space="preserve">Table A </w:t>
      </w:r>
      <w:r w:rsidRPr="0063376B">
        <w:rPr>
          <w:rStyle w:val="Heading7Char"/>
          <w:rFonts w:eastAsia="SimSun"/>
        </w:rPr>
        <w:fldChar w:fldCharType="begin"/>
      </w:r>
      <w:r w:rsidRPr="0063376B">
        <w:rPr>
          <w:rStyle w:val="Heading7Char"/>
          <w:rFonts w:eastAsia="SimSun"/>
        </w:rPr>
        <w:instrText xml:space="preserve"> SEQ Table_A \* ARABIC </w:instrText>
      </w:r>
      <w:r w:rsidRPr="0063376B">
        <w:rPr>
          <w:rStyle w:val="Heading7Char"/>
          <w:rFonts w:eastAsia="SimSun"/>
        </w:rPr>
        <w:fldChar w:fldCharType="separate"/>
      </w:r>
      <w:r w:rsidR="00B61881">
        <w:rPr>
          <w:rStyle w:val="Heading7Char"/>
          <w:rFonts w:eastAsia="SimSun"/>
          <w:noProof/>
        </w:rPr>
        <w:t>2</w:t>
      </w:r>
      <w:r w:rsidRPr="0063376B">
        <w:rPr>
          <w:rStyle w:val="Heading7Char"/>
          <w:rFonts w:eastAsia="SimSun"/>
        </w:rPr>
        <w:fldChar w:fldCharType="end"/>
      </w:r>
      <w:bookmarkEnd w:id="423"/>
      <w:r w:rsidRPr="0063376B">
        <w:rPr>
          <w:rStyle w:val="Heading7Char"/>
          <w:rFonts w:eastAsia="SimSun"/>
        </w:rPr>
        <w:t>:</w:t>
      </w:r>
      <w:r w:rsidR="00F72491" w:rsidRPr="0063376B">
        <w:rPr>
          <w:rStyle w:val="Heading7Char"/>
          <w:rFonts w:eastAsia="SimSun"/>
        </w:rPr>
        <w:t xml:space="preserve"> </w:t>
      </w:r>
      <w:r w:rsidR="008A1A24" w:rsidRPr="0063376B">
        <w:rPr>
          <w:rStyle w:val="Heading7Char"/>
          <w:rFonts w:eastAsia="SimSun"/>
        </w:rPr>
        <w:t>Disturbance histories for coral monitoring locations</w:t>
      </w:r>
      <w:r w:rsidR="008A1A24" w:rsidRPr="00B24C68">
        <w:t>.</w:t>
      </w:r>
      <w:bookmarkEnd w:id="424"/>
      <w:bookmarkEnd w:id="425"/>
      <w:bookmarkEnd w:id="426"/>
      <w:bookmarkEnd w:id="427"/>
      <w:bookmarkEnd w:id="428"/>
      <w:r w:rsidR="008A1A24" w:rsidRPr="00B24C68">
        <w:t xml:space="preserve"> </w:t>
      </w:r>
    </w:p>
    <w:p w14:paraId="1BD67D2A" w14:textId="77777777" w:rsidR="00076BF0" w:rsidRPr="00B24C68" w:rsidRDefault="008A1A24">
      <w:pPr>
        <w:rPr>
          <w:rStyle w:val="IntenseReference"/>
        </w:rPr>
      </w:pPr>
      <w:r w:rsidRPr="00B24C68">
        <w:rPr>
          <w:rStyle w:val="IntenseReference"/>
        </w:rPr>
        <w:t>For coral bleaching, decimal fractions indicate the probability of occurrence at this site (see table footnote). Percentages in brackets are the observed proportional loss of hard coral cover for a given disturbance at that reef</w:t>
      </w:r>
      <w:r w:rsidR="00DC60D8">
        <w:rPr>
          <w:rStyle w:val="IntenseReference"/>
        </w:rPr>
        <w:t>. Proportional coral lost is the difference between model predicted coral cover</w:t>
      </w:r>
      <w:r w:rsidR="0086604D">
        <w:rPr>
          <w:rStyle w:val="IntenseReference"/>
        </w:rPr>
        <w:t xml:space="preserve"> and observed cover divided by model predicted cover, </w:t>
      </w:r>
      <w:r w:rsidR="00DC60D8">
        <w:rPr>
          <w:rStyle w:val="IntenseReference"/>
        </w:rPr>
        <w:t>following an identified disturbance (where predicted cover is based on pre-disturbance cover and allowing for growth as per the coral change indicator</w:t>
      </w:r>
      <w:r w:rsidR="0086604D">
        <w:rPr>
          <w:rStyle w:val="IntenseReference"/>
        </w:rPr>
        <w:t>)</w:t>
      </w:r>
      <w:r w:rsidRPr="00B24C68">
        <w:rPr>
          <w:rStyle w:val="IntenseReference"/>
        </w:rPr>
        <w:t>.</w:t>
      </w:r>
      <w:bookmarkEnd w:id="429"/>
      <w:bookmarkEnd w:id="430"/>
      <w:bookmarkEnd w:id="431"/>
      <w:bookmarkEnd w:id="432"/>
      <w:bookmarkEnd w:id="433"/>
    </w:p>
    <w:tbl>
      <w:tblPr>
        <w:tblpPr w:leftFromText="180" w:rightFromText="180" w:vertAnchor="text" w:tblpX="-22" w:tblpY="1"/>
        <w:tblOverlap w:val="never"/>
        <w:tblW w:w="139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Caption w:val="Table A1 2: Disturbance histories for coral monitoring locations."/>
        <w:tblDescription w:val="Table A1 2: Disturbance histories for coral monitoring locations. For coral bleaching, decimal fractions indicate the probability of occurrence at this site (see table footnote). Percentages in brackets are the observed proportional loss of hard coral cover for a given disturbance at that reef. Proportional coral lost is the difference between model predicted coral cover and observed cover divided by model predicted cover, following an identified disturbance (where predicted cover is based on pre-disturbance cover and allowing for growth as per the coral change indicator)."/>
      </w:tblPr>
      <w:tblGrid>
        <w:gridCol w:w="442"/>
        <w:gridCol w:w="708"/>
        <w:gridCol w:w="1843"/>
        <w:gridCol w:w="976"/>
        <w:gridCol w:w="851"/>
        <w:gridCol w:w="850"/>
        <w:gridCol w:w="8282"/>
      </w:tblGrid>
      <w:tr w:rsidR="0043643D" w:rsidRPr="00342237" w14:paraId="2A61A4B9" w14:textId="77777777" w:rsidTr="00040878">
        <w:trPr>
          <w:cantSplit/>
          <w:trHeight w:val="378"/>
        </w:trPr>
        <w:tc>
          <w:tcPr>
            <w:tcW w:w="442" w:type="dxa"/>
            <w:vMerge w:val="restart"/>
            <w:tcBorders>
              <w:top w:val="single" w:sz="12" w:space="0" w:color="auto"/>
            </w:tcBorders>
            <w:shd w:val="clear" w:color="auto" w:fill="F2F2F2" w:themeFill="background1" w:themeFillShade="F2"/>
            <w:tcMar>
              <w:top w:w="16" w:type="dxa"/>
              <w:left w:w="16" w:type="dxa"/>
              <w:bottom w:w="0" w:type="dxa"/>
              <w:right w:w="16" w:type="dxa"/>
            </w:tcMar>
            <w:textDirection w:val="btLr"/>
            <w:vAlign w:val="center"/>
          </w:tcPr>
          <w:p w14:paraId="0E8C78D2" w14:textId="77777777" w:rsidR="0043643D" w:rsidRPr="00342237" w:rsidRDefault="0043643D" w:rsidP="00040878">
            <w:pPr>
              <w:jc w:val="center"/>
              <w:rPr>
                <w:rStyle w:val="IntenseReference"/>
                <w:rFonts w:eastAsia="Arial Unicode MS"/>
              </w:rPr>
            </w:pPr>
            <w:r w:rsidRPr="00342237">
              <w:rPr>
                <w:rStyle w:val="IntenseReference"/>
              </w:rPr>
              <w:t>Region</w:t>
            </w:r>
          </w:p>
        </w:tc>
        <w:tc>
          <w:tcPr>
            <w:tcW w:w="708" w:type="dxa"/>
            <w:vMerge w:val="restart"/>
            <w:tcBorders>
              <w:top w:val="single" w:sz="12" w:space="0" w:color="auto"/>
            </w:tcBorders>
            <w:shd w:val="clear" w:color="auto" w:fill="F2F2F2" w:themeFill="background1" w:themeFillShade="F2"/>
            <w:tcMar>
              <w:top w:w="16" w:type="dxa"/>
              <w:left w:w="16" w:type="dxa"/>
              <w:bottom w:w="0" w:type="dxa"/>
              <w:right w:w="16" w:type="dxa"/>
            </w:tcMar>
            <w:textDirection w:val="btLr"/>
            <w:vAlign w:val="center"/>
          </w:tcPr>
          <w:p w14:paraId="3E03CB7C" w14:textId="77777777" w:rsidR="0043643D" w:rsidRPr="00342237" w:rsidRDefault="0043643D" w:rsidP="00040878">
            <w:pPr>
              <w:jc w:val="center"/>
              <w:rPr>
                <w:rStyle w:val="IntenseReference"/>
                <w:rFonts w:eastAsia="Arial Unicode MS"/>
              </w:rPr>
            </w:pPr>
            <w:r w:rsidRPr="00342237">
              <w:rPr>
                <w:rStyle w:val="IntenseReference"/>
              </w:rPr>
              <w:t>Catchment</w:t>
            </w:r>
          </w:p>
        </w:tc>
        <w:tc>
          <w:tcPr>
            <w:tcW w:w="1843"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32A21A8E" w14:textId="77777777" w:rsidR="0043643D" w:rsidRPr="00342237" w:rsidRDefault="0043643D" w:rsidP="00040878">
            <w:pPr>
              <w:jc w:val="center"/>
              <w:rPr>
                <w:rStyle w:val="IntenseReference"/>
                <w:rFonts w:eastAsia="Arial Unicode MS"/>
              </w:rPr>
            </w:pPr>
            <w:r w:rsidRPr="00342237">
              <w:rPr>
                <w:rStyle w:val="IntenseReference"/>
              </w:rPr>
              <w:t>Reef</w:t>
            </w:r>
          </w:p>
        </w:tc>
        <w:tc>
          <w:tcPr>
            <w:tcW w:w="2677" w:type="dxa"/>
            <w:gridSpan w:val="3"/>
            <w:tcBorders>
              <w:top w:val="single" w:sz="12" w:space="0" w:color="auto"/>
            </w:tcBorders>
            <w:shd w:val="clear" w:color="auto" w:fill="F2F2F2" w:themeFill="background1" w:themeFillShade="F2"/>
            <w:tcMar>
              <w:top w:w="16" w:type="dxa"/>
              <w:left w:w="16" w:type="dxa"/>
              <w:bottom w:w="0" w:type="dxa"/>
              <w:right w:w="16" w:type="dxa"/>
            </w:tcMar>
            <w:vAlign w:val="center"/>
          </w:tcPr>
          <w:p w14:paraId="0FE19082" w14:textId="77777777" w:rsidR="0043643D" w:rsidRPr="00342237" w:rsidRDefault="0043643D" w:rsidP="00040878">
            <w:pPr>
              <w:jc w:val="center"/>
              <w:rPr>
                <w:rStyle w:val="IntenseReference"/>
              </w:rPr>
            </w:pPr>
            <w:r w:rsidRPr="00342237">
              <w:rPr>
                <w:rStyle w:val="IntenseReference"/>
              </w:rPr>
              <w:t>Bleaching</w:t>
            </w:r>
          </w:p>
        </w:tc>
        <w:tc>
          <w:tcPr>
            <w:tcW w:w="8282"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5B717350" w14:textId="77777777" w:rsidR="0043643D" w:rsidRPr="00342237" w:rsidRDefault="0043643D" w:rsidP="00040878">
            <w:pPr>
              <w:jc w:val="center"/>
              <w:rPr>
                <w:rStyle w:val="IntenseReference"/>
                <w:rFonts w:eastAsia="Arial Unicode MS"/>
              </w:rPr>
            </w:pPr>
            <w:r w:rsidRPr="00342237">
              <w:rPr>
                <w:rStyle w:val="IntenseReference"/>
              </w:rPr>
              <w:t>Other recorded disturbances</w:t>
            </w:r>
          </w:p>
        </w:tc>
      </w:tr>
      <w:tr w:rsidR="0043643D" w:rsidRPr="00342237" w14:paraId="79FEB803" w14:textId="77777777" w:rsidTr="00040878">
        <w:trPr>
          <w:cantSplit/>
          <w:trHeight w:val="403"/>
        </w:trPr>
        <w:tc>
          <w:tcPr>
            <w:tcW w:w="442" w:type="dxa"/>
            <w:vMerge/>
            <w:vAlign w:val="center"/>
          </w:tcPr>
          <w:p w14:paraId="7EF90CD1" w14:textId="77777777" w:rsidR="0043643D" w:rsidRPr="00342237" w:rsidRDefault="0043643D" w:rsidP="00040878">
            <w:pPr>
              <w:rPr>
                <w:rStyle w:val="IntenseReference"/>
                <w:rFonts w:eastAsia="Arial Unicode MS"/>
              </w:rPr>
            </w:pPr>
          </w:p>
        </w:tc>
        <w:tc>
          <w:tcPr>
            <w:tcW w:w="708" w:type="dxa"/>
            <w:vMerge/>
            <w:vAlign w:val="center"/>
          </w:tcPr>
          <w:p w14:paraId="336DB64C" w14:textId="77777777" w:rsidR="0043643D" w:rsidRPr="00342237" w:rsidRDefault="0043643D" w:rsidP="00040878">
            <w:pPr>
              <w:rPr>
                <w:rStyle w:val="IntenseReference"/>
                <w:rFonts w:eastAsia="Arial Unicode MS"/>
              </w:rPr>
            </w:pPr>
          </w:p>
        </w:tc>
        <w:tc>
          <w:tcPr>
            <w:tcW w:w="1843" w:type="dxa"/>
            <w:vMerge/>
            <w:vAlign w:val="center"/>
          </w:tcPr>
          <w:p w14:paraId="12F74B91" w14:textId="77777777" w:rsidR="0043643D" w:rsidRPr="00342237" w:rsidRDefault="0043643D" w:rsidP="00040878">
            <w:pPr>
              <w:rPr>
                <w:rStyle w:val="IntenseReference"/>
                <w:rFonts w:eastAsia="Arial Unicode MS"/>
              </w:rPr>
            </w:pPr>
          </w:p>
        </w:tc>
        <w:tc>
          <w:tcPr>
            <w:tcW w:w="976" w:type="dxa"/>
            <w:shd w:val="clear" w:color="auto" w:fill="F2F2F2" w:themeFill="background1" w:themeFillShade="F2"/>
            <w:tcMar>
              <w:top w:w="16" w:type="dxa"/>
              <w:left w:w="16" w:type="dxa"/>
              <w:bottom w:w="0" w:type="dxa"/>
              <w:right w:w="16" w:type="dxa"/>
            </w:tcMar>
            <w:vAlign w:val="center"/>
          </w:tcPr>
          <w:p w14:paraId="341AB7DE" w14:textId="77777777" w:rsidR="0043643D" w:rsidRPr="00342237" w:rsidRDefault="0043643D" w:rsidP="00040878">
            <w:pPr>
              <w:jc w:val="center"/>
              <w:rPr>
                <w:rStyle w:val="IntenseReference"/>
                <w:rFonts w:eastAsia="Arial Unicode MS"/>
              </w:rPr>
            </w:pPr>
            <w:r w:rsidRPr="00342237">
              <w:rPr>
                <w:rStyle w:val="IntenseReference"/>
              </w:rPr>
              <w:t>1998</w:t>
            </w:r>
          </w:p>
        </w:tc>
        <w:tc>
          <w:tcPr>
            <w:tcW w:w="851" w:type="dxa"/>
            <w:shd w:val="clear" w:color="auto" w:fill="F2F2F2" w:themeFill="background1" w:themeFillShade="F2"/>
            <w:vAlign w:val="center"/>
          </w:tcPr>
          <w:p w14:paraId="000C905A" w14:textId="77777777" w:rsidR="0043643D" w:rsidRPr="00342237" w:rsidRDefault="0043643D" w:rsidP="00040878">
            <w:pPr>
              <w:jc w:val="center"/>
              <w:rPr>
                <w:rStyle w:val="IntenseReference"/>
                <w:rFonts w:eastAsia="Arial Unicode MS"/>
              </w:rPr>
            </w:pPr>
            <w:r w:rsidRPr="00342237">
              <w:rPr>
                <w:rStyle w:val="IntenseReference"/>
              </w:rPr>
              <w:t>2002</w:t>
            </w:r>
          </w:p>
        </w:tc>
        <w:tc>
          <w:tcPr>
            <w:tcW w:w="850" w:type="dxa"/>
            <w:shd w:val="clear" w:color="auto" w:fill="F2F2F2" w:themeFill="background1" w:themeFillShade="F2"/>
            <w:tcMar>
              <w:top w:w="16" w:type="dxa"/>
              <w:left w:w="16" w:type="dxa"/>
              <w:bottom w:w="0" w:type="dxa"/>
              <w:right w:w="16" w:type="dxa"/>
            </w:tcMar>
            <w:vAlign w:val="center"/>
          </w:tcPr>
          <w:p w14:paraId="7D0A71DB" w14:textId="77777777" w:rsidR="0043643D" w:rsidRPr="00342237" w:rsidRDefault="0043643D" w:rsidP="00040878">
            <w:pPr>
              <w:jc w:val="center"/>
              <w:rPr>
                <w:rStyle w:val="IntenseReference"/>
                <w:rFonts w:eastAsia="Arial Unicode MS"/>
              </w:rPr>
            </w:pPr>
            <w:r w:rsidRPr="00342237">
              <w:rPr>
                <w:rStyle w:val="IntenseReference"/>
                <w:rFonts w:eastAsia="Arial Unicode MS"/>
              </w:rPr>
              <w:t>2006</w:t>
            </w:r>
          </w:p>
        </w:tc>
        <w:tc>
          <w:tcPr>
            <w:tcW w:w="8282" w:type="dxa"/>
            <w:vMerge/>
            <w:vAlign w:val="center"/>
          </w:tcPr>
          <w:p w14:paraId="14BEE25D" w14:textId="77777777" w:rsidR="0043643D" w:rsidRPr="00342237" w:rsidRDefault="0043643D" w:rsidP="00040878">
            <w:pPr>
              <w:rPr>
                <w:rStyle w:val="IntenseReference"/>
                <w:rFonts w:eastAsia="Arial Unicode MS"/>
              </w:rPr>
            </w:pPr>
          </w:p>
        </w:tc>
      </w:tr>
      <w:tr w:rsidR="0043643D" w:rsidRPr="00342237" w14:paraId="3AD4C4AF" w14:textId="77777777" w:rsidTr="00040878">
        <w:trPr>
          <w:cantSplit/>
          <w:trHeight w:val="491"/>
        </w:trPr>
        <w:tc>
          <w:tcPr>
            <w:tcW w:w="442" w:type="dxa"/>
            <w:vMerge w:val="restart"/>
            <w:tcMar>
              <w:top w:w="16" w:type="dxa"/>
              <w:left w:w="16" w:type="dxa"/>
              <w:bottom w:w="0" w:type="dxa"/>
              <w:right w:w="16" w:type="dxa"/>
            </w:tcMar>
            <w:textDirection w:val="btLr"/>
            <w:vAlign w:val="center"/>
          </w:tcPr>
          <w:p w14:paraId="3BE64E11" w14:textId="77777777" w:rsidR="0043643D" w:rsidRPr="00342237" w:rsidRDefault="0043643D" w:rsidP="00040878">
            <w:pPr>
              <w:jc w:val="center"/>
              <w:rPr>
                <w:rStyle w:val="IntenseReference"/>
                <w:rFonts w:eastAsia="Arial Unicode MS"/>
              </w:rPr>
            </w:pPr>
            <w:r w:rsidRPr="00342237">
              <w:rPr>
                <w:rStyle w:val="IntenseReference"/>
              </w:rPr>
              <w:t>Wet Tropics</w:t>
            </w:r>
          </w:p>
        </w:tc>
        <w:tc>
          <w:tcPr>
            <w:tcW w:w="708" w:type="dxa"/>
            <w:vMerge w:val="restart"/>
            <w:tcMar>
              <w:top w:w="16" w:type="dxa"/>
              <w:left w:w="16" w:type="dxa"/>
              <w:bottom w:w="0" w:type="dxa"/>
              <w:right w:w="16" w:type="dxa"/>
            </w:tcMar>
            <w:textDirection w:val="btLr"/>
            <w:vAlign w:val="center"/>
          </w:tcPr>
          <w:p w14:paraId="0D4DA923" w14:textId="77777777" w:rsidR="0043643D" w:rsidRPr="00342237" w:rsidRDefault="0043643D" w:rsidP="00040878">
            <w:pPr>
              <w:jc w:val="center"/>
              <w:rPr>
                <w:rStyle w:val="IntenseReference"/>
              </w:rPr>
            </w:pPr>
            <w:r w:rsidRPr="00342237">
              <w:rPr>
                <w:rStyle w:val="IntenseReference"/>
              </w:rPr>
              <w:t>Barron</w:t>
            </w:r>
          </w:p>
          <w:p w14:paraId="775E57B6" w14:textId="77777777" w:rsidR="0043643D" w:rsidRPr="00342237" w:rsidRDefault="0043643D" w:rsidP="00040878">
            <w:pPr>
              <w:jc w:val="center"/>
              <w:rPr>
                <w:rStyle w:val="IntenseReference"/>
                <w:rFonts w:eastAsia="Arial Unicode MS"/>
              </w:rPr>
            </w:pPr>
            <w:r w:rsidRPr="00342237">
              <w:rPr>
                <w:rStyle w:val="IntenseReference"/>
              </w:rPr>
              <w:t>Daintree</w:t>
            </w:r>
          </w:p>
        </w:tc>
        <w:tc>
          <w:tcPr>
            <w:tcW w:w="1843" w:type="dxa"/>
            <w:tcMar>
              <w:top w:w="16" w:type="dxa"/>
              <w:left w:w="16" w:type="dxa"/>
              <w:bottom w:w="0" w:type="dxa"/>
              <w:right w:w="16" w:type="dxa"/>
            </w:tcMar>
            <w:vAlign w:val="bottom"/>
          </w:tcPr>
          <w:p w14:paraId="7957E390" w14:textId="77777777" w:rsidR="0043643D" w:rsidRPr="00342237" w:rsidRDefault="0043643D" w:rsidP="00040878">
            <w:pPr>
              <w:ind w:left="200"/>
              <w:rPr>
                <w:rStyle w:val="IntenseReference"/>
                <w:rFonts w:eastAsia="Arial Unicode MS"/>
              </w:rPr>
            </w:pPr>
            <w:r w:rsidRPr="00342237">
              <w:rPr>
                <w:rStyle w:val="IntenseReference"/>
              </w:rPr>
              <w:t>Snapper North</w:t>
            </w:r>
          </w:p>
        </w:tc>
        <w:tc>
          <w:tcPr>
            <w:tcW w:w="976" w:type="dxa"/>
            <w:tcMar>
              <w:top w:w="16" w:type="dxa"/>
              <w:left w:w="16" w:type="dxa"/>
              <w:bottom w:w="0" w:type="dxa"/>
              <w:right w:w="16" w:type="dxa"/>
            </w:tcMar>
            <w:vAlign w:val="center"/>
          </w:tcPr>
          <w:p w14:paraId="3BC214A8"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0.92 (19%)</w:t>
            </w:r>
          </w:p>
        </w:tc>
        <w:tc>
          <w:tcPr>
            <w:tcW w:w="851" w:type="dxa"/>
            <w:vAlign w:val="center"/>
          </w:tcPr>
          <w:p w14:paraId="1F9F48ED"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0.95 (Nil)</w:t>
            </w:r>
          </w:p>
        </w:tc>
        <w:tc>
          <w:tcPr>
            <w:tcW w:w="850" w:type="dxa"/>
            <w:tcMar>
              <w:top w:w="16" w:type="dxa"/>
              <w:left w:w="16" w:type="dxa"/>
              <w:bottom w:w="0" w:type="dxa"/>
              <w:right w:w="16" w:type="dxa"/>
            </w:tcMar>
            <w:vAlign w:val="center"/>
          </w:tcPr>
          <w:p w14:paraId="3CBD620C"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486737CE" w14:textId="77777777" w:rsidR="0043643D" w:rsidRPr="00076BF0" w:rsidRDefault="0043643D" w:rsidP="00040878">
            <w:pPr>
              <w:spacing w:after="0"/>
              <w:rPr>
                <w:rStyle w:val="IntenseReference"/>
                <w:rFonts w:eastAsia="Arial Unicode MS"/>
                <w:color w:val="auto"/>
                <w:sz w:val="18"/>
                <w:szCs w:val="18"/>
              </w:rPr>
            </w:pPr>
            <w:r w:rsidRPr="00076BF0">
              <w:rPr>
                <w:rStyle w:val="IntenseReference"/>
                <w:color w:val="auto"/>
                <w:sz w:val="18"/>
                <w:szCs w:val="18"/>
              </w:rPr>
              <w:t xml:space="preserve">Flood 1996 (20%), Cyclone Rona 1999 (74%), </w:t>
            </w:r>
            <w:r w:rsidRPr="00076BF0">
              <w:rPr>
                <w:rStyle w:val="IntenseReference"/>
                <w:sz w:val="18"/>
                <w:szCs w:val="18"/>
              </w:rPr>
              <w:t>Storm 2009 (13% at 2m 8% at 5m),</w:t>
            </w:r>
            <w:r w:rsidRPr="00076BF0">
              <w:rPr>
                <w:rStyle w:val="IntenseReference"/>
                <w:color w:val="auto"/>
                <w:sz w:val="18"/>
                <w:szCs w:val="18"/>
              </w:rPr>
              <w:t>Disease 2011 (2</w:t>
            </w:r>
            <w:r w:rsidRPr="00076BF0">
              <w:rPr>
                <w:rStyle w:val="IntenseReference"/>
                <w:sz w:val="18"/>
                <w:szCs w:val="18"/>
              </w:rPr>
              <w:t>0</w:t>
            </w:r>
            <w:r w:rsidRPr="00076BF0">
              <w:rPr>
                <w:rStyle w:val="IntenseReference"/>
                <w:color w:val="auto"/>
                <w:sz w:val="18"/>
                <w:szCs w:val="18"/>
              </w:rPr>
              <w:t xml:space="preserve">% at 2m, </w:t>
            </w:r>
            <w:r w:rsidRPr="00076BF0">
              <w:rPr>
                <w:rStyle w:val="IntenseReference"/>
                <w:sz w:val="18"/>
                <w:szCs w:val="18"/>
              </w:rPr>
              <w:t>27</w:t>
            </w:r>
            <w:r w:rsidRPr="00076BF0">
              <w:rPr>
                <w:rStyle w:val="IntenseReference"/>
                <w:color w:val="auto"/>
                <w:sz w:val="18"/>
                <w:szCs w:val="18"/>
              </w:rPr>
              <w:t>% at 5m), crown-of-thorns 2012</w:t>
            </w:r>
            <w:r w:rsidRPr="00076BF0">
              <w:rPr>
                <w:rStyle w:val="IntenseReference"/>
                <w:sz w:val="18"/>
                <w:szCs w:val="18"/>
              </w:rPr>
              <w:t>-2013</w:t>
            </w:r>
            <w:r w:rsidRPr="00076BF0">
              <w:rPr>
                <w:rStyle w:val="IntenseReference"/>
                <w:color w:val="auto"/>
                <w:sz w:val="18"/>
                <w:szCs w:val="18"/>
              </w:rPr>
              <w:t xml:space="preserve"> (</w:t>
            </w:r>
            <w:r w:rsidRPr="00076BF0">
              <w:rPr>
                <w:rStyle w:val="IntenseReference"/>
                <w:sz w:val="18"/>
                <w:szCs w:val="18"/>
              </w:rPr>
              <w:t>38%</w:t>
            </w:r>
            <w:r w:rsidRPr="00076BF0">
              <w:rPr>
                <w:rStyle w:val="IntenseReference"/>
                <w:color w:val="auto"/>
                <w:sz w:val="18"/>
                <w:szCs w:val="18"/>
              </w:rPr>
              <w:t xml:space="preserve"> at 2m, </w:t>
            </w:r>
            <w:r w:rsidRPr="00076BF0">
              <w:rPr>
                <w:rStyle w:val="IntenseReference"/>
                <w:sz w:val="18"/>
                <w:szCs w:val="18"/>
              </w:rPr>
              <w:t>66</w:t>
            </w:r>
            <w:r w:rsidRPr="00076BF0">
              <w:rPr>
                <w:rStyle w:val="IntenseReference"/>
                <w:color w:val="auto"/>
                <w:sz w:val="18"/>
                <w:szCs w:val="18"/>
              </w:rPr>
              <w:t>% at 5m), Cyclone Ita 12</w:t>
            </w:r>
            <w:r w:rsidRPr="00076BF0">
              <w:rPr>
                <w:rStyle w:val="IntenseReference"/>
                <w:color w:val="auto"/>
                <w:sz w:val="18"/>
                <w:szCs w:val="18"/>
                <w:vertAlign w:val="superscript"/>
              </w:rPr>
              <w:t>th</w:t>
            </w:r>
            <w:r w:rsidRPr="00076BF0">
              <w:rPr>
                <w:rStyle w:val="IntenseReference"/>
                <w:color w:val="auto"/>
                <w:sz w:val="18"/>
                <w:szCs w:val="18"/>
              </w:rPr>
              <w:t xml:space="preserve"> April 2014 (</w:t>
            </w:r>
            <w:r w:rsidRPr="00076BF0">
              <w:rPr>
                <w:rStyle w:val="IntenseReference"/>
                <w:sz w:val="18"/>
                <w:szCs w:val="18"/>
              </w:rPr>
              <w:t>90</w:t>
            </w:r>
            <w:r w:rsidRPr="00076BF0">
              <w:rPr>
                <w:rStyle w:val="IntenseReference"/>
                <w:color w:val="auto"/>
                <w:sz w:val="18"/>
                <w:szCs w:val="18"/>
              </w:rPr>
              <w:t xml:space="preserve">% at 2m, </w:t>
            </w:r>
            <w:r w:rsidRPr="00076BF0">
              <w:rPr>
                <w:rStyle w:val="IntenseReference"/>
                <w:sz w:val="18"/>
                <w:szCs w:val="18"/>
              </w:rPr>
              <w:t>49</w:t>
            </w:r>
            <w:r w:rsidRPr="00076BF0">
              <w:rPr>
                <w:rStyle w:val="IntenseReference"/>
                <w:color w:val="auto"/>
                <w:sz w:val="18"/>
                <w:szCs w:val="18"/>
              </w:rPr>
              <w:t xml:space="preserve">% at 5m) – possible flood associated and crown-of-thorns 2014 </w:t>
            </w:r>
          </w:p>
        </w:tc>
      </w:tr>
      <w:tr w:rsidR="0043643D" w:rsidRPr="00342237" w14:paraId="69EE8054" w14:textId="77777777" w:rsidTr="00040878">
        <w:trPr>
          <w:cantSplit/>
          <w:trHeight w:val="447"/>
        </w:trPr>
        <w:tc>
          <w:tcPr>
            <w:tcW w:w="442" w:type="dxa"/>
            <w:vMerge/>
            <w:vAlign w:val="center"/>
          </w:tcPr>
          <w:p w14:paraId="0F8A482A" w14:textId="77777777" w:rsidR="0043643D" w:rsidRPr="00342237" w:rsidRDefault="0043643D" w:rsidP="00040878">
            <w:pPr>
              <w:rPr>
                <w:rStyle w:val="IntenseReference"/>
                <w:rFonts w:eastAsia="Arial Unicode MS"/>
              </w:rPr>
            </w:pPr>
          </w:p>
        </w:tc>
        <w:tc>
          <w:tcPr>
            <w:tcW w:w="708" w:type="dxa"/>
            <w:vMerge/>
            <w:vAlign w:val="center"/>
          </w:tcPr>
          <w:p w14:paraId="46FF3DE3"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48F60402" w14:textId="77777777" w:rsidR="0043643D" w:rsidRPr="00342237" w:rsidRDefault="0043643D" w:rsidP="00040878">
            <w:pPr>
              <w:ind w:left="200"/>
              <w:rPr>
                <w:rStyle w:val="IntenseReference"/>
                <w:rFonts w:eastAsia="Arial Unicode MS"/>
              </w:rPr>
            </w:pPr>
            <w:r w:rsidRPr="00342237">
              <w:rPr>
                <w:rStyle w:val="IntenseReference"/>
              </w:rPr>
              <w:t>Snapper South</w:t>
            </w:r>
          </w:p>
        </w:tc>
        <w:tc>
          <w:tcPr>
            <w:tcW w:w="976" w:type="dxa"/>
            <w:tcMar>
              <w:top w:w="16" w:type="dxa"/>
              <w:left w:w="16" w:type="dxa"/>
              <w:bottom w:w="0" w:type="dxa"/>
              <w:right w:w="16" w:type="dxa"/>
            </w:tcMar>
            <w:vAlign w:val="center"/>
          </w:tcPr>
          <w:p w14:paraId="210492B3"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0.92 (Nil)</w:t>
            </w:r>
          </w:p>
        </w:tc>
        <w:tc>
          <w:tcPr>
            <w:tcW w:w="851" w:type="dxa"/>
            <w:vAlign w:val="center"/>
          </w:tcPr>
          <w:p w14:paraId="477CABED"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0.95 (Nil)</w:t>
            </w:r>
          </w:p>
        </w:tc>
        <w:tc>
          <w:tcPr>
            <w:tcW w:w="850" w:type="dxa"/>
            <w:tcMar>
              <w:top w:w="16" w:type="dxa"/>
              <w:left w:w="16" w:type="dxa"/>
              <w:bottom w:w="0" w:type="dxa"/>
              <w:right w:w="16" w:type="dxa"/>
            </w:tcMar>
            <w:vAlign w:val="center"/>
          </w:tcPr>
          <w:p w14:paraId="14DC8734"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6B3BA324" w14:textId="77777777" w:rsidR="0043643D" w:rsidRPr="00076BF0" w:rsidRDefault="0043643D" w:rsidP="00040878">
            <w:pPr>
              <w:spacing w:after="0"/>
              <w:rPr>
                <w:rStyle w:val="IntenseReference"/>
                <w:rFonts w:eastAsia="Arial Unicode MS"/>
                <w:color w:val="auto"/>
                <w:sz w:val="18"/>
                <w:szCs w:val="18"/>
              </w:rPr>
            </w:pPr>
            <w:r w:rsidRPr="00076BF0">
              <w:rPr>
                <w:rStyle w:val="IntenseReference"/>
                <w:color w:val="auto"/>
                <w:sz w:val="18"/>
                <w:szCs w:val="18"/>
              </w:rPr>
              <w:t>Flood 1996 (87%), Flood 2004 (32%), crown-of-thorns 2013 (</w:t>
            </w:r>
            <w:r w:rsidRPr="00076BF0">
              <w:rPr>
                <w:rStyle w:val="IntenseReference"/>
                <w:sz w:val="18"/>
                <w:szCs w:val="18"/>
              </w:rPr>
              <w:t>25</w:t>
            </w:r>
            <w:r w:rsidRPr="00076BF0">
              <w:rPr>
                <w:rStyle w:val="IntenseReference"/>
                <w:color w:val="auto"/>
                <w:sz w:val="18"/>
                <w:szCs w:val="18"/>
              </w:rPr>
              <w:t xml:space="preserve">% at 2m, </w:t>
            </w:r>
            <w:r w:rsidRPr="00076BF0">
              <w:rPr>
                <w:rStyle w:val="IntenseReference"/>
                <w:sz w:val="18"/>
                <w:szCs w:val="18"/>
              </w:rPr>
              <w:t>17</w:t>
            </w:r>
            <w:r w:rsidRPr="00076BF0">
              <w:rPr>
                <w:rStyle w:val="IntenseReference"/>
                <w:color w:val="auto"/>
                <w:sz w:val="18"/>
                <w:szCs w:val="18"/>
              </w:rPr>
              <w:t>% at 5m), Cyclone Ita April 12</w:t>
            </w:r>
            <w:r w:rsidRPr="00076BF0">
              <w:rPr>
                <w:rStyle w:val="IntenseReference"/>
                <w:color w:val="auto"/>
                <w:sz w:val="18"/>
                <w:szCs w:val="18"/>
                <w:vertAlign w:val="superscript"/>
              </w:rPr>
              <w:t>th</w:t>
            </w:r>
            <w:r w:rsidRPr="00076BF0">
              <w:rPr>
                <w:rStyle w:val="IntenseReference"/>
                <w:color w:val="auto"/>
                <w:sz w:val="18"/>
                <w:szCs w:val="18"/>
              </w:rPr>
              <w:t xml:space="preserve"> 2014, (</w:t>
            </w:r>
            <w:r w:rsidRPr="00076BF0">
              <w:rPr>
                <w:rStyle w:val="IntenseReference"/>
                <w:sz w:val="18"/>
                <w:szCs w:val="18"/>
              </w:rPr>
              <w:t>17</w:t>
            </w:r>
            <w:r w:rsidRPr="00076BF0">
              <w:rPr>
                <w:rStyle w:val="IntenseReference"/>
                <w:color w:val="auto"/>
                <w:sz w:val="18"/>
                <w:szCs w:val="18"/>
              </w:rPr>
              <w:t xml:space="preserve">% at 2m, </w:t>
            </w:r>
            <w:r w:rsidRPr="00076BF0">
              <w:rPr>
                <w:rStyle w:val="IntenseReference"/>
                <w:sz w:val="18"/>
                <w:szCs w:val="18"/>
              </w:rPr>
              <w:t>21</w:t>
            </w:r>
            <w:r w:rsidRPr="00076BF0">
              <w:rPr>
                <w:rStyle w:val="IntenseReference"/>
                <w:color w:val="auto"/>
                <w:sz w:val="18"/>
                <w:szCs w:val="18"/>
              </w:rPr>
              <w:t>% at 5m)</w:t>
            </w:r>
          </w:p>
        </w:tc>
      </w:tr>
      <w:tr w:rsidR="0043643D" w:rsidRPr="00342237" w14:paraId="06F626D9" w14:textId="77777777" w:rsidTr="00040878">
        <w:trPr>
          <w:cantSplit/>
          <w:trHeight w:val="447"/>
        </w:trPr>
        <w:tc>
          <w:tcPr>
            <w:tcW w:w="442" w:type="dxa"/>
            <w:vMerge/>
            <w:vAlign w:val="center"/>
          </w:tcPr>
          <w:p w14:paraId="7DBE1837" w14:textId="77777777" w:rsidR="0043643D" w:rsidRPr="00342237" w:rsidRDefault="0043643D" w:rsidP="00040878">
            <w:pPr>
              <w:rPr>
                <w:rStyle w:val="IntenseReference"/>
                <w:rFonts w:eastAsia="Arial Unicode MS"/>
              </w:rPr>
            </w:pPr>
          </w:p>
        </w:tc>
        <w:tc>
          <w:tcPr>
            <w:tcW w:w="708" w:type="dxa"/>
            <w:vMerge/>
            <w:vAlign w:val="center"/>
          </w:tcPr>
          <w:p w14:paraId="00B3DFEF"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0FA2814F" w14:textId="77777777" w:rsidR="0043643D" w:rsidRPr="00342237" w:rsidRDefault="0043643D" w:rsidP="00040878">
            <w:pPr>
              <w:ind w:left="200"/>
              <w:rPr>
                <w:rStyle w:val="IntenseReference"/>
              </w:rPr>
            </w:pPr>
            <w:r>
              <w:rPr>
                <w:rStyle w:val="IntenseReference"/>
              </w:rPr>
              <w:t>Low Islet</w:t>
            </w:r>
          </w:p>
        </w:tc>
        <w:tc>
          <w:tcPr>
            <w:tcW w:w="976" w:type="dxa"/>
            <w:tcMar>
              <w:top w:w="16" w:type="dxa"/>
              <w:left w:w="16" w:type="dxa"/>
              <w:bottom w:w="0" w:type="dxa"/>
              <w:right w:w="16" w:type="dxa"/>
            </w:tcMar>
            <w:vAlign w:val="center"/>
          </w:tcPr>
          <w:p w14:paraId="684770FD" w14:textId="77777777" w:rsidR="0043643D" w:rsidRPr="00076BF0" w:rsidRDefault="0043643D" w:rsidP="00040878">
            <w:pPr>
              <w:jc w:val="center"/>
              <w:rPr>
                <w:rStyle w:val="IntenseReference"/>
                <w:sz w:val="18"/>
                <w:szCs w:val="18"/>
              </w:rPr>
            </w:pPr>
          </w:p>
        </w:tc>
        <w:tc>
          <w:tcPr>
            <w:tcW w:w="851" w:type="dxa"/>
            <w:vAlign w:val="center"/>
          </w:tcPr>
          <w:p w14:paraId="17C69595" w14:textId="77777777" w:rsidR="0043643D" w:rsidRPr="00076BF0" w:rsidRDefault="0043643D" w:rsidP="00040878">
            <w:pPr>
              <w:jc w:val="center"/>
              <w:rPr>
                <w:rStyle w:val="IntenseReference"/>
                <w:sz w:val="18"/>
                <w:szCs w:val="18"/>
              </w:rPr>
            </w:pPr>
          </w:p>
        </w:tc>
        <w:tc>
          <w:tcPr>
            <w:tcW w:w="850" w:type="dxa"/>
            <w:tcMar>
              <w:top w:w="16" w:type="dxa"/>
              <w:left w:w="16" w:type="dxa"/>
              <w:bottom w:w="0" w:type="dxa"/>
              <w:right w:w="16" w:type="dxa"/>
            </w:tcMar>
            <w:vAlign w:val="center"/>
          </w:tcPr>
          <w:p w14:paraId="38653412"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D8B6032" w14:textId="77777777" w:rsidR="0043643D" w:rsidRPr="00076BF0" w:rsidRDefault="0043643D" w:rsidP="00040878">
            <w:pPr>
              <w:spacing w:after="0"/>
              <w:jc w:val="left"/>
              <w:rPr>
                <w:rStyle w:val="IntenseReference"/>
                <w:color w:val="auto"/>
                <w:sz w:val="18"/>
                <w:szCs w:val="18"/>
              </w:rPr>
            </w:pPr>
            <w:r w:rsidRPr="00076BF0">
              <w:rPr>
                <w:rStyle w:val="IntenseReference"/>
                <w:color w:val="auto"/>
                <w:sz w:val="18"/>
                <w:szCs w:val="18"/>
              </w:rPr>
              <w:t>Crown-of-thorns 1997</w:t>
            </w:r>
            <w:r w:rsidRPr="00076BF0">
              <w:rPr>
                <w:rStyle w:val="IntenseReference"/>
                <w:sz w:val="18"/>
                <w:szCs w:val="18"/>
              </w:rPr>
              <w:t>-1999</w:t>
            </w:r>
            <w:r w:rsidRPr="00076BF0">
              <w:rPr>
                <w:rStyle w:val="IntenseReference"/>
                <w:color w:val="auto"/>
                <w:sz w:val="18"/>
                <w:szCs w:val="18"/>
              </w:rPr>
              <w:t xml:space="preserve"> (</w:t>
            </w:r>
            <w:r w:rsidRPr="00076BF0">
              <w:rPr>
                <w:rStyle w:val="IntenseReference"/>
                <w:sz w:val="18"/>
                <w:szCs w:val="18"/>
              </w:rPr>
              <w:t>52</w:t>
            </w:r>
            <w:r w:rsidRPr="00076BF0">
              <w:rPr>
                <w:rStyle w:val="IntenseReference"/>
                <w:color w:val="auto"/>
                <w:sz w:val="18"/>
                <w:szCs w:val="18"/>
              </w:rPr>
              <w:t>%), Multiple disturbances (Cyclone Rona, crown-of-thorns) 1999</w:t>
            </w:r>
            <w:r w:rsidRPr="00076BF0">
              <w:rPr>
                <w:rStyle w:val="IntenseReference"/>
                <w:sz w:val="18"/>
                <w:szCs w:val="18"/>
              </w:rPr>
              <w:t>-2000</w:t>
            </w:r>
            <w:r w:rsidRPr="00076BF0">
              <w:rPr>
                <w:rStyle w:val="IntenseReference"/>
                <w:color w:val="auto"/>
                <w:sz w:val="18"/>
                <w:szCs w:val="18"/>
              </w:rPr>
              <w:t xml:space="preserve"> (</w:t>
            </w:r>
            <w:r w:rsidRPr="00076BF0">
              <w:rPr>
                <w:rStyle w:val="IntenseReference"/>
                <w:sz w:val="18"/>
                <w:szCs w:val="18"/>
              </w:rPr>
              <w:t>61</w:t>
            </w:r>
            <w:r w:rsidRPr="00076BF0">
              <w:rPr>
                <w:rStyle w:val="IntenseReference"/>
                <w:color w:val="auto"/>
                <w:sz w:val="18"/>
                <w:szCs w:val="18"/>
              </w:rPr>
              <w:t>%), Multiple disturbances (Cyclone Yasi, bleaching and disease) 2009-201</w:t>
            </w:r>
            <w:r w:rsidRPr="00076BF0">
              <w:rPr>
                <w:rStyle w:val="IntenseReference"/>
                <w:sz w:val="18"/>
                <w:szCs w:val="18"/>
              </w:rPr>
              <w:t>1</w:t>
            </w:r>
            <w:r w:rsidRPr="00076BF0">
              <w:rPr>
                <w:rStyle w:val="IntenseReference"/>
                <w:color w:val="auto"/>
                <w:sz w:val="18"/>
                <w:szCs w:val="18"/>
              </w:rPr>
              <w:t xml:space="preserve"> (2</w:t>
            </w:r>
            <w:r w:rsidRPr="00076BF0">
              <w:rPr>
                <w:rStyle w:val="IntenseReference"/>
                <w:sz w:val="18"/>
                <w:szCs w:val="18"/>
              </w:rPr>
              <w:t>3</w:t>
            </w:r>
            <w:r w:rsidR="0033244F">
              <w:rPr>
                <w:rStyle w:val="IntenseReference"/>
                <w:color w:val="auto"/>
                <w:sz w:val="18"/>
                <w:szCs w:val="18"/>
              </w:rPr>
              <w:t>%)</w:t>
            </w:r>
            <w:r w:rsidRPr="00076BF0">
              <w:rPr>
                <w:rStyle w:val="IntenseReference"/>
                <w:color w:val="auto"/>
                <w:sz w:val="18"/>
                <w:szCs w:val="18"/>
              </w:rPr>
              <w:t xml:space="preserve">, Crown-of-thorns </w:t>
            </w:r>
            <w:r w:rsidRPr="00076BF0">
              <w:rPr>
                <w:rStyle w:val="IntenseReference"/>
                <w:sz w:val="18"/>
                <w:szCs w:val="18"/>
              </w:rPr>
              <w:t>2013-2015</w:t>
            </w:r>
            <w:r w:rsidRPr="00076BF0">
              <w:rPr>
                <w:rStyle w:val="IntenseReference"/>
                <w:color w:val="auto"/>
                <w:sz w:val="18"/>
                <w:szCs w:val="18"/>
              </w:rPr>
              <w:t>(</w:t>
            </w:r>
            <w:r w:rsidRPr="00076BF0">
              <w:rPr>
                <w:rStyle w:val="IntenseReference"/>
                <w:sz w:val="18"/>
                <w:szCs w:val="18"/>
              </w:rPr>
              <w:t>3</w:t>
            </w:r>
            <w:r w:rsidRPr="00076BF0">
              <w:rPr>
                <w:rStyle w:val="IntenseReference"/>
                <w:color w:val="auto"/>
                <w:sz w:val="18"/>
                <w:szCs w:val="18"/>
              </w:rPr>
              <w:t>8%)</w:t>
            </w:r>
          </w:p>
        </w:tc>
      </w:tr>
      <w:tr w:rsidR="0043643D" w:rsidRPr="00342237" w14:paraId="53C55C72" w14:textId="77777777" w:rsidTr="00040878">
        <w:trPr>
          <w:cantSplit/>
          <w:trHeight w:val="245"/>
        </w:trPr>
        <w:tc>
          <w:tcPr>
            <w:tcW w:w="442" w:type="dxa"/>
            <w:vMerge/>
            <w:vAlign w:val="center"/>
          </w:tcPr>
          <w:p w14:paraId="2C3D0DA7" w14:textId="77777777" w:rsidR="0043643D" w:rsidRPr="00342237" w:rsidRDefault="0043643D" w:rsidP="00040878">
            <w:pPr>
              <w:rPr>
                <w:rStyle w:val="IntenseReference"/>
                <w:rFonts w:eastAsia="Arial Unicode MS"/>
              </w:rPr>
            </w:pPr>
          </w:p>
        </w:tc>
        <w:tc>
          <w:tcPr>
            <w:tcW w:w="708" w:type="dxa"/>
            <w:vMerge w:val="restart"/>
            <w:tcMar>
              <w:top w:w="16" w:type="dxa"/>
              <w:left w:w="16" w:type="dxa"/>
              <w:bottom w:w="0" w:type="dxa"/>
              <w:right w:w="16" w:type="dxa"/>
            </w:tcMar>
            <w:textDirection w:val="btLr"/>
            <w:vAlign w:val="center"/>
          </w:tcPr>
          <w:p w14:paraId="3D4189B3" w14:textId="77777777" w:rsidR="0043643D" w:rsidRPr="00342237" w:rsidRDefault="0043643D" w:rsidP="00040878">
            <w:pPr>
              <w:jc w:val="center"/>
              <w:rPr>
                <w:rStyle w:val="IntenseReference"/>
              </w:rPr>
            </w:pPr>
            <w:r w:rsidRPr="00342237">
              <w:rPr>
                <w:rStyle w:val="IntenseReference"/>
              </w:rPr>
              <w:t xml:space="preserve">Johnstone </w:t>
            </w:r>
          </w:p>
          <w:p w14:paraId="164C5D30" w14:textId="77777777" w:rsidR="0043643D" w:rsidRPr="00342237" w:rsidRDefault="0043643D" w:rsidP="00040878">
            <w:pPr>
              <w:jc w:val="center"/>
              <w:rPr>
                <w:rStyle w:val="IntenseReference"/>
                <w:rFonts w:eastAsia="Arial Unicode MS"/>
              </w:rPr>
            </w:pPr>
            <w:r w:rsidRPr="00342237">
              <w:rPr>
                <w:rStyle w:val="IntenseReference"/>
              </w:rPr>
              <w:t xml:space="preserve">Russell-Mulgrave </w:t>
            </w:r>
          </w:p>
        </w:tc>
        <w:tc>
          <w:tcPr>
            <w:tcW w:w="1843" w:type="dxa"/>
            <w:tcMar>
              <w:top w:w="16" w:type="dxa"/>
              <w:left w:w="16" w:type="dxa"/>
              <w:bottom w:w="0" w:type="dxa"/>
              <w:right w:w="16" w:type="dxa"/>
            </w:tcMar>
            <w:vAlign w:val="bottom"/>
          </w:tcPr>
          <w:p w14:paraId="0A9FC705" w14:textId="77777777" w:rsidR="0043643D" w:rsidRPr="00342237" w:rsidRDefault="0043643D" w:rsidP="00040878">
            <w:pPr>
              <w:ind w:left="200"/>
              <w:rPr>
                <w:rStyle w:val="IntenseReference"/>
                <w:rFonts w:eastAsia="Arial Unicode MS"/>
              </w:rPr>
            </w:pPr>
            <w:r w:rsidRPr="00342237">
              <w:rPr>
                <w:rStyle w:val="IntenseReference"/>
              </w:rPr>
              <w:t>Fitzroy East</w:t>
            </w:r>
          </w:p>
        </w:tc>
        <w:tc>
          <w:tcPr>
            <w:tcW w:w="976" w:type="dxa"/>
            <w:tcMar>
              <w:top w:w="16" w:type="dxa"/>
              <w:left w:w="16" w:type="dxa"/>
              <w:bottom w:w="0" w:type="dxa"/>
              <w:right w:w="16" w:type="dxa"/>
            </w:tcMar>
            <w:vAlign w:val="center"/>
          </w:tcPr>
          <w:p w14:paraId="2EA2B05B"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0.92</w:t>
            </w:r>
          </w:p>
        </w:tc>
        <w:tc>
          <w:tcPr>
            <w:tcW w:w="851" w:type="dxa"/>
            <w:vAlign w:val="center"/>
          </w:tcPr>
          <w:p w14:paraId="32546CF9"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0.95</w:t>
            </w:r>
          </w:p>
        </w:tc>
        <w:tc>
          <w:tcPr>
            <w:tcW w:w="850" w:type="dxa"/>
            <w:tcMar>
              <w:top w:w="16" w:type="dxa"/>
              <w:left w:w="16" w:type="dxa"/>
              <w:bottom w:w="0" w:type="dxa"/>
              <w:right w:w="16" w:type="dxa"/>
            </w:tcMar>
            <w:vAlign w:val="center"/>
          </w:tcPr>
          <w:p w14:paraId="6BE56518"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5A644559" w14:textId="77777777" w:rsidR="0043643D" w:rsidRPr="00076BF0" w:rsidRDefault="0043643D" w:rsidP="00040878">
            <w:pPr>
              <w:spacing w:after="0"/>
              <w:rPr>
                <w:rStyle w:val="IntenseReference"/>
                <w:rFonts w:eastAsia="Arial Unicode MS"/>
                <w:sz w:val="18"/>
                <w:szCs w:val="18"/>
              </w:rPr>
            </w:pPr>
            <w:r w:rsidRPr="00076BF0">
              <w:rPr>
                <w:rStyle w:val="IntenseReference"/>
                <w:sz w:val="18"/>
                <w:szCs w:val="18"/>
              </w:rPr>
              <w:t>Cyclone Felicity 1989 (75% manta tow data), Disease 2010 (14% at 2m, 6% at 5m), Disease 2011 (60% at 2m, 42% at 5m), crown-of-thorns 2012 (12%), ), crown-of-thorns 2014(26% at 2m, 48% at 5m)</w:t>
            </w:r>
          </w:p>
        </w:tc>
      </w:tr>
      <w:tr w:rsidR="0043643D" w:rsidRPr="00342237" w14:paraId="588D37FD" w14:textId="77777777" w:rsidTr="00040878">
        <w:trPr>
          <w:cantSplit/>
          <w:trHeight w:val="318"/>
        </w:trPr>
        <w:tc>
          <w:tcPr>
            <w:tcW w:w="442" w:type="dxa"/>
            <w:vMerge/>
            <w:vAlign w:val="center"/>
          </w:tcPr>
          <w:p w14:paraId="55785795" w14:textId="77777777" w:rsidR="0043643D" w:rsidRPr="00342237" w:rsidRDefault="0043643D" w:rsidP="00040878">
            <w:pPr>
              <w:rPr>
                <w:rStyle w:val="IntenseReference"/>
                <w:rFonts w:eastAsia="Arial Unicode MS"/>
              </w:rPr>
            </w:pPr>
          </w:p>
        </w:tc>
        <w:tc>
          <w:tcPr>
            <w:tcW w:w="708" w:type="dxa"/>
            <w:vMerge/>
            <w:vAlign w:val="center"/>
          </w:tcPr>
          <w:p w14:paraId="04C4C4A0"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0BB7EB45" w14:textId="77777777" w:rsidR="0043643D" w:rsidRPr="00342237" w:rsidRDefault="0043643D" w:rsidP="00040878">
            <w:pPr>
              <w:ind w:left="200"/>
              <w:rPr>
                <w:rStyle w:val="IntenseReference"/>
                <w:rFonts w:eastAsia="Arial Unicode MS"/>
              </w:rPr>
            </w:pPr>
            <w:r w:rsidRPr="00342237">
              <w:rPr>
                <w:rStyle w:val="IntenseReference"/>
              </w:rPr>
              <w:t>Fitzroy West</w:t>
            </w:r>
          </w:p>
        </w:tc>
        <w:tc>
          <w:tcPr>
            <w:tcW w:w="976" w:type="dxa"/>
            <w:tcMar>
              <w:top w:w="16" w:type="dxa"/>
              <w:left w:w="16" w:type="dxa"/>
              <w:bottom w:w="0" w:type="dxa"/>
              <w:right w:w="16" w:type="dxa"/>
            </w:tcMar>
            <w:vAlign w:val="center"/>
          </w:tcPr>
          <w:p w14:paraId="29C971F0"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0.92 (13%)</w:t>
            </w:r>
          </w:p>
        </w:tc>
        <w:tc>
          <w:tcPr>
            <w:tcW w:w="851" w:type="dxa"/>
            <w:vAlign w:val="center"/>
          </w:tcPr>
          <w:p w14:paraId="3024BCAF"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0.95(15%)</w:t>
            </w:r>
          </w:p>
        </w:tc>
        <w:tc>
          <w:tcPr>
            <w:tcW w:w="850" w:type="dxa"/>
            <w:tcMar>
              <w:top w:w="16" w:type="dxa"/>
              <w:left w:w="16" w:type="dxa"/>
              <w:bottom w:w="0" w:type="dxa"/>
              <w:right w:w="16" w:type="dxa"/>
            </w:tcMar>
            <w:vAlign w:val="center"/>
          </w:tcPr>
          <w:p w14:paraId="0C675DC5"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7484FA06" w14:textId="77777777" w:rsidR="0043643D" w:rsidRPr="00076BF0" w:rsidRDefault="0043643D" w:rsidP="00040878">
            <w:pPr>
              <w:spacing w:after="0"/>
              <w:rPr>
                <w:rStyle w:val="IntenseReference"/>
                <w:sz w:val="18"/>
                <w:szCs w:val="18"/>
              </w:rPr>
            </w:pPr>
            <w:r w:rsidRPr="00076BF0">
              <w:rPr>
                <w:rStyle w:val="IntenseReference"/>
                <w:sz w:val="18"/>
                <w:szCs w:val="18"/>
              </w:rPr>
              <w:t xml:space="preserve">Crown-of-thorns 1999-2000 (78%), Cyclone Hamish 2009 (stalled recovery trajectory), </w:t>
            </w:r>
          </w:p>
          <w:p w14:paraId="2C789F82" w14:textId="77777777" w:rsidR="0043643D" w:rsidRPr="00076BF0" w:rsidRDefault="0043643D" w:rsidP="00040878">
            <w:pPr>
              <w:spacing w:after="0"/>
              <w:rPr>
                <w:rStyle w:val="IntenseReference"/>
                <w:sz w:val="18"/>
                <w:szCs w:val="18"/>
              </w:rPr>
            </w:pPr>
            <w:r w:rsidRPr="00076BF0">
              <w:rPr>
                <w:rStyle w:val="IntenseReference"/>
                <w:sz w:val="18"/>
                <w:szCs w:val="18"/>
              </w:rPr>
              <w:t>Disease 2011 (41% at 2m, 17% at 5m), crown-of-thorns 2012 (12% at 5m), crown-of-thorns 2013 (32% at 2m,36% at 5m),</w:t>
            </w:r>
          </w:p>
          <w:p w14:paraId="2A8C0449" w14:textId="77777777" w:rsidR="0043643D" w:rsidRPr="00076BF0" w:rsidRDefault="0043643D" w:rsidP="00040878">
            <w:pPr>
              <w:spacing w:after="0"/>
              <w:rPr>
                <w:rStyle w:val="IntenseReference"/>
                <w:rFonts w:eastAsia="Arial Unicode MS"/>
                <w:sz w:val="18"/>
                <w:szCs w:val="18"/>
              </w:rPr>
            </w:pPr>
            <w:r w:rsidRPr="00076BF0">
              <w:rPr>
                <w:rStyle w:val="IntenseReference"/>
                <w:sz w:val="18"/>
                <w:szCs w:val="18"/>
              </w:rPr>
              <w:t>crown-of-thorns 2014(5% at 2m)</w:t>
            </w:r>
          </w:p>
        </w:tc>
      </w:tr>
      <w:tr w:rsidR="0043643D" w:rsidRPr="00342237" w14:paraId="06A04F8C" w14:textId="77777777" w:rsidTr="00040878">
        <w:trPr>
          <w:cantSplit/>
          <w:trHeight w:val="318"/>
        </w:trPr>
        <w:tc>
          <w:tcPr>
            <w:tcW w:w="442" w:type="dxa"/>
            <w:vMerge/>
            <w:vAlign w:val="center"/>
          </w:tcPr>
          <w:p w14:paraId="3CA9CC16" w14:textId="77777777" w:rsidR="0043643D" w:rsidRPr="00342237" w:rsidRDefault="0043643D" w:rsidP="00040878">
            <w:pPr>
              <w:rPr>
                <w:rStyle w:val="IntenseReference"/>
                <w:rFonts w:eastAsia="Arial Unicode MS"/>
              </w:rPr>
            </w:pPr>
          </w:p>
        </w:tc>
        <w:tc>
          <w:tcPr>
            <w:tcW w:w="708" w:type="dxa"/>
            <w:vMerge/>
            <w:vAlign w:val="center"/>
          </w:tcPr>
          <w:p w14:paraId="59074667"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0724B22A" w14:textId="77777777" w:rsidR="0043643D" w:rsidRPr="00342237" w:rsidRDefault="0043643D" w:rsidP="00040878">
            <w:pPr>
              <w:ind w:left="200"/>
              <w:rPr>
                <w:rStyle w:val="IntenseReference"/>
              </w:rPr>
            </w:pPr>
            <w:r>
              <w:rPr>
                <w:rStyle w:val="IntenseReference"/>
              </w:rPr>
              <w:t>Fitzroy West LTMP</w:t>
            </w:r>
          </w:p>
        </w:tc>
        <w:tc>
          <w:tcPr>
            <w:tcW w:w="976" w:type="dxa"/>
            <w:tcMar>
              <w:top w:w="16" w:type="dxa"/>
              <w:left w:w="16" w:type="dxa"/>
              <w:bottom w:w="0" w:type="dxa"/>
              <w:right w:w="16" w:type="dxa"/>
            </w:tcMar>
            <w:vAlign w:val="center"/>
          </w:tcPr>
          <w:p w14:paraId="25D3B972" w14:textId="77777777" w:rsidR="0043643D" w:rsidRPr="00076BF0" w:rsidRDefault="0043643D" w:rsidP="00040878">
            <w:pPr>
              <w:jc w:val="center"/>
              <w:rPr>
                <w:rStyle w:val="IntenseReference"/>
                <w:sz w:val="18"/>
                <w:szCs w:val="18"/>
              </w:rPr>
            </w:pPr>
            <w:r w:rsidRPr="00076BF0">
              <w:rPr>
                <w:rStyle w:val="IntenseReference"/>
                <w:sz w:val="18"/>
                <w:szCs w:val="18"/>
              </w:rPr>
              <w:t>81%</w:t>
            </w:r>
          </w:p>
        </w:tc>
        <w:tc>
          <w:tcPr>
            <w:tcW w:w="851" w:type="dxa"/>
            <w:vAlign w:val="center"/>
          </w:tcPr>
          <w:p w14:paraId="467E0921" w14:textId="77777777" w:rsidR="0043643D" w:rsidRPr="00076BF0" w:rsidRDefault="0043643D" w:rsidP="00040878">
            <w:pPr>
              <w:jc w:val="center"/>
              <w:rPr>
                <w:rStyle w:val="IntenseReference"/>
                <w:sz w:val="18"/>
                <w:szCs w:val="18"/>
              </w:rPr>
            </w:pPr>
          </w:p>
        </w:tc>
        <w:tc>
          <w:tcPr>
            <w:tcW w:w="850" w:type="dxa"/>
            <w:tcMar>
              <w:top w:w="16" w:type="dxa"/>
              <w:left w:w="16" w:type="dxa"/>
              <w:bottom w:w="0" w:type="dxa"/>
              <w:right w:w="16" w:type="dxa"/>
            </w:tcMar>
            <w:vAlign w:val="center"/>
          </w:tcPr>
          <w:p w14:paraId="6C311219"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3190447D" w14:textId="77777777" w:rsidR="0043643D" w:rsidRPr="00076BF0" w:rsidRDefault="0043643D" w:rsidP="00040878">
            <w:pPr>
              <w:spacing w:after="0"/>
              <w:jc w:val="left"/>
              <w:rPr>
                <w:rStyle w:val="IntenseReference"/>
                <w:sz w:val="18"/>
                <w:szCs w:val="18"/>
              </w:rPr>
            </w:pPr>
            <w:r w:rsidRPr="00076BF0">
              <w:rPr>
                <w:rStyle w:val="IntenseReference"/>
                <w:sz w:val="18"/>
                <w:szCs w:val="18"/>
              </w:rPr>
              <w:t>Crown-of-thorns and conti</w:t>
            </w:r>
            <w:r w:rsidR="0033244F">
              <w:rPr>
                <w:rStyle w:val="IntenseReference"/>
                <w:sz w:val="18"/>
                <w:szCs w:val="18"/>
              </w:rPr>
              <w:t>nued bleaching 1999-2000 (81%),</w:t>
            </w:r>
            <w:r w:rsidRPr="00076BF0">
              <w:rPr>
                <w:rStyle w:val="IntenseReference"/>
                <w:sz w:val="18"/>
                <w:szCs w:val="18"/>
              </w:rPr>
              <w:t xml:space="preserve"> crown-of-thorns 2013 (5%) and 2014-15(46%)</w:t>
            </w:r>
          </w:p>
        </w:tc>
      </w:tr>
      <w:tr w:rsidR="0043643D" w:rsidRPr="00342237" w14:paraId="68EF1C03" w14:textId="77777777" w:rsidTr="00040878">
        <w:trPr>
          <w:cantSplit/>
          <w:trHeight w:val="466"/>
        </w:trPr>
        <w:tc>
          <w:tcPr>
            <w:tcW w:w="442" w:type="dxa"/>
            <w:vMerge/>
            <w:vAlign w:val="center"/>
          </w:tcPr>
          <w:p w14:paraId="4F18630F" w14:textId="77777777" w:rsidR="0043643D" w:rsidRPr="00342237" w:rsidRDefault="0043643D" w:rsidP="00040878">
            <w:pPr>
              <w:rPr>
                <w:rStyle w:val="IntenseReference"/>
                <w:rFonts w:eastAsia="Arial Unicode MS"/>
              </w:rPr>
            </w:pPr>
          </w:p>
        </w:tc>
        <w:tc>
          <w:tcPr>
            <w:tcW w:w="708" w:type="dxa"/>
            <w:vMerge/>
            <w:vAlign w:val="center"/>
          </w:tcPr>
          <w:p w14:paraId="759D0EF0"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2552FAE2" w14:textId="77777777" w:rsidR="0043643D" w:rsidRPr="00342237" w:rsidRDefault="0043643D" w:rsidP="00040878">
            <w:pPr>
              <w:ind w:left="200"/>
              <w:rPr>
                <w:rStyle w:val="IntenseReference"/>
                <w:rFonts w:eastAsia="Arial Unicode MS"/>
              </w:rPr>
            </w:pPr>
            <w:r w:rsidRPr="00342237">
              <w:rPr>
                <w:rStyle w:val="IntenseReference"/>
              </w:rPr>
              <w:t>Franklands East</w:t>
            </w:r>
          </w:p>
        </w:tc>
        <w:tc>
          <w:tcPr>
            <w:tcW w:w="976" w:type="dxa"/>
            <w:tcMar>
              <w:top w:w="16" w:type="dxa"/>
              <w:left w:w="16" w:type="dxa"/>
              <w:bottom w:w="0" w:type="dxa"/>
              <w:right w:w="16" w:type="dxa"/>
            </w:tcMar>
            <w:vAlign w:val="center"/>
          </w:tcPr>
          <w:p w14:paraId="7B6F86F1"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0.92 (43%)</w:t>
            </w:r>
          </w:p>
        </w:tc>
        <w:tc>
          <w:tcPr>
            <w:tcW w:w="851" w:type="dxa"/>
            <w:vAlign w:val="center"/>
          </w:tcPr>
          <w:p w14:paraId="0098B966"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0.80 (Nil)</w:t>
            </w:r>
          </w:p>
        </w:tc>
        <w:tc>
          <w:tcPr>
            <w:tcW w:w="850" w:type="dxa"/>
            <w:tcMar>
              <w:top w:w="16" w:type="dxa"/>
              <w:left w:w="16" w:type="dxa"/>
              <w:bottom w:w="0" w:type="dxa"/>
              <w:right w:w="16" w:type="dxa"/>
            </w:tcMar>
            <w:vAlign w:val="center"/>
          </w:tcPr>
          <w:p w14:paraId="7E0D3C9E"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5CDB6CF0" w14:textId="77777777" w:rsidR="0043643D" w:rsidRPr="00076BF0" w:rsidRDefault="0043643D" w:rsidP="00040878">
            <w:pPr>
              <w:spacing w:after="0"/>
              <w:jc w:val="left"/>
              <w:rPr>
                <w:rStyle w:val="IntenseReference"/>
                <w:sz w:val="18"/>
                <w:szCs w:val="18"/>
              </w:rPr>
            </w:pPr>
            <w:r w:rsidRPr="00076BF0">
              <w:rPr>
                <w:rStyle w:val="IntenseReference"/>
                <w:sz w:val="18"/>
                <w:szCs w:val="18"/>
              </w:rPr>
              <w:t>Unknown though likely crown-of-thorns 2000 (68%) Cyclone Larry 2006 (63% at 2m , 50% at 5m), Disease 2007-2008 (34% at 2m), Cyclone Tasha/Yasi 2011 (60% at 2 m, 41% at 5m)</w:t>
            </w:r>
          </w:p>
        </w:tc>
      </w:tr>
      <w:tr w:rsidR="0043643D" w:rsidRPr="00342237" w14:paraId="64EF392C" w14:textId="77777777" w:rsidTr="00040878">
        <w:trPr>
          <w:cantSplit/>
          <w:trHeight w:val="135"/>
        </w:trPr>
        <w:tc>
          <w:tcPr>
            <w:tcW w:w="442" w:type="dxa"/>
            <w:vMerge/>
            <w:vAlign w:val="center"/>
          </w:tcPr>
          <w:p w14:paraId="38127D5A" w14:textId="77777777" w:rsidR="0043643D" w:rsidRPr="00342237" w:rsidRDefault="0043643D" w:rsidP="00040878">
            <w:pPr>
              <w:rPr>
                <w:rStyle w:val="IntenseReference"/>
                <w:rFonts w:eastAsia="Arial Unicode MS"/>
              </w:rPr>
            </w:pPr>
          </w:p>
        </w:tc>
        <w:tc>
          <w:tcPr>
            <w:tcW w:w="708" w:type="dxa"/>
            <w:vMerge/>
            <w:vAlign w:val="center"/>
          </w:tcPr>
          <w:p w14:paraId="385FAC81"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49699D4A" w14:textId="77777777" w:rsidR="0043643D" w:rsidRPr="00342237" w:rsidRDefault="0043643D" w:rsidP="00040878">
            <w:pPr>
              <w:ind w:left="200"/>
              <w:rPr>
                <w:rStyle w:val="IntenseReference"/>
                <w:rFonts w:eastAsia="Arial Unicode MS"/>
              </w:rPr>
            </w:pPr>
            <w:r w:rsidRPr="00342237">
              <w:rPr>
                <w:rStyle w:val="IntenseReference"/>
              </w:rPr>
              <w:t>Franklands West</w:t>
            </w:r>
          </w:p>
        </w:tc>
        <w:tc>
          <w:tcPr>
            <w:tcW w:w="976" w:type="dxa"/>
            <w:tcMar>
              <w:top w:w="16" w:type="dxa"/>
              <w:left w:w="16" w:type="dxa"/>
              <w:bottom w:w="0" w:type="dxa"/>
              <w:right w:w="16" w:type="dxa"/>
            </w:tcMar>
            <w:vAlign w:val="center"/>
          </w:tcPr>
          <w:p w14:paraId="73C40435"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0.93 (44%)</w:t>
            </w:r>
          </w:p>
        </w:tc>
        <w:tc>
          <w:tcPr>
            <w:tcW w:w="851" w:type="dxa"/>
            <w:vAlign w:val="center"/>
          </w:tcPr>
          <w:p w14:paraId="41E26DC6"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0.80 (Nil)</w:t>
            </w:r>
          </w:p>
        </w:tc>
        <w:tc>
          <w:tcPr>
            <w:tcW w:w="850" w:type="dxa"/>
            <w:tcMar>
              <w:top w:w="16" w:type="dxa"/>
              <w:left w:w="16" w:type="dxa"/>
              <w:bottom w:w="0" w:type="dxa"/>
              <w:right w:w="16" w:type="dxa"/>
            </w:tcMar>
            <w:vAlign w:val="center"/>
          </w:tcPr>
          <w:p w14:paraId="269A1CF9"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01564059" w14:textId="77777777" w:rsidR="0043643D" w:rsidRPr="00076BF0" w:rsidRDefault="0043643D" w:rsidP="00040878">
            <w:pPr>
              <w:spacing w:after="0"/>
              <w:jc w:val="left"/>
              <w:rPr>
                <w:rStyle w:val="IntenseReference"/>
                <w:rFonts w:eastAsia="Arial Unicode MS"/>
                <w:sz w:val="18"/>
                <w:szCs w:val="18"/>
              </w:rPr>
            </w:pPr>
            <w:r w:rsidRPr="00076BF0">
              <w:rPr>
                <w:rStyle w:val="IntenseReference"/>
                <w:sz w:val="18"/>
                <w:szCs w:val="18"/>
              </w:rPr>
              <w:t>Unknown though likely crown-of-thorns 2000 (35%) Cyclone Tasha/Yasi 2011 (35% at 2m)</w:t>
            </w:r>
          </w:p>
        </w:tc>
      </w:tr>
      <w:tr w:rsidR="0043643D" w:rsidRPr="00342237" w14:paraId="005DEFC7" w14:textId="77777777" w:rsidTr="00040878">
        <w:trPr>
          <w:cantSplit/>
          <w:trHeight w:val="322"/>
        </w:trPr>
        <w:tc>
          <w:tcPr>
            <w:tcW w:w="442" w:type="dxa"/>
            <w:vMerge/>
            <w:vAlign w:val="center"/>
          </w:tcPr>
          <w:p w14:paraId="48713895" w14:textId="77777777" w:rsidR="0043643D" w:rsidRPr="00342237" w:rsidRDefault="0043643D" w:rsidP="00040878">
            <w:pPr>
              <w:rPr>
                <w:rStyle w:val="IntenseReference"/>
                <w:rFonts w:eastAsia="Arial Unicode MS"/>
              </w:rPr>
            </w:pPr>
          </w:p>
        </w:tc>
        <w:tc>
          <w:tcPr>
            <w:tcW w:w="708" w:type="dxa"/>
            <w:vMerge/>
            <w:vAlign w:val="center"/>
          </w:tcPr>
          <w:p w14:paraId="3A948B23"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6FAAA3D7" w14:textId="77777777" w:rsidR="0043643D" w:rsidRPr="00342237" w:rsidRDefault="0043643D" w:rsidP="00040878">
            <w:pPr>
              <w:ind w:left="200"/>
              <w:rPr>
                <w:rStyle w:val="IntenseReference"/>
                <w:rFonts w:eastAsia="Arial Unicode MS"/>
              </w:rPr>
            </w:pPr>
            <w:r w:rsidRPr="00342237">
              <w:rPr>
                <w:rStyle w:val="IntenseReference"/>
              </w:rPr>
              <w:t>High East</w:t>
            </w:r>
          </w:p>
        </w:tc>
        <w:tc>
          <w:tcPr>
            <w:tcW w:w="976" w:type="dxa"/>
            <w:tcMar>
              <w:top w:w="16" w:type="dxa"/>
              <w:left w:w="16" w:type="dxa"/>
              <w:bottom w:w="0" w:type="dxa"/>
              <w:right w:w="16" w:type="dxa"/>
            </w:tcMar>
            <w:vAlign w:val="center"/>
          </w:tcPr>
          <w:p w14:paraId="005C5F0D"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0.93</w:t>
            </w:r>
          </w:p>
        </w:tc>
        <w:tc>
          <w:tcPr>
            <w:tcW w:w="851" w:type="dxa"/>
            <w:vAlign w:val="center"/>
          </w:tcPr>
          <w:p w14:paraId="72B73795"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0.80</w:t>
            </w:r>
          </w:p>
        </w:tc>
        <w:tc>
          <w:tcPr>
            <w:tcW w:w="850" w:type="dxa"/>
            <w:tcMar>
              <w:top w:w="16" w:type="dxa"/>
              <w:left w:w="16" w:type="dxa"/>
              <w:bottom w:w="0" w:type="dxa"/>
              <w:right w:w="16" w:type="dxa"/>
            </w:tcMar>
            <w:vAlign w:val="center"/>
          </w:tcPr>
          <w:p w14:paraId="79DC425E"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1EB0650" w14:textId="77777777" w:rsidR="0043643D" w:rsidRPr="00076BF0" w:rsidRDefault="0043643D" w:rsidP="00040878">
            <w:pPr>
              <w:spacing w:after="0"/>
              <w:jc w:val="left"/>
              <w:rPr>
                <w:rStyle w:val="IntenseReference"/>
                <w:rFonts w:eastAsia="Arial Unicode MS"/>
                <w:sz w:val="18"/>
                <w:szCs w:val="18"/>
              </w:rPr>
            </w:pPr>
            <w:r w:rsidRPr="00076BF0">
              <w:rPr>
                <w:rStyle w:val="IntenseReference"/>
                <w:rFonts w:eastAsia="Arial Unicode MS"/>
                <w:sz w:val="18"/>
                <w:szCs w:val="18"/>
              </w:rPr>
              <w:t>Cyclone Tasha/Yasi 2011 (80% at 2m, 58% at 5m)</w:t>
            </w:r>
          </w:p>
        </w:tc>
      </w:tr>
      <w:tr w:rsidR="0043643D" w:rsidRPr="00342237" w14:paraId="20FACCC1" w14:textId="77777777" w:rsidTr="00040878">
        <w:trPr>
          <w:cantSplit/>
          <w:trHeight w:val="388"/>
        </w:trPr>
        <w:tc>
          <w:tcPr>
            <w:tcW w:w="442" w:type="dxa"/>
            <w:vMerge/>
            <w:vAlign w:val="center"/>
          </w:tcPr>
          <w:p w14:paraId="2EC44810" w14:textId="77777777" w:rsidR="0043643D" w:rsidRPr="00342237" w:rsidRDefault="0043643D" w:rsidP="00040878">
            <w:pPr>
              <w:rPr>
                <w:rStyle w:val="IntenseReference"/>
                <w:rFonts w:eastAsia="Arial Unicode MS"/>
              </w:rPr>
            </w:pPr>
          </w:p>
        </w:tc>
        <w:tc>
          <w:tcPr>
            <w:tcW w:w="708" w:type="dxa"/>
            <w:vMerge/>
            <w:vAlign w:val="center"/>
          </w:tcPr>
          <w:p w14:paraId="3B0D4C14"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082C8152" w14:textId="77777777" w:rsidR="0043643D" w:rsidRPr="00342237" w:rsidRDefault="0043643D" w:rsidP="00040878">
            <w:pPr>
              <w:ind w:left="200"/>
              <w:rPr>
                <w:rStyle w:val="IntenseReference"/>
                <w:rFonts w:eastAsia="Arial Unicode MS"/>
              </w:rPr>
            </w:pPr>
            <w:r w:rsidRPr="00342237">
              <w:rPr>
                <w:rStyle w:val="IntenseReference"/>
              </w:rPr>
              <w:t>High West</w:t>
            </w:r>
          </w:p>
        </w:tc>
        <w:tc>
          <w:tcPr>
            <w:tcW w:w="976" w:type="dxa"/>
            <w:tcMar>
              <w:top w:w="16" w:type="dxa"/>
              <w:left w:w="16" w:type="dxa"/>
              <w:bottom w:w="0" w:type="dxa"/>
              <w:right w:w="16" w:type="dxa"/>
            </w:tcMar>
            <w:vAlign w:val="center"/>
          </w:tcPr>
          <w:p w14:paraId="2E69E967"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0.93</w:t>
            </w:r>
          </w:p>
        </w:tc>
        <w:tc>
          <w:tcPr>
            <w:tcW w:w="851" w:type="dxa"/>
            <w:vAlign w:val="center"/>
          </w:tcPr>
          <w:p w14:paraId="302BDA41"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0.80</w:t>
            </w:r>
          </w:p>
        </w:tc>
        <w:tc>
          <w:tcPr>
            <w:tcW w:w="850" w:type="dxa"/>
            <w:tcMar>
              <w:top w:w="16" w:type="dxa"/>
              <w:left w:w="16" w:type="dxa"/>
              <w:bottom w:w="0" w:type="dxa"/>
              <w:right w:w="16" w:type="dxa"/>
            </w:tcMar>
            <w:vAlign w:val="center"/>
          </w:tcPr>
          <w:p w14:paraId="1D60AE2E"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2106E7E4" w14:textId="77777777" w:rsidR="0043643D" w:rsidRPr="00076BF0" w:rsidRDefault="0043643D" w:rsidP="00040878">
            <w:pPr>
              <w:spacing w:after="0"/>
              <w:jc w:val="left"/>
              <w:rPr>
                <w:rStyle w:val="IntenseReference"/>
                <w:rFonts w:eastAsia="Arial Unicode MS"/>
                <w:sz w:val="18"/>
                <w:szCs w:val="18"/>
              </w:rPr>
            </w:pPr>
            <w:r w:rsidRPr="00076BF0">
              <w:rPr>
                <w:rStyle w:val="IntenseReference"/>
                <w:sz w:val="18"/>
                <w:szCs w:val="18"/>
              </w:rPr>
              <w:t>Cyclone Larry 2006 (24% at 5m), Flood/Bleaching 2009(10% at 2m), Storm 2011 (21% at 2m, 33% at 5m)</w:t>
            </w:r>
          </w:p>
        </w:tc>
      </w:tr>
      <w:tr w:rsidR="0043643D" w:rsidRPr="00342237" w14:paraId="146C792F" w14:textId="77777777" w:rsidTr="00040878">
        <w:trPr>
          <w:cantSplit/>
          <w:trHeight w:val="388"/>
        </w:trPr>
        <w:tc>
          <w:tcPr>
            <w:tcW w:w="442" w:type="dxa"/>
            <w:vMerge/>
            <w:vAlign w:val="center"/>
          </w:tcPr>
          <w:p w14:paraId="508DC10F" w14:textId="77777777" w:rsidR="0043643D" w:rsidRPr="00342237" w:rsidRDefault="0043643D" w:rsidP="00040878">
            <w:pPr>
              <w:rPr>
                <w:rStyle w:val="IntenseReference"/>
                <w:rFonts w:eastAsia="Arial Unicode MS"/>
              </w:rPr>
            </w:pPr>
          </w:p>
        </w:tc>
        <w:tc>
          <w:tcPr>
            <w:tcW w:w="708" w:type="dxa"/>
            <w:vMerge/>
            <w:vAlign w:val="center"/>
          </w:tcPr>
          <w:p w14:paraId="69343816"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3588374" w14:textId="77777777" w:rsidR="0043643D" w:rsidRPr="00342237" w:rsidRDefault="0043643D" w:rsidP="00040878">
            <w:pPr>
              <w:ind w:left="200"/>
              <w:rPr>
                <w:rStyle w:val="IntenseReference"/>
              </w:rPr>
            </w:pPr>
            <w:r>
              <w:rPr>
                <w:rStyle w:val="IntenseReference"/>
              </w:rPr>
              <w:t>Green</w:t>
            </w:r>
          </w:p>
        </w:tc>
        <w:tc>
          <w:tcPr>
            <w:tcW w:w="976" w:type="dxa"/>
            <w:tcMar>
              <w:top w:w="16" w:type="dxa"/>
              <w:left w:w="16" w:type="dxa"/>
              <w:bottom w:w="0" w:type="dxa"/>
              <w:right w:w="16" w:type="dxa"/>
            </w:tcMar>
            <w:vAlign w:val="center"/>
          </w:tcPr>
          <w:p w14:paraId="45B7BC5A" w14:textId="77777777" w:rsidR="0043643D" w:rsidRPr="00076BF0" w:rsidRDefault="0043643D" w:rsidP="00040878">
            <w:pPr>
              <w:jc w:val="center"/>
              <w:rPr>
                <w:rStyle w:val="IntenseReference"/>
                <w:sz w:val="18"/>
                <w:szCs w:val="18"/>
              </w:rPr>
            </w:pPr>
          </w:p>
        </w:tc>
        <w:tc>
          <w:tcPr>
            <w:tcW w:w="851" w:type="dxa"/>
            <w:vAlign w:val="center"/>
          </w:tcPr>
          <w:p w14:paraId="34C19FEA" w14:textId="77777777" w:rsidR="0043643D" w:rsidRPr="00076BF0" w:rsidRDefault="0043643D" w:rsidP="00040878">
            <w:pPr>
              <w:jc w:val="center"/>
              <w:rPr>
                <w:rStyle w:val="IntenseReference"/>
                <w:sz w:val="18"/>
                <w:szCs w:val="18"/>
              </w:rPr>
            </w:pPr>
          </w:p>
        </w:tc>
        <w:tc>
          <w:tcPr>
            <w:tcW w:w="850" w:type="dxa"/>
            <w:tcMar>
              <w:top w:w="16" w:type="dxa"/>
              <w:left w:w="16" w:type="dxa"/>
              <w:bottom w:w="0" w:type="dxa"/>
              <w:right w:w="16" w:type="dxa"/>
            </w:tcMar>
            <w:vAlign w:val="center"/>
          </w:tcPr>
          <w:p w14:paraId="032097F9"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472D545" w14:textId="77777777" w:rsidR="0043643D" w:rsidRPr="00076BF0" w:rsidRDefault="0043643D" w:rsidP="00040878">
            <w:pPr>
              <w:spacing w:after="0"/>
              <w:rPr>
                <w:rStyle w:val="IntenseReference"/>
                <w:sz w:val="18"/>
                <w:szCs w:val="18"/>
              </w:rPr>
            </w:pPr>
            <w:r w:rsidRPr="00076BF0">
              <w:rPr>
                <w:rStyle w:val="IntenseReference"/>
                <w:sz w:val="18"/>
                <w:szCs w:val="18"/>
              </w:rPr>
              <w:t xml:space="preserve">Crown-of-thorns 1997 (55%), </w:t>
            </w:r>
            <w:r w:rsidRPr="00076BF0">
              <w:rPr>
                <w:rStyle w:val="IntenseReference"/>
                <w:color w:val="auto"/>
                <w:sz w:val="18"/>
                <w:szCs w:val="18"/>
              </w:rPr>
              <w:t xml:space="preserve">crown-of-thorns </w:t>
            </w:r>
            <w:r w:rsidRPr="00076BF0">
              <w:rPr>
                <w:rStyle w:val="IntenseReference"/>
                <w:sz w:val="18"/>
                <w:szCs w:val="18"/>
              </w:rPr>
              <w:t>2011-2013</w:t>
            </w:r>
            <w:r w:rsidRPr="00076BF0">
              <w:rPr>
                <w:rStyle w:val="IntenseReference"/>
                <w:color w:val="auto"/>
                <w:sz w:val="18"/>
                <w:szCs w:val="18"/>
              </w:rPr>
              <w:t xml:space="preserve"> (</w:t>
            </w:r>
            <w:r w:rsidRPr="00076BF0">
              <w:rPr>
                <w:rStyle w:val="IntenseReference"/>
                <w:sz w:val="18"/>
                <w:szCs w:val="18"/>
              </w:rPr>
              <w:t>44</w:t>
            </w:r>
            <w:r w:rsidRPr="00076BF0">
              <w:rPr>
                <w:rStyle w:val="IntenseReference"/>
                <w:color w:val="auto"/>
                <w:sz w:val="18"/>
                <w:szCs w:val="18"/>
              </w:rPr>
              <w:t>%), 2014-2015 (</w:t>
            </w:r>
            <w:r w:rsidRPr="00076BF0">
              <w:rPr>
                <w:rStyle w:val="IntenseReference"/>
                <w:sz w:val="18"/>
                <w:szCs w:val="18"/>
              </w:rPr>
              <w:t>46</w:t>
            </w:r>
            <w:r w:rsidRPr="00076BF0">
              <w:rPr>
                <w:rStyle w:val="IntenseReference"/>
                <w:color w:val="auto"/>
                <w:sz w:val="18"/>
                <w:szCs w:val="18"/>
              </w:rPr>
              <w:t>%)</w:t>
            </w:r>
          </w:p>
        </w:tc>
      </w:tr>
      <w:tr w:rsidR="0043643D" w:rsidRPr="00342237" w14:paraId="76CD5201" w14:textId="77777777" w:rsidTr="00040878">
        <w:trPr>
          <w:cantSplit/>
          <w:trHeight w:val="245"/>
        </w:trPr>
        <w:tc>
          <w:tcPr>
            <w:tcW w:w="442" w:type="dxa"/>
            <w:vMerge/>
            <w:vAlign w:val="center"/>
          </w:tcPr>
          <w:p w14:paraId="2071C4A3" w14:textId="77777777" w:rsidR="0043643D" w:rsidRPr="00342237" w:rsidRDefault="0043643D" w:rsidP="00040878">
            <w:pPr>
              <w:rPr>
                <w:rStyle w:val="IntenseReference"/>
                <w:rFonts w:eastAsia="Arial Unicode MS"/>
              </w:rPr>
            </w:pPr>
          </w:p>
        </w:tc>
        <w:tc>
          <w:tcPr>
            <w:tcW w:w="708" w:type="dxa"/>
            <w:vMerge w:val="restart"/>
            <w:tcMar>
              <w:top w:w="16" w:type="dxa"/>
              <w:left w:w="16" w:type="dxa"/>
              <w:bottom w:w="0" w:type="dxa"/>
              <w:right w:w="16" w:type="dxa"/>
            </w:tcMar>
            <w:textDirection w:val="btLr"/>
            <w:vAlign w:val="center"/>
          </w:tcPr>
          <w:p w14:paraId="47915C68" w14:textId="77777777" w:rsidR="0043643D" w:rsidRPr="00342237" w:rsidRDefault="0043643D" w:rsidP="00040878">
            <w:pPr>
              <w:jc w:val="center"/>
              <w:rPr>
                <w:rStyle w:val="IntenseReference"/>
              </w:rPr>
            </w:pPr>
            <w:r w:rsidRPr="00342237">
              <w:rPr>
                <w:rStyle w:val="IntenseReference"/>
              </w:rPr>
              <w:t xml:space="preserve">Herbert </w:t>
            </w:r>
          </w:p>
          <w:p w14:paraId="2E92EEA7" w14:textId="77777777" w:rsidR="0043643D" w:rsidRPr="00342237" w:rsidRDefault="0043643D" w:rsidP="00040878">
            <w:pPr>
              <w:jc w:val="center"/>
              <w:rPr>
                <w:rStyle w:val="IntenseReference"/>
                <w:rFonts w:eastAsia="Arial Unicode MS"/>
              </w:rPr>
            </w:pPr>
            <w:r w:rsidRPr="00342237">
              <w:rPr>
                <w:rStyle w:val="IntenseReference"/>
              </w:rPr>
              <w:t>Tully</w:t>
            </w:r>
          </w:p>
        </w:tc>
        <w:tc>
          <w:tcPr>
            <w:tcW w:w="1843" w:type="dxa"/>
            <w:tcMar>
              <w:top w:w="16" w:type="dxa"/>
              <w:left w:w="16" w:type="dxa"/>
              <w:bottom w:w="0" w:type="dxa"/>
              <w:right w:w="16" w:type="dxa"/>
            </w:tcMar>
            <w:vAlign w:val="bottom"/>
          </w:tcPr>
          <w:p w14:paraId="55DA5395" w14:textId="77777777" w:rsidR="0043643D" w:rsidRPr="00342237" w:rsidRDefault="0043643D" w:rsidP="00040878">
            <w:pPr>
              <w:ind w:left="200"/>
              <w:rPr>
                <w:rStyle w:val="IntenseReference"/>
                <w:rFonts w:eastAsia="Arial Unicode MS"/>
              </w:rPr>
            </w:pPr>
            <w:r w:rsidRPr="00342237">
              <w:rPr>
                <w:rStyle w:val="IntenseReference"/>
              </w:rPr>
              <w:t>Barnards</w:t>
            </w:r>
          </w:p>
        </w:tc>
        <w:tc>
          <w:tcPr>
            <w:tcW w:w="976" w:type="dxa"/>
            <w:tcMar>
              <w:top w:w="16" w:type="dxa"/>
              <w:left w:w="16" w:type="dxa"/>
              <w:bottom w:w="0" w:type="dxa"/>
              <w:right w:w="16" w:type="dxa"/>
            </w:tcMar>
            <w:vAlign w:val="center"/>
          </w:tcPr>
          <w:p w14:paraId="33C56FF1"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0.93</w:t>
            </w:r>
          </w:p>
        </w:tc>
        <w:tc>
          <w:tcPr>
            <w:tcW w:w="851" w:type="dxa"/>
            <w:vAlign w:val="center"/>
          </w:tcPr>
          <w:p w14:paraId="38645136"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0.80</w:t>
            </w:r>
          </w:p>
        </w:tc>
        <w:tc>
          <w:tcPr>
            <w:tcW w:w="850" w:type="dxa"/>
            <w:tcMar>
              <w:top w:w="16" w:type="dxa"/>
              <w:left w:w="16" w:type="dxa"/>
              <w:bottom w:w="0" w:type="dxa"/>
              <w:right w:w="16" w:type="dxa"/>
            </w:tcMar>
            <w:vAlign w:val="center"/>
          </w:tcPr>
          <w:p w14:paraId="7B8C443A"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4F226D70" w14:textId="77777777" w:rsidR="0043643D" w:rsidRPr="00076BF0" w:rsidRDefault="0043643D" w:rsidP="00040878">
            <w:pPr>
              <w:jc w:val="left"/>
              <w:rPr>
                <w:rStyle w:val="IntenseReference"/>
                <w:rFonts w:eastAsia="Arial Unicode MS"/>
                <w:sz w:val="18"/>
                <w:szCs w:val="18"/>
              </w:rPr>
            </w:pPr>
            <w:r w:rsidRPr="00076BF0">
              <w:rPr>
                <w:rStyle w:val="IntenseReference"/>
                <w:sz w:val="18"/>
                <w:szCs w:val="18"/>
              </w:rPr>
              <w:t>Cyclone Larry 2006 (95% at 2m 87% at 5m), Cyclone Yasi 2011 (53% at 2m, 24% at 5m)</w:t>
            </w:r>
          </w:p>
        </w:tc>
      </w:tr>
      <w:tr w:rsidR="0043643D" w:rsidRPr="00342237" w14:paraId="5D4CE7FC" w14:textId="77777777" w:rsidTr="00040878">
        <w:trPr>
          <w:cantSplit/>
          <w:trHeight w:val="472"/>
        </w:trPr>
        <w:tc>
          <w:tcPr>
            <w:tcW w:w="442" w:type="dxa"/>
            <w:vMerge/>
            <w:vAlign w:val="center"/>
          </w:tcPr>
          <w:p w14:paraId="3DCFD4EB" w14:textId="77777777" w:rsidR="0043643D" w:rsidRPr="00342237" w:rsidRDefault="0043643D" w:rsidP="00040878">
            <w:pPr>
              <w:rPr>
                <w:rStyle w:val="IntenseReference"/>
                <w:rFonts w:eastAsia="Arial Unicode MS"/>
              </w:rPr>
            </w:pPr>
          </w:p>
        </w:tc>
        <w:tc>
          <w:tcPr>
            <w:tcW w:w="708" w:type="dxa"/>
            <w:vMerge/>
            <w:vAlign w:val="center"/>
          </w:tcPr>
          <w:p w14:paraId="69280C37"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406999CF" w14:textId="77777777" w:rsidR="0043643D" w:rsidRPr="00342237" w:rsidRDefault="0043643D" w:rsidP="00040878">
            <w:pPr>
              <w:ind w:left="200"/>
              <w:rPr>
                <w:rStyle w:val="IntenseReference"/>
                <w:rFonts w:eastAsia="Arial Unicode MS"/>
              </w:rPr>
            </w:pPr>
            <w:r w:rsidRPr="00342237">
              <w:rPr>
                <w:rStyle w:val="IntenseReference"/>
              </w:rPr>
              <w:t>King Reef</w:t>
            </w:r>
          </w:p>
        </w:tc>
        <w:tc>
          <w:tcPr>
            <w:tcW w:w="976" w:type="dxa"/>
            <w:tcMar>
              <w:top w:w="16" w:type="dxa"/>
              <w:left w:w="16" w:type="dxa"/>
              <w:bottom w:w="0" w:type="dxa"/>
              <w:right w:w="16" w:type="dxa"/>
            </w:tcMar>
            <w:vAlign w:val="center"/>
          </w:tcPr>
          <w:p w14:paraId="2E3E6F65"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0.93</w:t>
            </w:r>
          </w:p>
        </w:tc>
        <w:tc>
          <w:tcPr>
            <w:tcW w:w="851" w:type="dxa"/>
            <w:vAlign w:val="center"/>
          </w:tcPr>
          <w:p w14:paraId="2C443D53"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0.85</w:t>
            </w:r>
          </w:p>
        </w:tc>
        <w:tc>
          <w:tcPr>
            <w:tcW w:w="850" w:type="dxa"/>
            <w:tcMar>
              <w:top w:w="16" w:type="dxa"/>
              <w:left w:w="16" w:type="dxa"/>
              <w:bottom w:w="0" w:type="dxa"/>
              <w:right w:w="16" w:type="dxa"/>
            </w:tcMar>
            <w:vAlign w:val="center"/>
          </w:tcPr>
          <w:p w14:paraId="50F16581"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57CFE339" w14:textId="77777777" w:rsidR="0043643D" w:rsidRPr="00076BF0" w:rsidRDefault="0043643D" w:rsidP="00D0241E">
            <w:pPr>
              <w:rPr>
                <w:rStyle w:val="IntenseReference"/>
                <w:rFonts w:eastAsia="Arial Unicode MS"/>
                <w:sz w:val="18"/>
                <w:szCs w:val="18"/>
              </w:rPr>
            </w:pPr>
            <w:r w:rsidRPr="00076BF0">
              <w:rPr>
                <w:rStyle w:val="IntenseReference"/>
                <w:sz w:val="18"/>
                <w:szCs w:val="18"/>
              </w:rPr>
              <w:t>Cyclone Larry 2006 (56% at 2m,50% at 5m)</w:t>
            </w:r>
            <w:r w:rsidR="00D0241E">
              <w:rPr>
                <w:rStyle w:val="IntenseReference"/>
                <w:sz w:val="18"/>
                <w:szCs w:val="18"/>
              </w:rPr>
              <w:t>, Cyclone Yasi</w:t>
            </w:r>
            <w:r w:rsidRPr="00076BF0">
              <w:rPr>
                <w:rStyle w:val="IntenseReference"/>
                <w:sz w:val="18"/>
                <w:szCs w:val="18"/>
              </w:rPr>
              <w:t xml:space="preserve">2010-2012 </w:t>
            </w:r>
            <w:r w:rsidR="00D0241E">
              <w:rPr>
                <w:rStyle w:val="IntenseReference"/>
                <w:sz w:val="18"/>
                <w:szCs w:val="18"/>
              </w:rPr>
              <w:t>Cyclone</w:t>
            </w:r>
            <w:r w:rsidRPr="00076BF0">
              <w:rPr>
                <w:rStyle w:val="IntenseReference"/>
                <w:sz w:val="18"/>
                <w:szCs w:val="18"/>
              </w:rPr>
              <w:t>(70% at 2m, 36% at 5m)</w:t>
            </w:r>
          </w:p>
        </w:tc>
      </w:tr>
      <w:tr w:rsidR="0043643D" w:rsidRPr="00342237" w14:paraId="0887F9EA" w14:textId="77777777" w:rsidTr="00040878">
        <w:trPr>
          <w:cantSplit/>
          <w:trHeight w:val="447"/>
        </w:trPr>
        <w:tc>
          <w:tcPr>
            <w:tcW w:w="442" w:type="dxa"/>
            <w:vMerge/>
            <w:vAlign w:val="center"/>
          </w:tcPr>
          <w:p w14:paraId="6A6C8610" w14:textId="77777777" w:rsidR="0043643D" w:rsidRPr="00342237" w:rsidRDefault="0043643D" w:rsidP="00040878">
            <w:pPr>
              <w:rPr>
                <w:rStyle w:val="IntenseReference"/>
                <w:rFonts w:eastAsia="Arial Unicode MS"/>
              </w:rPr>
            </w:pPr>
          </w:p>
        </w:tc>
        <w:tc>
          <w:tcPr>
            <w:tcW w:w="708" w:type="dxa"/>
            <w:vMerge/>
            <w:vAlign w:val="center"/>
          </w:tcPr>
          <w:p w14:paraId="605FF3A5" w14:textId="77777777" w:rsidR="0043643D" w:rsidRPr="00342237"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5C12E6FE" w14:textId="77777777" w:rsidR="0043643D" w:rsidRPr="00342237" w:rsidRDefault="0043643D" w:rsidP="00040878">
            <w:pPr>
              <w:ind w:left="200"/>
              <w:rPr>
                <w:rStyle w:val="IntenseReference"/>
                <w:rFonts w:eastAsia="Arial Unicode MS"/>
              </w:rPr>
            </w:pPr>
            <w:r w:rsidRPr="00342237">
              <w:rPr>
                <w:rStyle w:val="IntenseReference"/>
              </w:rPr>
              <w:t>Dunk North</w:t>
            </w:r>
          </w:p>
        </w:tc>
        <w:tc>
          <w:tcPr>
            <w:tcW w:w="976" w:type="dxa"/>
            <w:tcMar>
              <w:top w:w="16" w:type="dxa"/>
              <w:left w:w="16" w:type="dxa"/>
              <w:bottom w:w="0" w:type="dxa"/>
              <w:right w:w="16" w:type="dxa"/>
            </w:tcMar>
            <w:vAlign w:val="center"/>
          </w:tcPr>
          <w:p w14:paraId="5C34873F"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0.93</w:t>
            </w:r>
          </w:p>
        </w:tc>
        <w:tc>
          <w:tcPr>
            <w:tcW w:w="851" w:type="dxa"/>
            <w:vAlign w:val="center"/>
          </w:tcPr>
          <w:p w14:paraId="66356815"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0.80</w:t>
            </w:r>
          </w:p>
        </w:tc>
        <w:tc>
          <w:tcPr>
            <w:tcW w:w="850" w:type="dxa"/>
            <w:tcMar>
              <w:top w:w="16" w:type="dxa"/>
              <w:left w:w="16" w:type="dxa"/>
              <w:bottom w:w="0" w:type="dxa"/>
              <w:right w:w="16" w:type="dxa"/>
            </w:tcMar>
            <w:vAlign w:val="center"/>
          </w:tcPr>
          <w:p w14:paraId="29E6D28F" w14:textId="77777777" w:rsidR="0043643D" w:rsidRPr="00076BF0"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17288521" w14:textId="77777777" w:rsidR="0043643D" w:rsidRPr="00076BF0" w:rsidRDefault="0043643D" w:rsidP="00040878">
            <w:pPr>
              <w:rPr>
                <w:rStyle w:val="IntenseReference"/>
                <w:rFonts w:eastAsia="Arial Unicode MS"/>
                <w:sz w:val="18"/>
                <w:szCs w:val="18"/>
              </w:rPr>
            </w:pPr>
            <w:r w:rsidRPr="00076BF0">
              <w:rPr>
                <w:rStyle w:val="IntenseReference"/>
                <w:sz w:val="18"/>
                <w:szCs w:val="18"/>
              </w:rPr>
              <w:t>Cyclone Larry 2006 (81% at 2m , 72% at 5m), Disease 2007 (33% at 2m), Cyclone Yasi 2011 (93% at 2m, 75% at 5m)</w:t>
            </w:r>
          </w:p>
        </w:tc>
      </w:tr>
      <w:tr w:rsidR="0043643D" w:rsidRPr="00342237" w14:paraId="09D326B5" w14:textId="77777777" w:rsidTr="00040878">
        <w:trPr>
          <w:cantSplit/>
          <w:trHeight w:val="404"/>
        </w:trPr>
        <w:tc>
          <w:tcPr>
            <w:tcW w:w="442" w:type="dxa"/>
            <w:vMerge/>
            <w:tcBorders>
              <w:bottom w:val="single" w:sz="12" w:space="0" w:color="auto"/>
            </w:tcBorders>
            <w:vAlign w:val="center"/>
          </w:tcPr>
          <w:p w14:paraId="638B3EF4" w14:textId="77777777" w:rsidR="0043643D" w:rsidRPr="00342237" w:rsidRDefault="0043643D" w:rsidP="00040878">
            <w:pPr>
              <w:rPr>
                <w:rStyle w:val="IntenseReference"/>
                <w:rFonts w:eastAsia="Arial Unicode MS"/>
              </w:rPr>
            </w:pPr>
          </w:p>
        </w:tc>
        <w:tc>
          <w:tcPr>
            <w:tcW w:w="708" w:type="dxa"/>
            <w:vMerge/>
            <w:tcBorders>
              <w:bottom w:val="single" w:sz="12" w:space="0" w:color="auto"/>
            </w:tcBorders>
            <w:vAlign w:val="center"/>
          </w:tcPr>
          <w:p w14:paraId="6FFAF246" w14:textId="77777777" w:rsidR="0043643D" w:rsidRPr="00342237" w:rsidRDefault="0043643D" w:rsidP="00040878">
            <w:pPr>
              <w:rPr>
                <w:rStyle w:val="IntenseReference"/>
                <w:rFonts w:eastAsia="Arial Unicode MS"/>
              </w:rPr>
            </w:pPr>
          </w:p>
        </w:tc>
        <w:tc>
          <w:tcPr>
            <w:tcW w:w="1843" w:type="dxa"/>
            <w:tcBorders>
              <w:bottom w:val="single" w:sz="12" w:space="0" w:color="auto"/>
            </w:tcBorders>
            <w:tcMar>
              <w:top w:w="16" w:type="dxa"/>
              <w:left w:w="16" w:type="dxa"/>
              <w:bottom w:w="0" w:type="dxa"/>
              <w:right w:w="16" w:type="dxa"/>
            </w:tcMar>
            <w:vAlign w:val="bottom"/>
          </w:tcPr>
          <w:p w14:paraId="092D6D41" w14:textId="77777777" w:rsidR="0043643D" w:rsidRPr="00342237" w:rsidRDefault="0043643D" w:rsidP="00040878">
            <w:pPr>
              <w:ind w:left="200"/>
              <w:rPr>
                <w:rStyle w:val="IntenseReference"/>
                <w:rFonts w:eastAsia="Arial Unicode MS"/>
              </w:rPr>
            </w:pPr>
            <w:r w:rsidRPr="00342237">
              <w:rPr>
                <w:rStyle w:val="IntenseReference"/>
              </w:rPr>
              <w:t>Dunk South</w:t>
            </w:r>
          </w:p>
        </w:tc>
        <w:tc>
          <w:tcPr>
            <w:tcW w:w="976" w:type="dxa"/>
            <w:tcBorders>
              <w:bottom w:val="single" w:sz="12" w:space="0" w:color="auto"/>
            </w:tcBorders>
            <w:tcMar>
              <w:top w:w="16" w:type="dxa"/>
              <w:left w:w="16" w:type="dxa"/>
              <w:bottom w:w="0" w:type="dxa"/>
              <w:right w:w="16" w:type="dxa"/>
            </w:tcMar>
            <w:vAlign w:val="center"/>
          </w:tcPr>
          <w:p w14:paraId="2EC519FA"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0.93</w:t>
            </w:r>
          </w:p>
        </w:tc>
        <w:tc>
          <w:tcPr>
            <w:tcW w:w="851" w:type="dxa"/>
            <w:tcBorders>
              <w:bottom w:val="single" w:sz="12" w:space="0" w:color="auto"/>
            </w:tcBorders>
            <w:vAlign w:val="center"/>
          </w:tcPr>
          <w:p w14:paraId="5A824A9C" w14:textId="77777777" w:rsidR="0043643D" w:rsidRPr="00076BF0" w:rsidRDefault="0043643D" w:rsidP="00040878">
            <w:pPr>
              <w:jc w:val="center"/>
              <w:rPr>
                <w:rStyle w:val="IntenseReference"/>
                <w:rFonts w:eastAsia="Arial Unicode MS"/>
                <w:sz w:val="18"/>
                <w:szCs w:val="18"/>
              </w:rPr>
            </w:pPr>
            <w:r w:rsidRPr="00076BF0">
              <w:rPr>
                <w:rStyle w:val="IntenseReference"/>
                <w:sz w:val="18"/>
                <w:szCs w:val="18"/>
              </w:rPr>
              <w:t>0.85</w:t>
            </w:r>
          </w:p>
        </w:tc>
        <w:tc>
          <w:tcPr>
            <w:tcW w:w="850" w:type="dxa"/>
            <w:tcBorders>
              <w:bottom w:val="single" w:sz="12" w:space="0" w:color="auto"/>
            </w:tcBorders>
            <w:tcMar>
              <w:top w:w="16" w:type="dxa"/>
              <w:left w:w="16" w:type="dxa"/>
              <w:bottom w:w="0" w:type="dxa"/>
              <w:right w:w="16" w:type="dxa"/>
            </w:tcMar>
            <w:vAlign w:val="center"/>
          </w:tcPr>
          <w:p w14:paraId="537524C1" w14:textId="77777777" w:rsidR="0043643D" w:rsidRPr="00076BF0" w:rsidRDefault="0043643D" w:rsidP="00040878">
            <w:pPr>
              <w:jc w:val="center"/>
              <w:rPr>
                <w:rStyle w:val="IntenseReference"/>
                <w:rFonts w:eastAsia="Arial Unicode MS"/>
                <w:sz w:val="18"/>
                <w:szCs w:val="18"/>
              </w:rPr>
            </w:pPr>
          </w:p>
        </w:tc>
        <w:tc>
          <w:tcPr>
            <w:tcW w:w="8282" w:type="dxa"/>
            <w:tcBorders>
              <w:bottom w:val="single" w:sz="12" w:space="0" w:color="auto"/>
            </w:tcBorders>
            <w:tcMar>
              <w:top w:w="16" w:type="dxa"/>
              <w:left w:w="16" w:type="dxa"/>
              <w:bottom w:w="0" w:type="dxa"/>
              <w:right w:w="16" w:type="dxa"/>
            </w:tcMar>
            <w:vAlign w:val="bottom"/>
          </w:tcPr>
          <w:p w14:paraId="500FD109" w14:textId="77777777" w:rsidR="0043643D" w:rsidRPr="00076BF0" w:rsidRDefault="0043643D" w:rsidP="00040878">
            <w:pPr>
              <w:rPr>
                <w:rStyle w:val="IntenseReference"/>
                <w:rFonts w:eastAsia="Arial Unicode MS"/>
                <w:sz w:val="18"/>
                <w:szCs w:val="18"/>
              </w:rPr>
            </w:pPr>
            <w:r w:rsidRPr="00076BF0">
              <w:rPr>
                <w:rStyle w:val="IntenseReference"/>
                <w:sz w:val="18"/>
                <w:szCs w:val="18"/>
              </w:rPr>
              <w:t>Cyclone Larry 2006 (22% at 2m , 18% at 5m), Cyclone Yasi 2011 (79% at 2m, 55% at 5m)</w:t>
            </w:r>
          </w:p>
        </w:tc>
      </w:tr>
    </w:tbl>
    <w:p w14:paraId="04809878" w14:textId="77777777" w:rsidR="00040878" w:rsidRDefault="00040878">
      <w:pPr>
        <w:rPr>
          <w:rFonts w:ascii="Arial Narrow" w:hAnsi="Arial Narrow"/>
          <w:bCs/>
          <w:color w:val="000000" w:themeColor="text1"/>
          <w:sz w:val="20"/>
        </w:rPr>
      </w:pPr>
      <w:bookmarkStart w:id="434" w:name="_Hlk167498955"/>
    </w:p>
    <w:p w14:paraId="5465D53C" w14:textId="77777777" w:rsidR="00040878" w:rsidRDefault="00040878">
      <w:pPr>
        <w:jc w:val="left"/>
        <w:rPr>
          <w:rFonts w:ascii="Arial Narrow" w:hAnsi="Arial Narrow"/>
          <w:bCs/>
          <w:color w:val="000000" w:themeColor="text1"/>
          <w:sz w:val="20"/>
        </w:rPr>
      </w:pPr>
      <w:r>
        <w:rPr>
          <w:rFonts w:ascii="Arial Narrow" w:hAnsi="Arial Narrow"/>
          <w:bCs/>
          <w:color w:val="000000" w:themeColor="text1"/>
          <w:sz w:val="20"/>
        </w:rPr>
        <w:br w:type="page"/>
      </w:r>
    </w:p>
    <w:p w14:paraId="61B24DFD" w14:textId="77777777" w:rsidR="00D05896" w:rsidRDefault="00D05896">
      <w:pPr>
        <w:rPr>
          <w:rStyle w:val="IntenseReference"/>
        </w:rPr>
      </w:pPr>
      <w:r w:rsidRPr="00D05896">
        <w:rPr>
          <w:rFonts w:ascii="Arial Narrow" w:hAnsi="Arial Narrow"/>
          <w:bCs/>
          <w:color w:val="000000" w:themeColor="text1"/>
          <w:sz w:val="20"/>
        </w:rPr>
        <w:lastRenderedPageBreak/>
        <w:t>Table A</w:t>
      </w:r>
      <w:r w:rsidR="0096504D">
        <w:rPr>
          <w:rFonts w:ascii="Arial Narrow" w:hAnsi="Arial Narrow"/>
          <w:bCs/>
          <w:color w:val="000000" w:themeColor="text1"/>
          <w:sz w:val="20"/>
        </w:rPr>
        <w:t xml:space="preserve"> </w:t>
      </w:r>
      <w:proofErr w:type="gramStart"/>
      <w:r>
        <w:rPr>
          <w:rFonts w:ascii="Arial Narrow" w:hAnsi="Arial Narrow"/>
          <w:bCs/>
          <w:color w:val="000000" w:themeColor="text1"/>
          <w:sz w:val="20"/>
        </w:rPr>
        <w:t>2</w:t>
      </w:r>
      <w:r w:rsidR="0063376B">
        <w:rPr>
          <w:rStyle w:val="IntenseReference"/>
        </w:rPr>
        <w:t xml:space="preserve">  continued</w:t>
      </w:r>
      <w:proofErr w:type="gramEnd"/>
    </w:p>
    <w:tbl>
      <w:tblPr>
        <w:tblW w:w="13892"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1 2: Disturbance histories for coral monitoring locations (continued)"/>
      </w:tblPr>
      <w:tblGrid>
        <w:gridCol w:w="394"/>
        <w:gridCol w:w="599"/>
        <w:gridCol w:w="1984"/>
        <w:gridCol w:w="999"/>
        <w:gridCol w:w="851"/>
        <w:gridCol w:w="843"/>
        <w:gridCol w:w="8222"/>
      </w:tblGrid>
      <w:tr w:rsidR="00040878" w:rsidRPr="00216E77" w14:paraId="5B07EC2F" w14:textId="77777777" w:rsidTr="00040878">
        <w:trPr>
          <w:cantSplit/>
          <w:trHeight w:val="264"/>
        </w:trPr>
        <w:tc>
          <w:tcPr>
            <w:tcW w:w="394" w:type="dxa"/>
            <w:vMerge w:val="restart"/>
            <w:shd w:val="clear" w:color="auto" w:fill="F2F2F2" w:themeFill="background1" w:themeFillShade="F2"/>
            <w:tcMar>
              <w:top w:w="16" w:type="dxa"/>
              <w:left w:w="16" w:type="dxa"/>
              <w:bottom w:w="0" w:type="dxa"/>
              <w:right w:w="16" w:type="dxa"/>
            </w:tcMar>
            <w:textDirection w:val="btLr"/>
            <w:vAlign w:val="center"/>
          </w:tcPr>
          <w:p w14:paraId="1066D208" w14:textId="77777777" w:rsidR="00040878" w:rsidRPr="00342237" w:rsidRDefault="00040878" w:rsidP="00040878">
            <w:pPr>
              <w:jc w:val="center"/>
              <w:rPr>
                <w:rStyle w:val="IntenseReference"/>
                <w:rFonts w:eastAsia="Arial Unicode MS"/>
              </w:rPr>
            </w:pPr>
            <w:r>
              <w:rPr>
                <w:rStyle w:val="IntenseReference"/>
              </w:rPr>
              <w:t>Region</w:t>
            </w:r>
          </w:p>
        </w:tc>
        <w:tc>
          <w:tcPr>
            <w:tcW w:w="599" w:type="dxa"/>
            <w:vMerge w:val="restart"/>
            <w:shd w:val="clear" w:color="auto" w:fill="F2F2F2" w:themeFill="background1" w:themeFillShade="F2"/>
            <w:tcMar>
              <w:top w:w="16" w:type="dxa"/>
              <w:left w:w="16" w:type="dxa"/>
              <w:bottom w:w="0" w:type="dxa"/>
              <w:right w:w="16" w:type="dxa"/>
            </w:tcMar>
            <w:textDirection w:val="btLr"/>
            <w:vAlign w:val="center"/>
          </w:tcPr>
          <w:p w14:paraId="53943EB1" w14:textId="77777777" w:rsidR="00040878" w:rsidRPr="00342237" w:rsidRDefault="00040878" w:rsidP="00E56CF1">
            <w:pPr>
              <w:jc w:val="center"/>
              <w:rPr>
                <w:rStyle w:val="IntenseReference"/>
                <w:rFonts w:eastAsia="Arial Unicode MS"/>
              </w:rPr>
            </w:pPr>
            <w:r w:rsidRPr="00342237">
              <w:rPr>
                <w:rStyle w:val="IntenseReference"/>
              </w:rPr>
              <w:t>Catchment</w:t>
            </w:r>
          </w:p>
        </w:tc>
        <w:tc>
          <w:tcPr>
            <w:tcW w:w="1984" w:type="dxa"/>
            <w:vMerge w:val="restart"/>
            <w:shd w:val="clear" w:color="auto" w:fill="F2F2F2" w:themeFill="background1" w:themeFillShade="F2"/>
            <w:tcMar>
              <w:top w:w="16" w:type="dxa"/>
              <w:left w:w="16" w:type="dxa"/>
              <w:bottom w:w="0" w:type="dxa"/>
              <w:right w:w="16" w:type="dxa"/>
            </w:tcMar>
            <w:vAlign w:val="center"/>
          </w:tcPr>
          <w:p w14:paraId="7935F892" w14:textId="77777777" w:rsidR="00040878" w:rsidRPr="00342237" w:rsidRDefault="00040878" w:rsidP="00E56CF1">
            <w:pPr>
              <w:jc w:val="center"/>
              <w:rPr>
                <w:rStyle w:val="IntenseReference"/>
                <w:rFonts w:eastAsia="Arial Unicode MS"/>
              </w:rPr>
            </w:pPr>
            <w:r w:rsidRPr="00342237">
              <w:rPr>
                <w:rStyle w:val="IntenseReference"/>
              </w:rPr>
              <w:t>Reef</w:t>
            </w:r>
          </w:p>
        </w:tc>
        <w:tc>
          <w:tcPr>
            <w:tcW w:w="2693" w:type="dxa"/>
            <w:gridSpan w:val="3"/>
            <w:shd w:val="clear" w:color="auto" w:fill="F2F2F2" w:themeFill="background1" w:themeFillShade="F2"/>
            <w:tcMar>
              <w:top w:w="16" w:type="dxa"/>
              <w:left w:w="16" w:type="dxa"/>
              <w:bottom w:w="0" w:type="dxa"/>
              <w:right w:w="16" w:type="dxa"/>
            </w:tcMar>
            <w:vAlign w:val="center"/>
          </w:tcPr>
          <w:p w14:paraId="268DE4F0" w14:textId="77777777" w:rsidR="00040878" w:rsidRPr="00216E77" w:rsidRDefault="00040878" w:rsidP="00E56CF1">
            <w:pPr>
              <w:jc w:val="center"/>
              <w:rPr>
                <w:rFonts w:ascii="Arial Narrow" w:eastAsia="Arial Unicode MS" w:hAnsi="Arial Narrow"/>
                <w:bCs/>
                <w:color w:val="000000" w:themeColor="text1"/>
                <w:sz w:val="20"/>
              </w:rPr>
            </w:pPr>
            <w:r w:rsidRPr="00342237">
              <w:rPr>
                <w:rStyle w:val="IntenseReference"/>
              </w:rPr>
              <w:t>Bleaching</w:t>
            </w:r>
          </w:p>
        </w:tc>
        <w:tc>
          <w:tcPr>
            <w:tcW w:w="8222" w:type="dxa"/>
            <w:vMerge w:val="restart"/>
            <w:shd w:val="clear" w:color="auto" w:fill="F2F2F2" w:themeFill="background1" w:themeFillShade="F2"/>
            <w:tcMar>
              <w:top w:w="16" w:type="dxa"/>
              <w:left w:w="16" w:type="dxa"/>
              <w:bottom w:w="0" w:type="dxa"/>
              <w:right w:w="16" w:type="dxa"/>
            </w:tcMar>
            <w:vAlign w:val="center"/>
          </w:tcPr>
          <w:p w14:paraId="2C94943E" w14:textId="77777777" w:rsidR="00040878" w:rsidRDefault="00040878" w:rsidP="00E56CF1">
            <w:pPr>
              <w:spacing w:after="0"/>
              <w:jc w:val="center"/>
              <w:rPr>
                <w:rFonts w:ascii="Arial Narrow" w:hAnsi="Arial Narrow"/>
                <w:bCs/>
                <w:color w:val="000000" w:themeColor="text1"/>
                <w:sz w:val="20"/>
              </w:rPr>
            </w:pPr>
            <w:r w:rsidRPr="00342237">
              <w:rPr>
                <w:rStyle w:val="IntenseReference"/>
              </w:rPr>
              <w:t>Other recorded disturbances</w:t>
            </w:r>
          </w:p>
        </w:tc>
      </w:tr>
      <w:tr w:rsidR="00040878" w:rsidRPr="00216E77" w14:paraId="3FE9269A" w14:textId="77777777" w:rsidTr="00040878">
        <w:trPr>
          <w:cantSplit/>
          <w:trHeight w:val="550"/>
        </w:trPr>
        <w:tc>
          <w:tcPr>
            <w:tcW w:w="394" w:type="dxa"/>
            <w:vMerge/>
            <w:tcMar>
              <w:top w:w="16" w:type="dxa"/>
              <w:left w:w="16" w:type="dxa"/>
              <w:bottom w:w="0" w:type="dxa"/>
              <w:right w:w="16" w:type="dxa"/>
            </w:tcMar>
            <w:textDirection w:val="btLr"/>
            <w:vAlign w:val="center"/>
          </w:tcPr>
          <w:p w14:paraId="59FCA2DC" w14:textId="77777777" w:rsidR="00040878" w:rsidRPr="00216E77" w:rsidRDefault="00040878" w:rsidP="00E56CF1">
            <w:pPr>
              <w:jc w:val="center"/>
              <w:rPr>
                <w:rFonts w:ascii="Arial Narrow" w:hAnsi="Arial Narrow"/>
                <w:bCs/>
                <w:color w:val="000000" w:themeColor="text1"/>
                <w:sz w:val="20"/>
              </w:rPr>
            </w:pPr>
          </w:p>
        </w:tc>
        <w:tc>
          <w:tcPr>
            <w:tcW w:w="599" w:type="dxa"/>
            <w:vMerge/>
            <w:tcMar>
              <w:top w:w="16" w:type="dxa"/>
              <w:left w:w="16" w:type="dxa"/>
              <w:bottom w:w="0" w:type="dxa"/>
              <w:right w:w="16" w:type="dxa"/>
            </w:tcMar>
            <w:textDirection w:val="btLr"/>
            <w:vAlign w:val="center"/>
          </w:tcPr>
          <w:p w14:paraId="4C00BF51" w14:textId="77777777" w:rsidR="00040878" w:rsidRPr="00216E77" w:rsidRDefault="00040878" w:rsidP="00E56CF1">
            <w:pPr>
              <w:jc w:val="center"/>
              <w:rPr>
                <w:rFonts w:ascii="Arial Narrow" w:hAnsi="Arial Narrow"/>
                <w:bCs/>
                <w:color w:val="000000" w:themeColor="text1"/>
                <w:sz w:val="20"/>
              </w:rPr>
            </w:pPr>
          </w:p>
        </w:tc>
        <w:tc>
          <w:tcPr>
            <w:tcW w:w="1984" w:type="dxa"/>
            <w:vMerge/>
            <w:tcMar>
              <w:top w:w="16" w:type="dxa"/>
              <w:left w:w="16" w:type="dxa"/>
              <w:bottom w:w="0" w:type="dxa"/>
              <w:right w:w="16" w:type="dxa"/>
            </w:tcMar>
            <w:vAlign w:val="bottom"/>
          </w:tcPr>
          <w:p w14:paraId="53B867C2" w14:textId="77777777" w:rsidR="00040878" w:rsidRPr="00216E77" w:rsidRDefault="00040878" w:rsidP="00E56CF1">
            <w:pPr>
              <w:ind w:left="200"/>
              <w:rPr>
                <w:rFonts w:ascii="Arial Narrow" w:hAnsi="Arial Narrow"/>
                <w:bCs/>
                <w:color w:val="000000" w:themeColor="text1"/>
                <w:sz w:val="20"/>
              </w:rPr>
            </w:pPr>
          </w:p>
        </w:tc>
        <w:tc>
          <w:tcPr>
            <w:tcW w:w="999" w:type="dxa"/>
            <w:shd w:val="clear" w:color="auto" w:fill="F2F2F2" w:themeFill="background1" w:themeFillShade="F2"/>
            <w:tcMar>
              <w:top w:w="16" w:type="dxa"/>
              <w:left w:w="16" w:type="dxa"/>
              <w:bottom w:w="0" w:type="dxa"/>
              <w:right w:w="16" w:type="dxa"/>
            </w:tcMar>
            <w:vAlign w:val="center"/>
          </w:tcPr>
          <w:p w14:paraId="64715571" w14:textId="77777777" w:rsidR="00040878" w:rsidRPr="00342237" w:rsidRDefault="00040878" w:rsidP="00E56CF1">
            <w:pPr>
              <w:jc w:val="center"/>
              <w:rPr>
                <w:rStyle w:val="IntenseReference"/>
                <w:rFonts w:eastAsia="Arial Unicode MS"/>
              </w:rPr>
            </w:pPr>
            <w:r w:rsidRPr="00342237">
              <w:rPr>
                <w:rStyle w:val="IntenseReference"/>
              </w:rPr>
              <w:t>1998</w:t>
            </w:r>
          </w:p>
        </w:tc>
        <w:tc>
          <w:tcPr>
            <w:tcW w:w="851" w:type="dxa"/>
            <w:shd w:val="clear" w:color="auto" w:fill="F2F2F2" w:themeFill="background1" w:themeFillShade="F2"/>
            <w:vAlign w:val="center"/>
          </w:tcPr>
          <w:p w14:paraId="6AE7B354" w14:textId="77777777" w:rsidR="00040878" w:rsidRPr="00342237" w:rsidRDefault="00040878" w:rsidP="00E56CF1">
            <w:pPr>
              <w:jc w:val="center"/>
              <w:rPr>
                <w:rStyle w:val="IntenseReference"/>
                <w:rFonts w:eastAsia="Arial Unicode MS"/>
              </w:rPr>
            </w:pPr>
            <w:r w:rsidRPr="00342237">
              <w:rPr>
                <w:rStyle w:val="IntenseReference"/>
              </w:rPr>
              <w:t>2002</w:t>
            </w:r>
          </w:p>
        </w:tc>
        <w:tc>
          <w:tcPr>
            <w:tcW w:w="843" w:type="dxa"/>
            <w:shd w:val="clear" w:color="auto" w:fill="F2F2F2" w:themeFill="background1" w:themeFillShade="F2"/>
            <w:tcMar>
              <w:top w:w="16" w:type="dxa"/>
              <w:left w:w="16" w:type="dxa"/>
              <w:bottom w:w="0" w:type="dxa"/>
              <w:right w:w="16" w:type="dxa"/>
            </w:tcMar>
            <w:vAlign w:val="center"/>
          </w:tcPr>
          <w:p w14:paraId="55D79134" w14:textId="77777777" w:rsidR="00040878" w:rsidRPr="00342237" w:rsidRDefault="00040878" w:rsidP="00E56CF1">
            <w:pPr>
              <w:jc w:val="center"/>
              <w:rPr>
                <w:rStyle w:val="IntenseReference"/>
                <w:rFonts w:eastAsia="Arial Unicode MS"/>
              </w:rPr>
            </w:pPr>
            <w:r w:rsidRPr="00342237">
              <w:rPr>
                <w:rStyle w:val="IntenseReference"/>
                <w:rFonts w:eastAsia="Arial Unicode MS"/>
              </w:rPr>
              <w:t>2006</w:t>
            </w:r>
          </w:p>
        </w:tc>
        <w:tc>
          <w:tcPr>
            <w:tcW w:w="8222" w:type="dxa"/>
            <w:vMerge/>
            <w:tcMar>
              <w:top w:w="16" w:type="dxa"/>
              <w:left w:w="16" w:type="dxa"/>
              <w:bottom w:w="0" w:type="dxa"/>
              <w:right w:w="16" w:type="dxa"/>
            </w:tcMar>
            <w:vAlign w:val="bottom"/>
          </w:tcPr>
          <w:p w14:paraId="49EA631D" w14:textId="77777777" w:rsidR="00040878" w:rsidRDefault="00040878" w:rsidP="00E56CF1">
            <w:pPr>
              <w:spacing w:after="0"/>
              <w:rPr>
                <w:rFonts w:ascii="Arial Narrow" w:hAnsi="Arial Narrow"/>
                <w:bCs/>
                <w:color w:val="000000" w:themeColor="text1"/>
                <w:sz w:val="20"/>
              </w:rPr>
            </w:pPr>
          </w:p>
        </w:tc>
      </w:tr>
      <w:tr w:rsidR="00040878" w:rsidRPr="00216E77" w14:paraId="5E2A6AA6" w14:textId="77777777" w:rsidTr="00040878">
        <w:trPr>
          <w:cantSplit/>
          <w:trHeight w:val="264"/>
        </w:trPr>
        <w:tc>
          <w:tcPr>
            <w:tcW w:w="394" w:type="dxa"/>
            <w:vMerge w:val="restart"/>
            <w:tcMar>
              <w:top w:w="16" w:type="dxa"/>
              <w:left w:w="16" w:type="dxa"/>
              <w:bottom w:w="0" w:type="dxa"/>
              <w:right w:w="16" w:type="dxa"/>
            </w:tcMar>
            <w:textDirection w:val="btLr"/>
            <w:vAlign w:val="center"/>
          </w:tcPr>
          <w:p w14:paraId="6E7ABE54" w14:textId="77777777" w:rsidR="00040878" w:rsidRPr="00216E77" w:rsidRDefault="00040878" w:rsidP="00E56CF1">
            <w:pPr>
              <w:jc w:val="center"/>
              <w:rPr>
                <w:rFonts w:ascii="Arial Narrow" w:eastAsia="Arial Unicode MS" w:hAnsi="Arial Narrow"/>
                <w:bCs/>
                <w:color w:val="000000" w:themeColor="text1"/>
                <w:sz w:val="20"/>
              </w:rPr>
            </w:pPr>
            <w:r w:rsidRPr="00216E77">
              <w:rPr>
                <w:rFonts w:ascii="Arial Narrow" w:hAnsi="Arial Narrow"/>
                <w:bCs/>
                <w:color w:val="000000" w:themeColor="text1"/>
                <w:sz w:val="20"/>
              </w:rPr>
              <w:t>Burdekin</w:t>
            </w:r>
          </w:p>
        </w:tc>
        <w:tc>
          <w:tcPr>
            <w:tcW w:w="599" w:type="dxa"/>
            <w:vMerge w:val="restart"/>
            <w:tcMar>
              <w:top w:w="16" w:type="dxa"/>
              <w:left w:w="16" w:type="dxa"/>
              <w:bottom w:w="0" w:type="dxa"/>
              <w:right w:w="16" w:type="dxa"/>
            </w:tcMar>
            <w:textDirection w:val="btLr"/>
            <w:vAlign w:val="center"/>
          </w:tcPr>
          <w:p w14:paraId="75E49B4B" w14:textId="77777777" w:rsidR="00040878" w:rsidRPr="00216E77" w:rsidRDefault="00040878" w:rsidP="00E56CF1">
            <w:pPr>
              <w:jc w:val="center"/>
              <w:rPr>
                <w:rFonts w:ascii="Arial Narrow" w:eastAsia="Arial Unicode MS" w:hAnsi="Arial Narrow"/>
                <w:bCs/>
                <w:color w:val="000000" w:themeColor="text1"/>
                <w:sz w:val="20"/>
              </w:rPr>
            </w:pPr>
            <w:r w:rsidRPr="00216E77">
              <w:rPr>
                <w:rFonts w:ascii="Arial Narrow" w:hAnsi="Arial Narrow"/>
                <w:bCs/>
                <w:color w:val="000000" w:themeColor="text1"/>
                <w:sz w:val="20"/>
              </w:rPr>
              <w:t>Burdekin</w:t>
            </w:r>
          </w:p>
        </w:tc>
        <w:tc>
          <w:tcPr>
            <w:tcW w:w="1984" w:type="dxa"/>
            <w:tcMar>
              <w:top w:w="16" w:type="dxa"/>
              <w:left w:w="16" w:type="dxa"/>
              <w:bottom w:w="0" w:type="dxa"/>
              <w:right w:w="16" w:type="dxa"/>
            </w:tcMar>
            <w:vAlign w:val="bottom"/>
          </w:tcPr>
          <w:p w14:paraId="5E2672F9"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Palms East</w:t>
            </w:r>
          </w:p>
        </w:tc>
        <w:tc>
          <w:tcPr>
            <w:tcW w:w="999" w:type="dxa"/>
            <w:tcMar>
              <w:top w:w="16" w:type="dxa"/>
              <w:left w:w="16" w:type="dxa"/>
              <w:bottom w:w="0" w:type="dxa"/>
              <w:right w:w="16" w:type="dxa"/>
            </w:tcMar>
            <w:vAlign w:val="center"/>
          </w:tcPr>
          <w:p w14:paraId="04159580"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0.93</w:t>
            </w:r>
          </w:p>
        </w:tc>
        <w:tc>
          <w:tcPr>
            <w:tcW w:w="851" w:type="dxa"/>
            <w:vAlign w:val="center"/>
          </w:tcPr>
          <w:p w14:paraId="4B14F736"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0.80</w:t>
            </w:r>
          </w:p>
        </w:tc>
        <w:tc>
          <w:tcPr>
            <w:tcW w:w="843" w:type="dxa"/>
            <w:tcMar>
              <w:top w:w="16" w:type="dxa"/>
              <w:left w:w="16" w:type="dxa"/>
              <w:bottom w:w="0" w:type="dxa"/>
              <w:right w:w="16" w:type="dxa"/>
            </w:tcMar>
            <w:vAlign w:val="center"/>
          </w:tcPr>
          <w:p w14:paraId="7E5CB6CB"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45DD8454" w14:textId="77777777" w:rsidR="00040878" w:rsidRPr="00040878" w:rsidRDefault="00040878" w:rsidP="00040878">
            <w:pPr>
              <w:spacing w:after="0"/>
              <w:jc w:val="left"/>
              <w:rPr>
                <w:rFonts w:ascii="Arial Narrow" w:hAnsi="Arial Narrow"/>
                <w:bCs/>
                <w:color w:val="000000" w:themeColor="text1"/>
                <w:sz w:val="18"/>
                <w:szCs w:val="18"/>
              </w:rPr>
            </w:pPr>
            <w:r w:rsidRPr="00040878">
              <w:rPr>
                <w:rFonts w:ascii="Arial Narrow" w:hAnsi="Arial Narrow"/>
                <w:bCs/>
                <w:color w:val="000000" w:themeColor="text1"/>
                <w:sz w:val="18"/>
                <w:szCs w:val="18"/>
              </w:rPr>
              <w:t>Cyclone Larry 2006 (22% at 2m, 39% at 5m), Cyclone Yasi 2011 (83% at 2m, 83% at 5m)</w:t>
            </w:r>
          </w:p>
        </w:tc>
      </w:tr>
      <w:tr w:rsidR="00040878" w:rsidRPr="00216E77" w14:paraId="76481572" w14:textId="77777777" w:rsidTr="00040878">
        <w:trPr>
          <w:cantSplit/>
          <w:trHeight w:val="236"/>
        </w:trPr>
        <w:tc>
          <w:tcPr>
            <w:tcW w:w="394" w:type="dxa"/>
            <w:vMerge/>
            <w:vAlign w:val="center"/>
          </w:tcPr>
          <w:p w14:paraId="1C4A3DDF"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67344623"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5B739A69"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Palms West</w:t>
            </w:r>
          </w:p>
        </w:tc>
        <w:tc>
          <w:tcPr>
            <w:tcW w:w="999" w:type="dxa"/>
            <w:tcMar>
              <w:top w:w="16" w:type="dxa"/>
              <w:left w:w="16" w:type="dxa"/>
              <w:bottom w:w="0" w:type="dxa"/>
              <w:right w:w="16" w:type="dxa"/>
            </w:tcMar>
            <w:vAlign w:val="center"/>
          </w:tcPr>
          <w:p w14:paraId="7CF784FC"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0.92 (83%)</w:t>
            </w:r>
          </w:p>
        </w:tc>
        <w:tc>
          <w:tcPr>
            <w:tcW w:w="851" w:type="dxa"/>
            <w:vAlign w:val="center"/>
          </w:tcPr>
          <w:p w14:paraId="3EB5A564"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0.80</w:t>
            </w:r>
          </w:p>
        </w:tc>
        <w:tc>
          <w:tcPr>
            <w:tcW w:w="843" w:type="dxa"/>
            <w:tcMar>
              <w:top w:w="16" w:type="dxa"/>
              <w:left w:w="16" w:type="dxa"/>
              <w:bottom w:w="0" w:type="dxa"/>
              <w:right w:w="16" w:type="dxa"/>
            </w:tcMar>
            <w:vAlign w:val="center"/>
          </w:tcPr>
          <w:p w14:paraId="5996D241"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0A0CFB28" w14:textId="77777777" w:rsidR="00040878" w:rsidRPr="00040878" w:rsidRDefault="00040878" w:rsidP="00040878">
            <w:pPr>
              <w:spacing w:after="0"/>
              <w:jc w:val="left"/>
              <w:rPr>
                <w:rFonts w:ascii="Arial Narrow" w:hAnsi="Arial Narrow"/>
                <w:bCs/>
                <w:color w:val="000000" w:themeColor="text1"/>
                <w:sz w:val="18"/>
                <w:szCs w:val="18"/>
              </w:rPr>
            </w:pPr>
            <w:r w:rsidRPr="00040878">
              <w:rPr>
                <w:rFonts w:ascii="Arial Narrow" w:hAnsi="Arial Narrow"/>
                <w:bCs/>
                <w:color w:val="000000" w:themeColor="text1"/>
                <w:sz w:val="18"/>
                <w:szCs w:val="18"/>
              </w:rPr>
              <w:t>Unknown 1995-1997 though possibly Cyclone Justin (32%) , Cyclone Larry 2006 (15% at 2m),</w:t>
            </w:r>
          </w:p>
          <w:p w14:paraId="2F0BE474" w14:textId="77777777" w:rsidR="00040878" w:rsidRPr="00040878" w:rsidRDefault="00040878" w:rsidP="00040878">
            <w:pPr>
              <w:spacing w:after="0"/>
              <w:jc w:val="left"/>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Storm 2010 (68% at 2m)</w:t>
            </w:r>
          </w:p>
        </w:tc>
      </w:tr>
      <w:tr w:rsidR="00040878" w:rsidRPr="00216E77" w14:paraId="7FADE0AC" w14:textId="77777777" w:rsidTr="00040878">
        <w:trPr>
          <w:cantSplit/>
          <w:trHeight w:val="264"/>
        </w:trPr>
        <w:tc>
          <w:tcPr>
            <w:tcW w:w="394" w:type="dxa"/>
            <w:vMerge/>
            <w:vAlign w:val="center"/>
          </w:tcPr>
          <w:p w14:paraId="466BB86A"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2D8E9A0B"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52B8622D"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Lady Elliott Reef</w:t>
            </w:r>
          </w:p>
        </w:tc>
        <w:tc>
          <w:tcPr>
            <w:tcW w:w="999" w:type="dxa"/>
            <w:tcMar>
              <w:top w:w="16" w:type="dxa"/>
              <w:left w:w="16" w:type="dxa"/>
              <w:bottom w:w="0" w:type="dxa"/>
              <w:right w:w="16" w:type="dxa"/>
            </w:tcMar>
            <w:vAlign w:val="center"/>
          </w:tcPr>
          <w:p w14:paraId="069B2B72"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0.93</w:t>
            </w:r>
          </w:p>
        </w:tc>
        <w:tc>
          <w:tcPr>
            <w:tcW w:w="851" w:type="dxa"/>
            <w:vAlign w:val="center"/>
          </w:tcPr>
          <w:p w14:paraId="09DE78C1"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0.85</w:t>
            </w:r>
          </w:p>
        </w:tc>
        <w:tc>
          <w:tcPr>
            <w:tcW w:w="843" w:type="dxa"/>
            <w:tcMar>
              <w:top w:w="16" w:type="dxa"/>
              <w:left w:w="16" w:type="dxa"/>
              <w:bottom w:w="0" w:type="dxa"/>
              <w:right w:w="16" w:type="dxa"/>
            </w:tcMar>
            <w:vAlign w:val="center"/>
          </w:tcPr>
          <w:p w14:paraId="36CB2A67"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2B26844A" w14:textId="77777777" w:rsidR="00040878" w:rsidRPr="00040878" w:rsidRDefault="00040878" w:rsidP="00040878">
            <w:pPr>
              <w:spacing w:after="0"/>
              <w:jc w:val="left"/>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Cyclone Yasi 2011 most likely although reef not surveyed that year (863% at 2m, 45% at 5m)</w:t>
            </w:r>
          </w:p>
        </w:tc>
      </w:tr>
      <w:tr w:rsidR="00040878" w:rsidRPr="00216E77" w14:paraId="4860CA4C" w14:textId="77777777" w:rsidTr="00040878">
        <w:trPr>
          <w:cantSplit/>
          <w:trHeight w:val="297"/>
        </w:trPr>
        <w:tc>
          <w:tcPr>
            <w:tcW w:w="394" w:type="dxa"/>
            <w:vMerge/>
            <w:vAlign w:val="center"/>
          </w:tcPr>
          <w:p w14:paraId="4C9125DD"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77666107"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2DA55044"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Pandora Reef</w:t>
            </w:r>
          </w:p>
        </w:tc>
        <w:tc>
          <w:tcPr>
            <w:tcW w:w="999" w:type="dxa"/>
            <w:tcMar>
              <w:top w:w="16" w:type="dxa"/>
              <w:left w:w="16" w:type="dxa"/>
              <w:bottom w:w="0" w:type="dxa"/>
              <w:right w:w="16" w:type="dxa"/>
            </w:tcMar>
            <w:vAlign w:val="center"/>
          </w:tcPr>
          <w:p w14:paraId="3A050AF5"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0.93 (21%)</w:t>
            </w:r>
          </w:p>
        </w:tc>
        <w:tc>
          <w:tcPr>
            <w:tcW w:w="851" w:type="dxa"/>
            <w:vAlign w:val="center"/>
          </w:tcPr>
          <w:p w14:paraId="6E823311"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0.85 (2%)</w:t>
            </w:r>
          </w:p>
        </w:tc>
        <w:tc>
          <w:tcPr>
            <w:tcW w:w="843" w:type="dxa"/>
            <w:tcMar>
              <w:top w:w="16" w:type="dxa"/>
              <w:left w:w="16" w:type="dxa"/>
              <w:bottom w:w="0" w:type="dxa"/>
              <w:right w:w="16" w:type="dxa"/>
            </w:tcMar>
            <w:vAlign w:val="center"/>
          </w:tcPr>
          <w:p w14:paraId="13EDF9C1"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2B932E37" w14:textId="77777777" w:rsidR="00040878" w:rsidRPr="00040878" w:rsidRDefault="00040878" w:rsidP="00040878">
            <w:pPr>
              <w:spacing w:after="0"/>
              <w:jc w:val="left"/>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Cyclone Tessie 2000 (9%), Cyclone Larry 2006 (27% at 2m, 7% at 5m), Storm 2009 (40% at 2m, 53% at 5m), Cyclone Yasi 2011 (11% at 2m, 46% at 5m)</w:t>
            </w:r>
          </w:p>
        </w:tc>
      </w:tr>
      <w:tr w:rsidR="00040878" w:rsidRPr="00216E77" w14:paraId="23893500" w14:textId="77777777" w:rsidTr="00040878">
        <w:trPr>
          <w:cantSplit/>
          <w:trHeight w:val="297"/>
        </w:trPr>
        <w:tc>
          <w:tcPr>
            <w:tcW w:w="394" w:type="dxa"/>
            <w:vMerge/>
            <w:vAlign w:val="center"/>
          </w:tcPr>
          <w:p w14:paraId="443DA90A"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0C8ABFE6"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41F0972C" w14:textId="77777777" w:rsidR="00040878" w:rsidRPr="00216E77" w:rsidRDefault="00040878" w:rsidP="00E56CF1">
            <w:pPr>
              <w:ind w:left="200"/>
              <w:rPr>
                <w:rFonts w:ascii="Arial Narrow" w:hAnsi="Arial Narrow"/>
                <w:bCs/>
                <w:color w:val="000000" w:themeColor="text1"/>
                <w:sz w:val="20"/>
              </w:rPr>
            </w:pPr>
            <w:r w:rsidRPr="00216E77">
              <w:rPr>
                <w:rFonts w:ascii="Arial Narrow" w:hAnsi="Arial Narrow"/>
                <w:bCs/>
                <w:color w:val="000000" w:themeColor="text1"/>
                <w:sz w:val="20"/>
              </w:rPr>
              <w:t>Pandora North</w:t>
            </w:r>
          </w:p>
        </w:tc>
        <w:tc>
          <w:tcPr>
            <w:tcW w:w="999" w:type="dxa"/>
            <w:tcMar>
              <w:top w:w="16" w:type="dxa"/>
              <w:left w:w="16" w:type="dxa"/>
              <w:bottom w:w="0" w:type="dxa"/>
              <w:right w:w="16" w:type="dxa"/>
            </w:tcMar>
            <w:vAlign w:val="center"/>
          </w:tcPr>
          <w:p w14:paraId="45E44ACD" w14:textId="77777777" w:rsidR="00040878" w:rsidRPr="00040878" w:rsidRDefault="00040878" w:rsidP="00E56CF1">
            <w:pPr>
              <w:jc w:val="center"/>
              <w:rPr>
                <w:rFonts w:ascii="Arial Narrow" w:hAnsi="Arial Narrow"/>
                <w:bCs/>
                <w:color w:val="000000" w:themeColor="text1"/>
                <w:sz w:val="18"/>
                <w:szCs w:val="18"/>
              </w:rPr>
            </w:pPr>
            <w:r w:rsidRPr="00040878">
              <w:rPr>
                <w:rFonts w:ascii="Arial Narrow" w:hAnsi="Arial Narrow"/>
                <w:bCs/>
                <w:color w:val="000000" w:themeColor="text1"/>
                <w:sz w:val="18"/>
                <w:szCs w:val="18"/>
              </w:rPr>
              <w:t>11%</w:t>
            </w:r>
          </w:p>
        </w:tc>
        <w:tc>
          <w:tcPr>
            <w:tcW w:w="851" w:type="dxa"/>
            <w:vAlign w:val="center"/>
          </w:tcPr>
          <w:p w14:paraId="62166FD0" w14:textId="77777777" w:rsidR="00040878" w:rsidRPr="00040878" w:rsidRDefault="00040878" w:rsidP="00E56CF1">
            <w:pPr>
              <w:jc w:val="center"/>
              <w:rPr>
                <w:rFonts w:ascii="Arial Narrow" w:hAnsi="Arial Narrow"/>
                <w:bCs/>
                <w:color w:val="000000" w:themeColor="text1"/>
                <w:sz w:val="18"/>
                <w:szCs w:val="18"/>
              </w:rPr>
            </w:pPr>
          </w:p>
        </w:tc>
        <w:tc>
          <w:tcPr>
            <w:tcW w:w="843" w:type="dxa"/>
            <w:tcMar>
              <w:top w:w="16" w:type="dxa"/>
              <w:left w:w="16" w:type="dxa"/>
              <w:bottom w:w="0" w:type="dxa"/>
              <w:right w:w="16" w:type="dxa"/>
            </w:tcMar>
            <w:vAlign w:val="center"/>
          </w:tcPr>
          <w:p w14:paraId="11CC7A7F"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6C841E3F" w14:textId="77777777" w:rsidR="00040878" w:rsidRPr="00040878" w:rsidRDefault="00040878" w:rsidP="00040878">
            <w:pPr>
              <w:spacing w:after="0"/>
              <w:jc w:val="left"/>
              <w:rPr>
                <w:rFonts w:ascii="Arial Narrow" w:hAnsi="Arial Narrow"/>
                <w:bCs/>
                <w:color w:val="000000" w:themeColor="text1"/>
                <w:sz w:val="18"/>
                <w:szCs w:val="18"/>
              </w:rPr>
            </w:pPr>
            <w:r w:rsidRPr="00040878">
              <w:rPr>
                <w:rFonts w:ascii="Arial Narrow" w:hAnsi="Arial Narrow"/>
                <w:bCs/>
                <w:color w:val="000000" w:themeColor="text1"/>
                <w:sz w:val="18"/>
                <w:szCs w:val="18"/>
              </w:rPr>
              <w:t>Cyclone Yasi 2011 (24%)</w:t>
            </w:r>
          </w:p>
        </w:tc>
      </w:tr>
      <w:tr w:rsidR="00040878" w:rsidRPr="00216E77" w14:paraId="6BCE439E" w14:textId="77777777" w:rsidTr="00040878">
        <w:trPr>
          <w:cantSplit/>
          <w:trHeight w:val="265"/>
        </w:trPr>
        <w:tc>
          <w:tcPr>
            <w:tcW w:w="394" w:type="dxa"/>
            <w:vMerge/>
            <w:vAlign w:val="center"/>
          </w:tcPr>
          <w:p w14:paraId="61C2F9DE"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0FF8B4AF"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53385ACA"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Havannah</w:t>
            </w:r>
          </w:p>
        </w:tc>
        <w:tc>
          <w:tcPr>
            <w:tcW w:w="999" w:type="dxa"/>
            <w:tcMar>
              <w:top w:w="16" w:type="dxa"/>
              <w:left w:w="16" w:type="dxa"/>
              <w:bottom w:w="0" w:type="dxa"/>
              <w:right w:w="16" w:type="dxa"/>
            </w:tcMar>
            <w:vAlign w:val="center"/>
          </w:tcPr>
          <w:p w14:paraId="33FFE095"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 xml:space="preserve">0.93 </w:t>
            </w:r>
          </w:p>
        </w:tc>
        <w:tc>
          <w:tcPr>
            <w:tcW w:w="851" w:type="dxa"/>
            <w:vAlign w:val="center"/>
          </w:tcPr>
          <w:p w14:paraId="7A578EDD"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 xml:space="preserve">0.95 </w:t>
            </w:r>
          </w:p>
        </w:tc>
        <w:tc>
          <w:tcPr>
            <w:tcW w:w="843" w:type="dxa"/>
            <w:tcMar>
              <w:top w:w="16" w:type="dxa"/>
              <w:left w:w="16" w:type="dxa"/>
              <w:bottom w:w="0" w:type="dxa"/>
              <w:right w:w="16" w:type="dxa"/>
            </w:tcMar>
            <w:vAlign w:val="center"/>
          </w:tcPr>
          <w:p w14:paraId="0C10B338"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77B8136D" w14:textId="77777777" w:rsidR="00040878" w:rsidRPr="00040878" w:rsidRDefault="00040878" w:rsidP="00040878">
            <w:pPr>
              <w:spacing w:after="0"/>
              <w:jc w:val="left"/>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Combination of Cyclone Tessie and Crown-of-thorns 1999-2001 (66%) Cyclone Yasi 2011 (3% at 2m, 19% at 5m)</w:t>
            </w:r>
          </w:p>
        </w:tc>
      </w:tr>
      <w:tr w:rsidR="00040878" w:rsidRPr="00216E77" w14:paraId="6E8AC2F3" w14:textId="77777777" w:rsidTr="00040878">
        <w:trPr>
          <w:cantSplit/>
          <w:trHeight w:val="265"/>
        </w:trPr>
        <w:tc>
          <w:tcPr>
            <w:tcW w:w="394" w:type="dxa"/>
            <w:vMerge/>
            <w:vAlign w:val="center"/>
          </w:tcPr>
          <w:p w14:paraId="6304EA86"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4EA606B2"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525BC9B5" w14:textId="77777777" w:rsidR="00040878" w:rsidRPr="00216E77" w:rsidRDefault="00040878" w:rsidP="00E56CF1">
            <w:pPr>
              <w:ind w:left="200"/>
              <w:rPr>
                <w:rFonts w:ascii="Arial Narrow" w:hAnsi="Arial Narrow"/>
                <w:bCs/>
                <w:color w:val="000000" w:themeColor="text1"/>
                <w:sz w:val="20"/>
              </w:rPr>
            </w:pPr>
            <w:r w:rsidRPr="00216E77">
              <w:rPr>
                <w:rFonts w:ascii="Arial Narrow" w:hAnsi="Arial Narrow"/>
                <w:bCs/>
                <w:color w:val="000000" w:themeColor="text1"/>
                <w:sz w:val="20"/>
              </w:rPr>
              <w:t>Havannah North</w:t>
            </w:r>
          </w:p>
        </w:tc>
        <w:tc>
          <w:tcPr>
            <w:tcW w:w="999" w:type="dxa"/>
            <w:tcMar>
              <w:top w:w="16" w:type="dxa"/>
              <w:left w:w="16" w:type="dxa"/>
              <w:bottom w:w="0" w:type="dxa"/>
              <w:right w:w="16" w:type="dxa"/>
            </w:tcMar>
            <w:vAlign w:val="center"/>
          </w:tcPr>
          <w:p w14:paraId="265605F0" w14:textId="77777777" w:rsidR="00040878" w:rsidRPr="00040878" w:rsidRDefault="00040878" w:rsidP="00E56CF1">
            <w:pPr>
              <w:jc w:val="center"/>
              <w:rPr>
                <w:rFonts w:ascii="Arial Narrow" w:hAnsi="Arial Narrow"/>
                <w:bCs/>
                <w:color w:val="000000" w:themeColor="text1"/>
                <w:sz w:val="18"/>
                <w:szCs w:val="18"/>
              </w:rPr>
            </w:pPr>
            <w:r w:rsidRPr="00040878">
              <w:rPr>
                <w:rFonts w:ascii="Arial Narrow" w:hAnsi="Arial Narrow"/>
                <w:bCs/>
                <w:color w:val="000000" w:themeColor="text1"/>
                <w:sz w:val="18"/>
                <w:szCs w:val="18"/>
              </w:rPr>
              <w:t>49%</w:t>
            </w:r>
          </w:p>
        </w:tc>
        <w:tc>
          <w:tcPr>
            <w:tcW w:w="851" w:type="dxa"/>
            <w:vAlign w:val="center"/>
          </w:tcPr>
          <w:p w14:paraId="4D2E9237" w14:textId="77777777" w:rsidR="00040878" w:rsidRPr="00040878" w:rsidRDefault="00040878" w:rsidP="00E56CF1">
            <w:pPr>
              <w:jc w:val="center"/>
              <w:rPr>
                <w:rFonts w:ascii="Arial Narrow" w:hAnsi="Arial Narrow"/>
                <w:bCs/>
                <w:color w:val="000000" w:themeColor="text1"/>
                <w:sz w:val="18"/>
                <w:szCs w:val="18"/>
              </w:rPr>
            </w:pPr>
            <w:r w:rsidRPr="00040878">
              <w:rPr>
                <w:rFonts w:ascii="Arial Narrow" w:hAnsi="Arial Narrow"/>
                <w:bCs/>
                <w:color w:val="000000" w:themeColor="text1"/>
                <w:sz w:val="18"/>
                <w:szCs w:val="18"/>
              </w:rPr>
              <w:t>21%</w:t>
            </w:r>
          </w:p>
        </w:tc>
        <w:tc>
          <w:tcPr>
            <w:tcW w:w="843" w:type="dxa"/>
            <w:tcMar>
              <w:top w:w="16" w:type="dxa"/>
              <w:left w:w="16" w:type="dxa"/>
              <w:bottom w:w="0" w:type="dxa"/>
              <w:right w:w="16" w:type="dxa"/>
            </w:tcMar>
            <w:vAlign w:val="center"/>
          </w:tcPr>
          <w:p w14:paraId="0EAC3382"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7F40A870" w14:textId="77777777" w:rsidR="00040878" w:rsidRPr="00040878" w:rsidRDefault="00040878" w:rsidP="00040878">
            <w:pPr>
              <w:spacing w:after="0"/>
              <w:jc w:val="left"/>
              <w:rPr>
                <w:rFonts w:ascii="Arial Narrow" w:hAnsi="Arial Narrow"/>
                <w:bCs/>
                <w:color w:val="000000" w:themeColor="text1"/>
                <w:sz w:val="18"/>
                <w:szCs w:val="18"/>
              </w:rPr>
            </w:pPr>
            <w:r w:rsidRPr="00040878">
              <w:rPr>
                <w:rFonts w:ascii="Arial Narrow" w:hAnsi="Arial Narrow"/>
                <w:bCs/>
                <w:color w:val="000000" w:themeColor="text1"/>
                <w:sz w:val="18"/>
                <w:szCs w:val="18"/>
              </w:rPr>
              <w:t>Cyclone Tessie 2000 (54%), 2001 Crown-of-thorns (44%) Cyclone Yasi 2011 (68%)</w:t>
            </w:r>
          </w:p>
        </w:tc>
      </w:tr>
      <w:tr w:rsidR="00040878" w:rsidRPr="00216E77" w14:paraId="6184DA5E" w14:textId="77777777" w:rsidTr="00040878">
        <w:trPr>
          <w:cantSplit/>
          <w:trHeight w:val="248"/>
        </w:trPr>
        <w:tc>
          <w:tcPr>
            <w:tcW w:w="394" w:type="dxa"/>
            <w:vMerge/>
            <w:vAlign w:val="center"/>
          </w:tcPr>
          <w:p w14:paraId="5C65E4A1"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4C00D42C"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56D87419" w14:textId="77777777" w:rsidR="00040878" w:rsidRPr="00216E77" w:rsidRDefault="00040878" w:rsidP="00E56CF1">
            <w:pPr>
              <w:ind w:left="200"/>
              <w:rPr>
                <w:rFonts w:ascii="Arial Narrow" w:hAnsi="Arial Narrow"/>
                <w:bCs/>
                <w:color w:val="000000" w:themeColor="text1"/>
                <w:sz w:val="20"/>
              </w:rPr>
            </w:pPr>
            <w:r w:rsidRPr="00216E77">
              <w:rPr>
                <w:rFonts w:ascii="Arial Narrow" w:hAnsi="Arial Narrow"/>
                <w:bCs/>
                <w:color w:val="000000" w:themeColor="text1"/>
                <w:sz w:val="20"/>
              </w:rPr>
              <w:t>Middle Reef LTMP</w:t>
            </w:r>
          </w:p>
        </w:tc>
        <w:tc>
          <w:tcPr>
            <w:tcW w:w="999" w:type="dxa"/>
            <w:tcMar>
              <w:top w:w="16" w:type="dxa"/>
              <w:left w:w="16" w:type="dxa"/>
              <w:bottom w:w="0" w:type="dxa"/>
              <w:right w:w="16" w:type="dxa"/>
            </w:tcMar>
            <w:vAlign w:val="center"/>
          </w:tcPr>
          <w:p w14:paraId="48EAD44C" w14:textId="77777777" w:rsidR="00040878" w:rsidRPr="00040878" w:rsidRDefault="00040878" w:rsidP="00E56CF1">
            <w:pPr>
              <w:jc w:val="center"/>
              <w:rPr>
                <w:rFonts w:ascii="Arial Narrow" w:hAnsi="Arial Narrow"/>
                <w:bCs/>
                <w:color w:val="000000" w:themeColor="text1"/>
                <w:sz w:val="18"/>
                <w:szCs w:val="18"/>
              </w:rPr>
            </w:pPr>
            <w:r w:rsidRPr="00040878">
              <w:rPr>
                <w:rFonts w:ascii="Arial Narrow" w:hAnsi="Arial Narrow"/>
                <w:bCs/>
                <w:color w:val="000000" w:themeColor="text1"/>
                <w:sz w:val="18"/>
                <w:szCs w:val="18"/>
              </w:rPr>
              <w:t>(7%)</w:t>
            </w:r>
          </w:p>
        </w:tc>
        <w:tc>
          <w:tcPr>
            <w:tcW w:w="851" w:type="dxa"/>
            <w:vAlign w:val="center"/>
          </w:tcPr>
          <w:p w14:paraId="73DF530E" w14:textId="77777777" w:rsidR="00040878" w:rsidRPr="00040878" w:rsidRDefault="00040878" w:rsidP="00E56CF1">
            <w:pPr>
              <w:jc w:val="center"/>
              <w:rPr>
                <w:rFonts w:ascii="Arial Narrow" w:hAnsi="Arial Narrow"/>
                <w:bCs/>
                <w:color w:val="000000" w:themeColor="text1"/>
                <w:sz w:val="18"/>
                <w:szCs w:val="18"/>
              </w:rPr>
            </w:pPr>
            <w:r w:rsidRPr="00040878">
              <w:rPr>
                <w:rFonts w:ascii="Arial Narrow" w:hAnsi="Arial Narrow"/>
                <w:bCs/>
                <w:color w:val="000000" w:themeColor="text1"/>
                <w:sz w:val="18"/>
                <w:szCs w:val="18"/>
              </w:rPr>
              <w:t>(12%)</w:t>
            </w:r>
          </w:p>
        </w:tc>
        <w:tc>
          <w:tcPr>
            <w:tcW w:w="843" w:type="dxa"/>
            <w:tcMar>
              <w:top w:w="16" w:type="dxa"/>
              <w:left w:w="16" w:type="dxa"/>
              <w:bottom w:w="0" w:type="dxa"/>
              <w:right w:w="16" w:type="dxa"/>
            </w:tcMar>
            <w:vAlign w:val="center"/>
          </w:tcPr>
          <w:p w14:paraId="59822C0E"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71E10B8B" w14:textId="77777777" w:rsidR="00040878" w:rsidRPr="00040878" w:rsidRDefault="00040878" w:rsidP="00040878">
            <w:pPr>
              <w:spacing w:after="0"/>
              <w:jc w:val="left"/>
              <w:rPr>
                <w:rFonts w:ascii="Arial Narrow" w:hAnsi="Arial Narrow"/>
                <w:bCs/>
                <w:color w:val="000000" w:themeColor="text1"/>
                <w:sz w:val="18"/>
                <w:szCs w:val="18"/>
              </w:rPr>
            </w:pPr>
            <w:r w:rsidRPr="00040878">
              <w:rPr>
                <w:rFonts w:ascii="Arial Narrow" w:hAnsi="Arial Narrow"/>
                <w:bCs/>
                <w:color w:val="000000" w:themeColor="text1"/>
                <w:sz w:val="18"/>
                <w:szCs w:val="18"/>
              </w:rPr>
              <w:t>Flood/freshwater bleaching 2009 (20%)</w:t>
            </w:r>
          </w:p>
        </w:tc>
      </w:tr>
      <w:tr w:rsidR="00040878" w:rsidRPr="00216E77" w14:paraId="13B9D402" w14:textId="77777777" w:rsidTr="00040878">
        <w:trPr>
          <w:cantSplit/>
          <w:trHeight w:val="409"/>
        </w:trPr>
        <w:tc>
          <w:tcPr>
            <w:tcW w:w="394" w:type="dxa"/>
            <w:vMerge/>
            <w:vAlign w:val="center"/>
          </w:tcPr>
          <w:p w14:paraId="40BA2031"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3F71BBB0"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093A1825"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Magnetic</w:t>
            </w:r>
          </w:p>
        </w:tc>
        <w:tc>
          <w:tcPr>
            <w:tcW w:w="999" w:type="dxa"/>
            <w:tcMar>
              <w:top w:w="16" w:type="dxa"/>
              <w:left w:w="16" w:type="dxa"/>
              <w:bottom w:w="0" w:type="dxa"/>
              <w:right w:w="16" w:type="dxa"/>
            </w:tcMar>
            <w:vAlign w:val="center"/>
          </w:tcPr>
          <w:p w14:paraId="14BD08AE"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0.93 (24%)</w:t>
            </w:r>
          </w:p>
        </w:tc>
        <w:tc>
          <w:tcPr>
            <w:tcW w:w="851" w:type="dxa"/>
            <w:vAlign w:val="center"/>
          </w:tcPr>
          <w:p w14:paraId="3302A865"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0.95 (37%)</w:t>
            </w:r>
          </w:p>
        </w:tc>
        <w:tc>
          <w:tcPr>
            <w:tcW w:w="843" w:type="dxa"/>
            <w:tcMar>
              <w:top w:w="16" w:type="dxa"/>
              <w:left w:w="16" w:type="dxa"/>
              <w:bottom w:w="0" w:type="dxa"/>
              <w:right w:w="16" w:type="dxa"/>
            </w:tcMar>
            <w:vAlign w:val="center"/>
          </w:tcPr>
          <w:p w14:paraId="0802F27A"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741CE63E" w14:textId="77777777" w:rsidR="00040878" w:rsidRPr="00040878" w:rsidRDefault="00040878" w:rsidP="00040878">
            <w:pPr>
              <w:spacing w:after="0"/>
              <w:jc w:val="left"/>
              <w:rPr>
                <w:rFonts w:ascii="Arial Narrow" w:hAnsi="Arial Narrow"/>
                <w:bCs/>
                <w:color w:val="000000" w:themeColor="text1"/>
                <w:sz w:val="18"/>
                <w:szCs w:val="18"/>
              </w:rPr>
            </w:pPr>
            <w:r w:rsidRPr="00040878">
              <w:rPr>
                <w:rFonts w:ascii="Arial Narrow" w:hAnsi="Arial Narrow"/>
                <w:bCs/>
                <w:color w:val="000000" w:themeColor="text1"/>
                <w:sz w:val="18"/>
                <w:szCs w:val="18"/>
              </w:rPr>
              <w:t>Cyclone Joy 1990 (13%), Bleaching 1993 (10%), Cyclone Tessie 2000 (18%), Cyclone Larry 2006 (39% at 2m, 6% at 5m), Cyclone Yasi and Flood/Bleaching 2011 (38% at 2m, 19% at 5m)</w:t>
            </w:r>
          </w:p>
        </w:tc>
      </w:tr>
      <w:tr w:rsidR="00040878" w:rsidRPr="00216E77" w14:paraId="04967424" w14:textId="77777777" w:rsidTr="00040878">
        <w:trPr>
          <w:cantSplit/>
          <w:trHeight w:val="264"/>
        </w:trPr>
        <w:tc>
          <w:tcPr>
            <w:tcW w:w="394" w:type="dxa"/>
            <w:vMerge w:val="restart"/>
            <w:tcMar>
              <w:top w:w="16" w:type="dxa"/>
              <w:left w:w="16" w:type="dxa"/>
              <w:bottom w:w="0" w:type="dxa"/>
              <w:right w:w="16" w:type="dxa"/>
            </w:tcMar>
            <w:textDirection w:val="btLr"/>
            <w:vAlign w:val="center"/>
          </w:tcPr>
          <w:p w14:paraId="5B071163" w14:textId="77777777" w:rsidR="00040878" w:rsidRPr="00216E77" w:rsidRDefault="00040878" w:rsidP="00E56CF1">
            <w:pPr>
              <w:jc w:val="center"/>
              <w:rPr>
                <w:rFonts w:ascii="Arial Narrow" w:eastAsia="Arial Unicode MS" w:hAnsi="Arial Narrow"/>
                <w:bCs/>
                <w:color w:val="000000" w:themeColor="text1"/>
                <w:sz w:val="20"/>
              </w:rPr>
            </w:pPr>
            <w:r w:rsidRPr="00216E77">
              <w:rPr>
                <w:rFonts w:ascii="Arial Narrow" w:hAnsi="Arial Narrow"/>
                <w:bCs/>
                <w:color w:val="000000" w:themeColor="text1"/>
                <w:sz w:val="20"/>
              </w:rPr>
              <w:t>Mackay Whitsunday</w:t>
            </w:r>
          </w:p>
        </w:tc>
        <w:tc>
          <w:tcPr>
            <w:tcW w:w="599" w:type="dxa"/>
            <w:vMerge w:val="restart"/>
            <w:tcMar>
              <w:top w:w="16" w:type="dxa"/>
              <w:left w:w="16" w:type="dxa"/>
              <w:bottom w:w="0" w:type="dxa"/>
              <w:right w:w="16" w:type="dxa"/>
            </w:tcMar>
            <w:textDirection w:val="btLr"/>
            <w:vAlign w:val="center"/>
          </w:tcPr>
          <w:p w14:paraId="3932F9CD" w14:textId="77777777" w:rsidR="00040878" w:rsidRPr="00216E77" w:rsidRDefault="00040878" w:rsidP="00E56CF1">
            <w:pPr>
              <w:jc w:val="center"/>
              <w:rPr>
                <w:rFonts w:ascii="Arial Narrow" w:eastAsia="Arial Unicode MS" w:hAnsi="Arial Narrow"/>
                <w:bCs/>
                <w:color w:val="000000" w:themeColor="text1"/>
                <w:sz w:val="20"/>
              </w:rPr>
            </w:pPr>
            <w:r w:rsidRPr="00216E77">
              <w:rPr>
                <w:rFonts w:ascii="Arial Narrow" w:hAnsi="Arial Narrow"/>
                <w:bCs/>
                <w:color w:val="000000" w:themeColor="text1"/>
                <w:sz w:val="20"/>
              </w:rPr>
              <w:t>Proserpine</w:t>
            </w:r>
          </w:p>
        </w:tc>
        <w:tc>
          <w:tcPr>
            <w:tcW w:w="1984" w:type="dxa"/>
            <w:tcMar>
              <w:top w:w="16" w:type="dxa"/>
              <w:left w:w="16" w:type="dxa"/>
              <w:bottom w:w="0" w:type="dxa"/>
              <w:right w:w="16" w:type="dxa"/>
            </w:tcMar>
            <w:vAlign w:val="bottom"/>
          </w:tcPr>
          <w:p w14:paraId="73A60A75"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Hook</w:t>
            </w:r>
          </w:p>
        </w:tc>
        <w:tc>
          <w:tcPr>
            <w:tcW w:w="999" w:type="dxa"/>
            <w:tcMar>
              <w:top w:w="16" w:type="dxa"/>
              <w:left w:w="16" w:type="dxa"/>
              <w:bottom w:w="0" w:type="dxa"/>
              <w:right w:w="16" w:type="dxa"/>
            </w:tcMar>
            <w:vAlign w:val="center"/>
          </w:tcPr>
          <w:p w14:paraId="43EC144E"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0.57</w:t>
            </w:r>
          </w:p>
        </w:tc>
        <w:tc>
          <w:tcPr>
            <w:tcW w:w="851" w:type="dxa"/>
            <w:vAlign w:val="center"/>
          </w:tcPr>
          <w:p w14:paraId="52D3BA18"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1F9708AE"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0034CC83" w14:textId="77777777" w:rsidR="00040878" w:rsidRPr="00040878" w:rsidRDefault="00040878" w:rsidP="00040878">
            <w:pPr>
              <w:spacing w:after="0"/>
              <w:jc w:val="left"/>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Coral Bleaching Jan 2006, probable though not observed as we did not visit region at time of event. Same for other reefs in region, Cyclone Ului 2010 (31% at 2m,16% at 5m)</w:t>
            </w:r>
          </w:p>
        </w:tc>
      </w:tr>
      <w:tr w:rsidR="00040878" w:rsidRPr="00216E77" w14:paraId="057D6F97" w14:textId="77777777" w:rsidTr="00040878">
        <w:trPr>
          <w:cantSplit/>
          <w:trHeight w:val="361"/>
        </w:trPr>
        <w:tc>
          <w:tcPr>
            <w:tcW w:w="394" w:type="dxa"/>
            <w:vMerge/>
            <w:vAlign w:val="center"/>
          </w:tcPr>
          <w:p w14:paraId="1AF2458D"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5B62E41C"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7BD5EE6E"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Dent</w:t>
            </w:r>
          </w:p>
        </w:tc>
        <w:tc>
          <w:tcPr>
            <w:tcW w:w="999" w:type="dxa"/>
            <w:tcMar>
              <w:top w:w="16" w:type="dxa"/>
              <w:left w:w="16" w:type="dxa"/>
              <w:bottom w:w="0" w:type="dxa"/>
              <w:right w:w="16" w:type="dxa"/>
            </w:tcMar>
            <w:vAlign w:val="center"/>
          </w:tcPr>
          <w:p w14:paraId="5928FBD4" w14:textId="77777777" w:rsidR="00040878" w:rsidRPr="00040878" w:rsidRDefault="00040878" w:rsidP="00E56CF1">
            <w:pPr>
              <w:jc w:val="center"/>
              <w:rPr>
                <w:rFonts w:ascii="Arial Narrow" w:eastAsia="Arial Unicode MS" w:hAnsi="Arial Narrow"/>
                <w:bCs/>
                <w:color w:val="000000" w:themeColor="text1"/>
                <w:sz w:val="18"/>
                <w:szCs w:val="18"/>
              </w:rPr>
            </w:pPr>
            <w:r>
              <w:rPr>
                <w:rFonts w:ascii="Arial Narrow" w:hAnsi="Arial Narrow"/>
                <w:bCs/>
                <w:color w:val="000000" w:themeColor="text1"/>
                <w:sz w:val="18"/>
                <w:szCs w:val="18"/>
              </w:rPr>
              <w:t>0.57 (</w:t>
            </w:r>
            <w:r w:rsidRPr="00040878">
              <w:rPr>
                <w:rFonts w:ascii="Arial Narrow" w:hAnsi="Arial Narrow"/>
                <w:bCs/>
                <w:color w:val="000000" w:themeColor="text1"/>
                <w:sz w:val="18"/>
                <w:szCs w:val="18"/>
              </w:rPr>
              <w:t>32%)</w:t>
            </w:r>
          </w:p>
        </w:tc>
        <w:tc>
          <w:tcPr>
            <w:tcW w:w="851" w:type="dxa"/>
            <w:vAlign w:val="center"/>
          </w:tcPr>
          <w:p w14:paraId="1451D640"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0.95</w:t>
            </w:r>
          </w:p>
        </w:tc>
        <w:tc>
          <w:tcPr>
            <w:tcW w:w="843" w:type="dxa"/>
            <w:tcMar>
              <w:top w:w="16" w:type="dxa"/>
              <w:left w:w="16" w:type="dxa"/>
              <w:bottom w:w="0" w:type="dxa"/>
              <w:right w:w="16" w:type="dxa"/>
            </w:tcMar>
            <w:vAlign w:val="center"/>
          </w:tcPr>
          <w:p w14:paraId="22950DC0"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4B3D3094" w14:textId="77777777" w:rsidR="00040878" w:rsidRPr="00040878" w:rsidRDefault="00040878" w:rsidP="00040878">
            <w:pPr>
              <w:spacing w:after="0"/>
              <w:jc w:val="left"/>
              <w:rPr>
                <w:rFonts w:ascii="Arial Narrow" w:eastAsia="Arial Unicode MS" w:hAnsi="Arial Narrow"/>
                <w:bCs/>
                <w:color w:val="000000" w:themeColor="text1"/>
                <w:sz w:val="18"/>
                <w:szCs w:val="18"/>
              </w:rPr>
            </w:pPr>
            <w:r w:rsidRPr="00040878">
              <w:rPr>
                <w:rFonts w:ascii="Arial Narrow" w:eastAsia="Arial Unicode MS" w:hAnsi="Arial Narrow"/>
                <w:bCs/>
                <w:color w:val="000000" w:themeColor="text1"/>
                <w:sz w:val="18"/>
                <w:szCs w:val="18"/>
              </w:rPr>
              <w:t>Disease 2007(16% at 2m and 17% 5m), Cyclone Ului 2010 most likely although reef not surveyed in that year (20% at 2m,26% at 5m)</w:t>
            </w:r>
          </w:p>
        </w:tc>
      </w:tr>
      <w:tr w:rsidR="00040878" w:rsidRPr="00216E77" w14:paraId="73D9E01B" w14:textId="77777777" w:rsidTr="00040878">
        <w:trPr>
          <w:cantSplit/>
          <w:trHeight w:val="264"/>
        </w:trPr>
        <w:tc>
          <w:tcPr>
            <w:tcW w:w="394" w:type="dxa"/>
            <w:vMerge/>
            <w:vAlign w:val="center"/>
          </w:tcPr>
          <w:p w14:paraId="382EB4D2"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72DBA245"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6EED23EE"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Seaforth</w:t>
            </w:r>
          </w:p>
        </w:tc>
        <w:tc>
          <w:tcPr>
            <w:tcW w:w="999" w:type="dxa"/>
            <w:tcMar>
              <w:top w:w="16" w:type="dxa"/>
              <w:left w:w="16" w:type="dxa"/>
              <w:bottom w:w="0" w:type="dxa"/>
              <w:right w:w="16" w:type="dxa"/>
            </w:tcMar>
            <w:vAlign w:val="center"/>
          </w:tcPr>
          <w:p w14:paraId="1A884CD6"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0.57</w:t>
            </w:r>
          </w:p>
        </w:tc>
        <w:tc>
          <w:tcPr>
            <w:tcW w:w="851" w:type="dxa"/>
            <w:vAlign w:val="center"/>
          </w:tcPr>
          <w:p w14:paraId="79F86C74"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0.95</w:t>
            </w:r>
          </w:p>
        </w:tc>
        <w:tc>
          <w:tcPr>
            <w:tcW w:w="843" w:type="dxa"/>
            <w:tcMar>
              <w:top w:w="16" w:type="dxa"/>
              <w:left w:w="16" w:type="dxa"/>
              <w:bottom w:w="0" w:type="dxa"/>
              <w:right w:w="16" w:type="dxa"/>
            </w:tcMar>
            <w:vAlign w:val="center"/>
          </w:tcPr>
          <w:p w14:paraId="4A659F9E"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37A94571" w14:textId="77777777" w:rsidR="00040878" w:rsidRPr="00040878" w:rsidRDefault="00040878" w:rsidP="00040878">
            <w:pPr>
              <w:spacing w:after="0"/>
              <w:jc w:val="left"/>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Flood 2009 (15% at 2m,, 21% at 5m)</w:t>
            </w:r>
          </w:p>
        </w:tc>
      </w:tr>
      <w:tr w:rsidR="00040878" w:rsidRPr="00216E77" w14:paraId="33E941F9" w14:textId="77777777" w:rsidTr="00040878">
        <w:trPr>
          <w:cantSplit/>
          <w:trHeight w:val="453"/>
        </w:trPr>
        <w:tc>
          <w:tcPr>
            <w:tcW w:w="394" w:type="dxa"/>
            <w:vMerge/>
            <w:vAlign w:val="center"/>
          </w:tcPr>
          <w:p w14:paraId="087766C5"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67AE49E3"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24557DC1"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Double Cone</w:t>
            </w:r>
          </w:p>
        </w:tc>
        <w:tc>
          <w:tcPr>
            <w:tcW w:w="999" w:type="dxa"/>
            <w:tcMar>
              <w:top w:w="16" w:type="dxa"/>
              <w:left w:w="16" w:type="dxa"/>
              <w:bottom w:w="0" w:type="dxa"/>
              <w:right w:w="16" w:type="dxa"/>
            </w:tcMar>
            <w:vAlign w:val="center"/>
          </w:tcPr>
          <w:p w14:paraId="7EC62B5A"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0.57</w:t>
            </w:r>
          </w:p>
        </w:tc>
        <w:tc>
          <w:tcPr>
            <w:tcW w:w="851" w:type="dxa"/>
            <w:vAlign w:val="center"/>
          </w:tcPr>
          <w:p w14:paraId="137A1E86"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4EF1B3D9"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298D7C60" w14:textId="77777777" w:rsidR="00040878" w:rsidRPr="00040878" w:rsidRDefault="00040878" w:rsidP="00040878">
            <w:pPr>
              <w:spacing w:after="0"/>
              <w:jc w:val="left"/>
              <w:rPr>
                <w:rFonts w:ascii="Arial Narrow" w:eastAsia="Arial Unicode MS" w:hAnsi="Arial Narrow"/>
                <w:bCs/>
                <w:color w:val="000000" w:themeColor="text1"/>
                <w:sz w:val="18"/>
                <w:szCs w:val="18"/>
                <w:lang w:val="da-DK"/>
              </w:rPr>
            </w:pPr>
            <w:r w:rsidRPr="00040878">
              <w:rPr>
                <w:rFonts w:ascii="Arial Narrow" w:hAnsi="Arial Narrow"/>
                <w:bCs/>
                <w:color w:val="000000" w:themeColor="text1"/>
                <w:sz w:val="18"/>
                <w:szCs w:val="18"/>
                <w:lang w:val="da-DK"/>
              </w:rPr>
              <w:t>Flood 2009( 12% at 2m), Cyclone Ului 2010 (26% at 2m, 11% at 5m)</w:t>
            </w:r>
          </w:p>
        </w:tc>
      </w:tr>
      <w:tr w:rsidR="00040878" w:rsidRPr="00216E77" w14:paraId="4C5E6DE9" w14:textId="77777777" w:rsidTr="00040878">
        <w:trPr>
          <w:cantSplit/>
          <w:trHeight w:val="443"/>
        </w:trPr>
        <w:tc>
          <w:tcPr>
            <w:tcW w:w="394" w:type="dxa"/>
            <w:vMerge/>
            <w:vAlign w:val="center"/>
          </w:tcPr>
          <w:p w14:paraId="1694B1CB" w14:textId="77777777" w:rsidR="00040878" w:rsidRPr="00216E77" w:rsidRDefault="00040878" w:rsidP="00E56CF1">
            <w:pPr>
              <w:rPr>
                <w:rFonts w:ascii="Arial Narrow" w:eastAsia="Arial Unicode MS" w:hAnsi="Arial Narrow"/>
                <w:bCs/>
                <w:color w:val="000000" w:themeColor="text1"/>
                <w:sz w:val="20"/>
                <w:lang w:val="da-DK"/>
              </w:rPr>
            </w:pPr>
          </w:p>
        </w:tc>
        <w:tc>
          <w:tcPr>
            <w:tcW w:w="599" w:type="dxa"/>
            <w:vMerge/>
            <w:vAlign w:val="center"/>
          </w:tcPr>
          <w:p w14:paraId="61758565" w14:textId="77777777" w:rsidR="00040878" w:rsidRPr="00216E77" w:rsidRDefault="00040878" w:rsidP="00E56CF1">
            <w:pPr>
              <w:rPr>
                <w:rFonts w:ascii="Arial Narrow" w:eastAsia="Arial Unicode MS" w:hAnsi="Arial Narrow"/>
                <w:bCs/>
                <w:color w:val="000000" w:themeColor="text1"/>
                <w:sz w:val="20"/>
                <w:lang w:val="da-DK"/>
              </w:rPr>
            </w:pPr>
          </w:p>
        </w:tc>
        <w:tc>
          <w:tcPr>
            <w:tcW w:w="1984" w:type="dxa"/>
            <w:tcMar>
              <w:top w:w="16" w:type="dxa"/>
              <w:left w:w="16" w:type="dxa"/>
              <w:bottom w:w="0" w:type="dxa"/>
              <w:right w:w="16" w:type="dxa"/>
            </w:tcMar>
            <w:vAlign w:val="bottom"/>
          </w:tcPr>
          <w:p w14:paraId="748B6CEC"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Daydream</w:t>
            </w:r>
          </w:p>
        </w:tc>
        <w:tc>
          <w:tcPr>
            <w:tcW w:w="999" w:type="dxa"/>
            <w:tcMar>
              <w:top w:w="16" w:type="dxa"/>
              <w:left w:w="16" w:type="dxa"/>
              <w:bottom w:w="0" w:type="dxa"/>
              <w:right w:w="16" w:type="dxa"/>
            </w:tcMar>
            <w:vAlign w:val="center"/>
          </w:tcPr>
          <w:p w14:paraId="23DE95E5" w14:textId="77777777" w:rsidR="00040878" w:rsidRPr="00040878" w:rsidRDefault="00040878" w:rsidP="00E56CF1">
            <w:pPr>
              <w:jc w:val="center"/>
              <w:rPr>
                <w:rFonts w:ascii="Arial Narrow" w:eastAsia="Arial Unicode MS" w:hAnsi="Arial Narrow"/>
                <w:bCs/>
                <w:color w:val="000000" w:themeColor="text1"/>
                <w:sz w:val="18"/>
                <w:szCs w:val="18"/>
              </w:rPr>
            </w:pPr>
            <w:r>
              <w:rPr>
                <w:rFonts w:ascii="Arial Narrow" w:hAnsi="Arial Narrow"/>
                <w:bCs/>
                <w:color w:val="000000" w:themeColor="text1"/>
                <w:sz w:val="18"/>
                <w:szCs w:val="18"/>
              </w:rPr>
              <w:t>0.31 (</w:t>
            </w:r>
            <w:r w:rsidRPr="00040878">
              <w:rPr>
                <w:rFonts w:ascii="Arial Narrow" w:hAnsi="Arial Narrow"/>
                <w:bCs/>
                <w:color w:val="000000" w:themeColor="text1"/>
                <w:sz w:val="18"/>
                <w:szCs w:val="18"/>
              </w:rPr>
              <w:t>44%)</w:t>
            </w:r>
          </w:p>
        </w:tc>
        <w:tc>
          <w:tcPr>
            <w:tcW w:w="851" w:type="dxa"/>
            <w:vAlign w:val="center"/>
          </w:tcPr>
          <w:p w14:paraId="2D2924EB"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1E7A2417"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4EC73C3A" w14:textId="77777777" w:rsidR="00040878" w:rsidRPr="00040878" w:rsidRDefault="00040878" w:rsidP="00040878">
            <w:pPr>
              <w:spacing w:after="0"/>
              <w:jc w:val="left"/>
              <w:rPr>
                <w:rFonts w:ascii="Arial Narrow" w:eastAsia="Arial Unicode MS" w:hAnsi="Arial Narrow"/>
                <w:bCs/>
                <w:color w:val="000000" w:themeColor="text1"/>
                <w:sz w:val="18"/>
                <w:szCs w:val="18"/>
                <w:lang w:val="da-DK"/>
              </w:rPr>
            </w:pPr>
            <w:r w:rsidRPr="00040878">
              <w:rPr>
                <w:rFonts w:ascii="Arial Narrow" w:hAnsi="Arial Narrow"/>
                <w:bCs/>
                <w:color w:val="000000" w:themeColor="text1"/>
                <w:sz w:val="18"/>
                <w:szCs w:val="18"/>
                <w:lang w:val="da-DK"/>
              </w:rPr>
              <w:t>Disease 2008 (25% at 2m, 20% at 5m), Cyclone Ului 2010 (46% at 2m, 46% at 5m)</w:t>
            </w:r>
          </w:p>
        </w:tc>
      </w:tr>
      <w:tr w:rsidR="00040878" w:rsidRPr="00216E77" w14:paraId="341C98E5" w14:textId="77777777" w:rsidTr="00040878">
        <w:trPr>
          <w:cantSplit/>
          <w:trHeight w:val="377"/>
        </w:trPr>
        <w:tc>
          <w:tcPr>
            <w:tcW w:w="394" w:type="dxa"/>
            <w:vMerge/>
            <w:vAlign w:val="center"/>
          </w:tcPr>
          <w:p w14:paraId="5DAB729D" w14:textId="77777777" w:rsidR="00040878" w:rsidRPr="00216E77" w:rsidRDefault="00040878" w:rsidP="00E56CF1">
            <w:pPr>
              <w:rPr>
                <w:rFonts w:ascii="Arial Narrow" w:eastAsia="Arial Unicode MS" w:hAnsi="Arial Narrow"/>
                <w:bCs/>
                <w:color w:val="000000" w:themeColor="text1"/>
                <w:sz w:val="20"/>
                <w:lang w:val="da-DK"/>
              </w:rPr>
            </w:pPr>
          </w:p>
        </w:tc>
        <w:tc>
          <w:tcPr>
            <w:tcW w:w="599" w:type="dxa"/>
            <w:vMerge/>
            <w:vAlign w:val="center"/>
          </w:tcPr>
          <w:p w14:paraId="1558CB40" w14:textId="77777777" w:rsidR="00040878" w:rsidRPr="00216E77" w:rsidRDefault="00040878" w:rsidP="00E56CF1">
            <w:pPr>
              <w:rPr>
                <w:rFonts w:ascii="Arial Narrow" w:eastAsia="Arial Unicode MS" w:hAnsi="Arial Narrow"/>
                <w:bCs/>
                <w:color w:val="000000" w:themeColor="text1"/>
                <w:sz w:val="20"/>
                <w:lang w:val="da-DK"/>
              </w:rPr>
            </w:pPr>
          </w:p>
        </w:tc>
        <w:tc>
          <w:tcPr>
            <w:tcW w:w="1984" w:type="dxa"/>
            <w:tcMar>
              <w:top w:w="16" w:type="dxa"/>
              <w:left w:w="16" w:type="dxa"/>
              <w:bottom w:w="0" w:type="dxa"/>
              <w:right w:w="16" w:type="dxa"/>
            </w:tcMar>
            <w:vAlign w:val="bottom"/>
          </w:tcPr>
          <w:p w14:paraId="0A7A2467"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Shute Harbour</w:t>
            </w:r>
          </w:p>
        </w:tc>
        <w:tc>
          <w:tcPr>
            <w:tcW w:w="999" w:type="dxa"/>
            <w:tcMar>
              <w:top w:w="16" w:type="dxa"/>
              <w:left w:w="16" w:type="dxa"/>
              <w:bottom w:w="0" w:type="dxa"/>
              <w:right w:w="16" w:type="dxa"/>
            </w:tcMar>
            <w:vAlign w:val="center"/>
          </w:tcPr>
          <w:p w14:paraId="0AD34835"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0.57</w:t>
            </w:r>
          </w:p>
        </w:tc>
        <w:tc>
          <w:tcPr>
            <w:tcW w:w="851" w:type="dxa"/>
            <w:vAlign w:val="center"/>
          </w:tcPr>
          <w:p w14:paraId="6685C2FD"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3496446B"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03CB94EA" w14:textId="77777777" w:rsidR="00040878" w:rsidRPr="00040878" w:rsidRDefault="00040878" w:rsidP="00040878">
            <w:pPr>
              <w:spacing w:after="0"/>
              <w:jc w:val="left"/>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Cyclone Ului 2010 (7% at 2m)</w:t>
            </w:r>
          </w:p>
        </w:tc>
      </w:tr>
      <w:tr w:rsidR="00040878" w:rsidRPr="00216E77" w14:paraId="15B9D036" w14:textId="77777777" w:rsidTr="00040878">
        <w:trPr>
          <w:cantSplit/>
          <w:trHeight w:val="368"/>
        </w:trPr>
        <w:tc>
          <w:tcPr>
            <w:tcW w:w="394" w:type="dxa"/>
            <w:vMerge/>
            <w:vAlign w:val="center"/>
          </w:tcPr>
          <w:p w14:paraId="48225265"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67BFD849"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45D9626E" w14:textId="77777777" w:rsidR="00040878" w:rsidRPr="00216E77" w:rsidRDefault="00040878" w:rsidP="00E56CF1">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Pine</w:t>
            </w:r>
          </w:p>
        </w:tc>
        <w:tc>
          <w:tcPr>
            <w:tcW w:w="999" w:type="dxa"/>
            <w:tcMar>
              <w:top w:w="16" w:type="dxa"/>
              <w:left w:w="16" w:type="dxa"/>
              <w:bottom w:w="0" w:type="dxa"/>
              <w:right w:w="16" w:type="dxa"/>
            </w:tcMar>
            <w:vAlign w:val="center"/>
          </w:tcPr>
          <w:p w14:paraId="3FA1DDBE"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0.31</w:t>
            </w:r>
          </w:p>
        </w:tc>
        <w:tc>
          <w:tcPr>
            <w:tcW w:w="851" w:type="dxa"/>
            <w:vAlign w:val="center"/>
          </w:tcPr>
          <w:p w14:paraId="3FC49C50" w14:textId="77777777" w:rsidR="00040878" w:rsidRPr="00040878" w:rsidRDefault="00040878" w:rsidP="00E56CF1">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74AD7E2E"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3ECE91BD" w14:textId="77777777" w:rsidR="00040878" w:rsidRPr="00040878" w:rsidRDefault="00040878" w:rsidP="00040878">
            <w:pPr>
              <w:spacing w:after="0"/>
              <w:jc w:val="left"/>
              <w:rPr>
                <w:rFonts w:ascii="Arial Narrow" w:eastAsia="Arial Unicode MS" w:hAnsi="Arial Narrow"/>
                <w:bCs/>
                <w:color w:val="000000" w:themeColor="text1"/>
                <w:sz w:val="18"/>
                <w:szCs w:val="18"/>
                <w:lang w:val="da-DK"/>
              </w:rPr>
            </w:pPr>
            <w:r w:rsidRPr="00040878">
              <w:rPr>
                <w:rFonts w:ascii="Arial Narrow" w:hAnsi="Arial Narrow"/>
                <w:bCs/>
                <w:color w:val="000000" w:themeColor="text1"/>
                <w:sz w:val="18"/>
                <w:szCs w:val="18"/>
                <w:lang w:val="da-DK"/>
              </w:rPr>
              <w:t>Flood 2009(13% at 2 and 5m), Cyclone Ului 2010 (12% at 2m, 9% at 5m), Disease 2011(14% at 5m)</w:t>
            </w:r>
          </w:p>
        </w:tc>
      </w:tr>
      <w:tr w:rsidR="00040878" w:rsidRPr="00216E77" w14:paraId="37F13EFF" w14:textId="77777777" w:rsidTr="00040878">
        <w:trPr>
          <w:cantSplit/>
          <w:trHeight w:val="371"/>
        </w:trPr>
        <w:tc>
          <w:tcPr>
            <w:tcW w:w="394" w:type="dxa"/>
            <w:vMerge/>
            <w:vAlign w:val="center"/>
          </w:tcPr>
          <w:p w14:paraId="14756536"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76B887EE"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2043A1F6" w14:textId="77777777" w:rsidR="00040878" w:rsidRPr="00216E77" w:rsidRDefault="00040878" w:rsidP="00E56CF1">
            <w:pPr>
              <w:ind w:left="200"/>
              <w:rPr>
                <w:rFonts w:ascii="Arial Narrow" w:hAnsi="Arial Narrow"/>
                <w:bCs/>
                <w:color w:val="000000" w:themeColor="text1"/>
                <w:sz w:val="20"/>
              </w:rPr>
            </w:pPr>
            <w:r w:rsidRPr="00216E77">
              <w:rPr>
                <w:rFonts w:ascii="Arial Narrow" w:hAnsi="Arial Narrow"/>
                <w:bCs/>
                <w:color w:val="000000" w:themeColor="text1"/>
                <w:sz w:val="20"/>
              </w:rPr>
              <w:t>Hayman</w:t>
            </w:r>
          </w:p>
        </w:tc>
        <w:tc>
          <w:tcPr>
            <w:tcW w:w="999" w:type="dxa"/>
            <w:tcMar>
              <w:top w:w="16" w:type="dxa"/>
              <w:left w:w="16" w:type="dxa"/>
              <w:bottom w:w="0" w:type="dxa"/>
              <w:right w:w="16" w:type="dxa"/>
            </w:tcMar>
            <w:vAlign w:val="center"/>
          </w:tcPr>
          <w:p w14:paraId="5DA90E71" w14:textId="77777777" w:rsidR="00040878" w:rsidRPr="00040878" w:rsidRDefault="00040878" w:rsidP="00E56CF1">
            <w:pPr>
              <w:jc w:val="center"/>
              <w:rPr>
                <w:rFonts w:ascii="Arial Narrow" w:hAnsi="Arial Narrow"/>
                <w:bCs/>
                <w:color w:val="000000" w:themeColor="text1"/>
                <w:sz w:val="18"/>
                <w:szCs w:val="18"/>
              </w:rPr>
            </w:pPr>
          </w:p>
        </w:tc>
        <w:tc>
          <w:tcPr>
            <w:tcW w:w="851" w:type="dxa"/>
            <w:vAlign w:val="center"/>
          </w:tcPr>
          <w:p w14:paraId="399BE81B" w14:textId="77777777" w:rsidR="00040878" w:rsidRPr="00040878" w:rsidRDefault="00040878" w:rsidP="00E56CF1">
            <w:pPr>
              <w:jc w:val="center"/>
              <w:rPr>
                <w:rFonts w:ascii="Arial Narrow" w:hAnsi="Arial Narrow"/>
                <w:bCs/>
                <w:color w:val="000000" w:themeColor="text1"/>
                <w:sz w:val="18"/>
                <w:szCs w:val="18"/>
              </w:rPr>
            </w:pPr>
          </w:p>
        </w:tc>
        <w:tc>
          <w:tcPr>
            <w:tcW w:w="843" w:type="dxa"/>
            <w:tcMar>
              <w:top w:w="16" w:type="dxa"/>
              <w:left w:w="16" w:type="dxa"/>
              <w:bottom w:w="0" w:type="dxa"/>
              <w:right w:w="16" w:type="dxa"/>
            </w:tcMar>
            <w:vAlign w:val="center"/>
          </w:tcPr>
          <w:p w14:paraId="2D243298"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60B5C270" w14:textId="77777777" w:rsidR="00040878" w:rsidRPr="00040878" w:rsidRDefault="00040878" w:rsidP="00040878">
            <w:pPr>
              <w:spacing w:after="0"/>
              <w:jc w:val="left"/>
              <w:rPr>
                <w:rFonts w:ascii="Arial Narrow" w:hAnsi="Arial Narrow"/>
                <w:bCs/>
                <w:color w:val="000000" w:themeColor="text1"/>
                <w:sz w:val="18"/>
                <w:szCs w:val="18"/>
                <w:lang w:val="da-DK"/>
              </w:rPr>
            </w:pPr>
            <w:r w:rsidRPr="00040878">
              <w:rPr>
                <w:rFonts w:ascii="Arial Narrow" w:hAnsi="Arial Narrow"/>
                <w:bCs/>
                <w:color w:val="000000" w:themeColor="text1"/>
                <w:sz w:val="18"/>
                <w:szCs w:val="18"/>
                <w:lang w:val="da-DK"/>
              </w:rPr>
              <w:t>Cyclone Ului 2010 (36%)</w:t>
            </w:r>
          </w:p>
        </w:tc>
      </w:tr>
      <w:tr w:rsidR="00040878" w:rsidRPr="00216E77" w14:paraId="179E6834" w14:textId="77777777" w:rsidTr="00040878">
        <w:trPr>
          <w:cantSplit/>
          <w:trHeight w:val="362"/>
        </w:trPr>
        <w:tc>
          <w:tcPr>
            <w:tcW w:w="394" w:type="dxa"/>
            <w:vMerge/>
            <w:vAlign w:val="center"/>
          </w:tcPr>
          <w:p w14:paraId="3D0A7D3A"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5672E393"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0915F83" w14:textId="77777777" w:rsidR="00040878" w:rsidRPr="00216E77" w:rsidRDefault="00040878" w:rsidP="00E56CF1">
            <w:pPr>
              <w:ind w:left="200"/>
              <w:rPr>
                <w:rFonts w:ascii="Arial Narrow" w:hAnsi="Arial Narrow"/>
                <w:bCs/>
                <w:color w:val="000000" w:themeColor="text1"/>
                <w:sz w:val="20"/>
              </w:rPr>
            </w:pPr>
            <w:r w:rsidRPr="00216E77">
              <w:rPr>
                <w:rFonts w:ascii="Arial Narrow" w:hAnsi="Arial Narrow"/>
                <w:bCs/>
                <w:color w:val="000000" w:themeColor="text1"/>
                <w:sz w:val="20"/>
              </w:rPr>
              <w:t>Langford</w:t>
            </w:r>
          </w:p>
        </w:tc>
        <w:tc>
          <w:tcPr>
            <w:tcW w:w="999" w:type="dxa"/>
            <w:tcMar>
              <w:top w:w="16" w:type="dxa"/>
              <w:left w:w="16" w:type="dxa"/>
              <w:bottom w:w="0" w:type="dxa"/>
              <w:right w:w="16" w:type="dxa"/>
            </w:tcMar>
            <w:vAlign w:val="center"/>
          </w:tcPr>
          <w:p w14:paraId="3409E7A7" w14:textId="77777777" w:rsidR="00040878" w:rsidRPr="00216E77" w:rsidRDefault="00040878" w:rsidP="00E56CF1">
            <w:pPr>
              <w:jc w:val="center"/>
              <w:rPr>
                <w:rFonts w:ascii="Arial Narrow" w:hAnsi="Arial Narrow"/>
                <w:bCs/>
                <w:color w:val="000000" w:themeColor="text1"/>
                <w:sz w:val="20"/>
              </w:rPr>
            </w:pPr>
          </w:p>
        </w:tc>
        <w:tc>
          <w:tcPr>
            <w:tcW w:w="851" w:type="dxa"/>
            <w:vAlign w:val="center"/>
          </w:tcPr>
          <w:p w14:paraId="7B08BAF2" w14:textId="77777777" w:rsidR="00040878" w:rsidRPr="00216E77" w:rsidRDefault="00040878" w:rsidP="00E56CF1">
            <w:pPr>
              <w:jc w:val="center"/>
              <w:rPr>
                <w:rFonts w:ascii="Arial Narrow" w:hAnsi="Arial Narrow"/>
                <w:bCs/>
                <w:color w:val="000000" w:themeColor="text1"/>
                <w:sz w:val="20"/>
              </w:rPr>
            </w:pPr>
          </w:p>
        </w:tc>
        <w:tc>
          <w:tcPr>
            <w:tcW w:w="843" w:type="dxa"/>
            <w:tcMar>
              <w:top w:w="16" w:type="dxa"/>
              <w:left w:w="16" w:type="dxa"/>
              <w:bottom w:w="0" w:type="dxa"/>
              <w:right w:w="16" w:type="dxa"/>
            </w:tcMar>
            <w:vAlign w:val="center"/>
          </w:tcPr>
          <w:p w14:paraId="18F8C87B" w14:textId="77777777" w:rsidR="00040878" w:rsidRPr="00216E77" w:rsidRDefault="00040878" w:rsidP="00E56CF1">
            <w:pPr>
              <w:jc w:val="center"/>
              <w:rPr>
                <w:rFonts w:ascii="Arial Narrow" w:eastAsia="Arial Unicode MS" w:hAnsi="Arial Narrow"/>
                <w:bCs/>
                <w:color w:val="000000" w:themeColor="text1"/>
                <w:sz w:val="20"/>
              </w:rPr>
            </w:pPr>
          </w:p>
        </w:tc>
        <w:tc>
          <w:tcPr>
            <w:tcW w:w="8222" w:type="dxa"/>
            <w:tcMar>
              <w:top w:w="16" w:type="dxa"/>
              <w:left w:w="16" w:type="dxa"/>
              <w:bottom w:w="0" w:type="dxa"/>
              <w:right w:w="16" w:type="dxa"/>
            </w:tcMar>
            <w:vAlign w:val="center"/>
          </w:tcPr>
          <w:p w14:paraId="1B2FE62F" w14:textId="77777777" w:rsidR="00040878" w:rsidRPr="00216E77" w:rsidRDefault="00040878" w:rsidP="00040878">
            <w:pPr>
              <w:jc w:val="left"/>
              <w:rPr>
                <w:rFonts w:ascii="Arial Narrow" w:hAnsi="Arial Narrow"/>
                <w:bCs/>
                <w:color w:val="000000" w:themeColor="text1"/>
                <w:sz w:val="20"/>
                <w:lang w:val="da-DK"/>
              </w:rPr>
            </w:pPr>
          </w:p>
        </w:tc>
      </w:tr>
      <w:tr w:rsidR="00040878" w:rsidRPr="00216E77" w14:paraId="271C1C80" w14:textId="77777777" w:rsidTr="00040878">
        <w:trPr>
          <w:cantSplit/>
          <w:trHeight w:val="355"/>
        </w:trPr>
        <w:tc>
          <w:tcPr>
            <w:tcW w:w="394" w:type="dxa"/>
            <w:vMerge/>
            <w:vAlign w:val="center"/>
          </w:tcPr>
          <w:p w14:paraId="33103F2D" w14:textId="77777777" w:rsidR="00040878" w:rsidRPr="00216E77" w:rsidRDefault="00040878" w:rsidP="00E56CF1">
            <w:pPr>
              <w:rPr>
                <w:rFonts w:ascii="Arial Narrow" w:eastAsia="Arial Unicode MS" w:hAnsi="Arial Narrow"/>
                <w:bCs/>
                <w:color w:val="000000" w:themeColor="text1"/>
                <w:sz w:val="20"/>
              </w:rPr>
            </w:pPr>
          </w:p>
        </w:tc>
        <w:tc>
          <w:tcPr>
            <w:tcW w:w="599" w:type="dxa"/>
            <w:vMerge/>
            <w:vAlign w:val="center"/>
          </w:tcPr>
          <w:p w14:paraId="1154623D" w14:textId="77777777" w:rsidR="00040878" w:rsidRPr="00216E77"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6D497D2C" w14:textId="77777777" w:rsidR="00040878" w:rsidRPr="00216E77" w:rsidRDefault="00040878" w:rsidP="00E56CF1">
            <w:pPr>
              <w:ind w:left="200"/>
              <w:rPr>
                <w:rFonts w:ascii="Arial Narrow" w:hAnsi="Arial Narrow"/>
                <w:bCs/>
                <w:color w:val="000000" w:themeColor="text1"/>
                <w:sz w:val="20"/>
              </w:rPr>
            </w:pPr>
            <w:r w:rsidRPr="00216E77">
              <w:rPr>
                <w:rFonts w:ascii="Arial Narrow" w:hAnsi="Arial Narrow"/>
                <w:bCs/>
                <w:color w:val="000000" w:themeColor="text1"/>
                <w:sz w:val="20"/>
              </w:rPr>
              <w:t>Border</w:t>
            </w:r>
          </w:p>
        </w:tc>
        <w:tc>
          <w:tcPr>
            <w:tcW w:w="999" w:type="dxa"/>
            <w:tcMar>
              <w:top w:w="16" w:type="dxa"/>
              <w:left w:w="16" w:type="dxa"/>
              <w:bottom w:w="0" w:type="dxa"/>
              <w:right w:w="16" w:type="dxa"/>
            </w:tcMar>
            <w:vAlign w:val="center"/>
          </w:tcPr>
          <w:p w14:paraId="3753F7F9" w14:textId="77777777" w:rsidR="00040878" w:rsidRPr="00040878" w:rsidRDefault="00040878" w:rsidP="00E56CF1">
            <w:pPr>
              <w:jc w:val="center"/>
              <w:rPr>
                <w:rFonts w:ascii="Arial Narrow" w:hAnsi="Arial Narrow"/>
                <w:bCs/>
                <w:color w:val="000000" w:themeColor="text1"/>
                <w:sz w:val="18"/>
                <w:szCs w:val="18"/>
              </w:rPr>
            </w:pPr>
          </w:p>
        </w:tc>
        <w:tc>
          <w:tcPr>
            <w:tcW w:w="851" w:type="dxa"/>
            <w:vAlign w:val="center"/>
          </w:tcPr>
          <w:p w14:paraId="2B5CD005" w14:textId="77777777" w:rsidR="00040878" w:rsidRPr="00040878" w:rsidRDefault="00040878" w:rsidP="00E56CF1">
            <w:pPr>
              <w:jc w:val="center"/>
              <w:rPr>
                <w:rFonts w:ascii="Arial Narrow" w:hAnsi="Arial Narrow"/>
                <w:bCs/>
                <w:color w:val="000000" w:themeColor="text1"/>
                <w:sz w:val="18"/>
                <w:szCs w:val="18"/>
              </w:rPr>
            </w:pPr>
            <w:r w:rsidRPr="00040878">
              <w:rPr>
                <w:rFonts w:ascii="Arial Narrow" w:hAnsi="Arial Narrow"/>
                <w:bCs/>
                <w:color w:val="000000" w:themeColor="text1"/>
                <w:sz w:val="18"/>
                <w:szCs w:val="18"/>
              </w:rPr>
              <w:t>(10%)</w:t>
            </w:r>
          </w:p>
        </w:tc>
        <w:tc>
          <w:tcPr>
            <w:tcW w:w="843" w:type="dxa"/>
            <w:tcMar>
              <w:top w:w="16" w:type="dxa"/>
              <w:left w:w="16" w:type="dxa"/>
              <w:bottom w:w="0" w:type="dxa"/>
              <w:right w:w="16" w:type="dxa"/>
            </w:tcMar>
            <w:vAlign w:val="center"/>
          </w:tcPr>
          <w:p w14:paraId="22A50B03" w14:textId="77777777" w:rsidR="00040878" w:rsidRPr="00040878"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bottom"/>
          </w:tcPr>
          <w:p w14:paraId="30A43899" w14:textId="77777777" w:rsidR="00040878" w:rsidRPr="00040878" w:rsidRDefault="00040878" w:rsidP="00E56CF1">
            <w:pPr>
              <w:rPr>
                <w:rFonts w:ascii="Arial Narrow" w:hAnsi="Arial Narrow"/>
                <w:bCs/>
                <w:color w:val="000000" w:themeColor="text1"/>
                <w:sz w:val="18"/>
                <w:szCs w:val="18"/>
                <w:lang w:val="da-DK"/>
              </w:rPr>
            </w:pPr>
          </w:p>
        </w:tc>
      </w:tr>
    </w:tbl>
    <w:p w14:paraId="7C7E28F2" w14:textId="77777777" w:rsidR="00040878" w:rsidRDefault="00040878">
      <w:pPr>
        <w:rPr>
          <w:rStyle w:val="IntenseReference"/>
        </w:rPr>
      </w:pPr>
    </w:p>
    <w:p w14:paraId="0EF5D2F0" w14:textId="77777777" w:rsidR="00040878" w:rsidRPr="00D05896" w:rsidRDefault="00040878">
      <w:pPr>
        <w:rPr>
          <w:rFonts w:ascii="Arial Narrow" w:hAnsi="Arial Narrow"/>
          <w:bCs/>
          <w:color w:val="000000" w:themeColor="text1"/>
          <w:sz w:val="20"/>
        </w:rPr>
      </w:pPr>
      <w:r w:rsidRPr="00D05896">
        <w:rPr>
          <w:rFonts w:ascii="Arial Narrow" w:hAnsi="Arial Narrow"/>
          <w:bCs/>
          <w:color w:val="000000" w:themeColor="text1"/>
          <w:sz w:val="20"/>
        </w:rPr>
        <w:lastRenderedPageBreak/>
        <w:t>Table A</w:t>
      </w:r>
      <w:r w:rsidR="0096504D">
        <w:rPr>
          <w:rFonts w:ascii="Arial Narrow" w:hAnsi="Arial Narrow"/>
          <w:bCs/>
          <w:color w:val="000000" w:themeColor="text1"/>
          <w:sz w:val="20"/>
        </w:rPr>
        <w:t xml:space="preserve"> </w:t>
      </w:r>
      <w:proofErr w:type="gramStart"/>
      <w:r>
        <w:rPr>
          <w:rFonts w:ascii="Arial Narrow" w:hAnsi="Arial Narrow"/>
          <w:bCs/>
          <w:color w:val="000000" w:themeColor="text1"/>
          <w:sz w:val="20"/>
        </w:rPr>
        <w:t>2</w:t>
      </w:r>
      <w:r w:rsidRPr="00B24C68">
        <w:rPr>
          <w:rStyle w:val="IntenseReference"/>
        </w:rPr>
        <w:t xml:space="preserve">  continued</w:t>
      </w:r>
      <w:proofErr w:type="gramEnd"/>
    </w:p>
    <w:tbl>
      <w:tblPr>
        <w:tblpPr w:leftFromText="180" w:rightFromText="180" w:vertAnchor="text" w:tblpY="1"/>
        <w:tblOverlap w:val="never"/>
        <w:tblW w:w="14034"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1 2: Disturbance histories for coral monitoring locations. (continued)"/>
      </w:tblPr>
      <w:tblGrid>
        <w:gridCol w:w="401"/>
        <w:gridCol w:w="608"/>
        <w:gridCol w:w="1984"/>
        <w:gridCol w:w="992"/>
        <w:gridCol w:w="851"/>
        <w:gridCol w:w="850"/>
        <w:gridCol w:w="8348"/>
      </w:tblGrid>
      <w:tr w:rsidR="00040878" w:rsidRPr="00216E77" w14:paraId="1C6F2B0C" w14:textId="77777777" w:rsidTr="00040878">
        <w:trPr>
          <w:cantSplit/>
          <w:trHeight w:val="519"/>
        </w:trPr>
        <w:tc>
          <w:tcPr>
            <w:tcW w:w="401" w:type="dxa"/>
            <w:vMerge w:val="restart"/>
            <w:shd w:val="clear" w:color="auto" w:fill="E6E6E6"/>
            <w:tcMar>
              <w:top w:w="16" w:type="dxa"/>
              <w:left w:w="16" w:type="dxa"/>
              <w:bottom w:w="0" w:type="dxa"/>
              <w:right w:w="16" w:type="dxa"/>
            </w:tcMar>
            <w:textDirection w:val="btLr"/>
            <w:vAlign w:val="center"/>
          </w:tcPr>
          <w:p w14:paraId="07AA00F5" w14:textId="77777777" w:rsidR="00040878" w:rsidRPr="00216E77" w:rsidRDefault="00040878" w:rsidP="00792EDF">
            <w:pPr>
              <w:jc w:val="center"/>
              <w:rPr>
                <w:rFonts w:ascii="Arial Narrow" w:eastAsia="Arial Unicode MS" w:hAnsi="Arial Narrow"/>
                <w:bCs/>
                <w:color w:val="000000" w:themeColor="text1"/>
                <w:sz w:val="20"/>
              </w:rPr>
            </w:pPr>
            <w:r w:rsidRPr="00216E77">
              <w:rPr>
                <w:rFonts w:ascii="Arial Narrow" w:hAnsi="Arial Narrow"/>
                <w:bCs/>
                <w:color w:val="000000" w:themeColor="text1"/>
                <w:sz w:val="20"/>
              </w:rPr>
              <w:t>Region</w:t>
            </w:r>
          </w:p>
        </w:tc>
        <w:tc>
          <w:tcPr>
            <w:tcW w:w="608" w:type="dxa"/>
            <w:vMerge w:val="restart"/>
            <w:shd w:val="clear" w:color="auto" w:fill="E6E6E6"/>
            <w:tcMar>
              <w:top w:w="16" w:type="dxa"/>
              <w:left w:w="16" w:type="dxa"/>
              <w:bottom w:w="0" w:type="dxa"/>
              <w:right w:w="16" w:type="dxa"/>
            </w:tcMar>
            <w:textDirection w:val="btLr"/>
            <w:vAlign w:val="center"/>
          </w:tcPr>
          <w:p w14:paraId="1FF35A39" w14:textId="77777777" w:rsidR="00040878" w:rsidRPr="00216E77" w:rsidRDefault="00040878" w:rsidP="00792EDF">
            <w:pPr>
              <w:jc w:val="center"/>
              <w:rPr>
                <w:rFonts w:ascii="Arial Narrow" w:eastAsia="Arial Unicode MS" w:hAnsi="Arial Narrow"/>
                <w:bCs/>
                <w:color w:val="000000" w:themeColor="text1"/>
                <w:sz w:val="20"/>
              </w:rPr>
            </w:pPr>
            <w:r w:rsidRPr="00216E77">
              <w:rPr>
                <w:rFonts w:ascii="Arial Narrow" w:hAnsi="Arial Narrow"/>
                <w:bCs/>
                <w:color w:val="000000" w:themeColor="text1"/>
                <w:sz w:val="20"/>
              </w:rPr>
              <w:t>Catchment</w:t>
            </w:r>
          </w:p>
        </w:tc>
        <w:tc>
          <w:tcPr>
            <w:tcW w:w="1984" w:type="dxa"/>
            <w:vMerge w:val="restart"/>
            <w:shd w:val="clear" w:color="auto" w:fill="E6E6E6"/>
            <w:tcMar>
              <w:top w:w="16" w:type="dxa"/>
              <w:left w:w="16" w:type="dxa"/>
              <w:bottom w:w="0" w:type="dxa"/>
              <w:right w:w="16" w:type="dxa"/>
            </w:tcMar>
            <w:vAlign w:val="center"/>
          </w:tcPr>
          <w:p w14:paraId="55D8FE6B" w14:textId="77777777" w:rsidR="00040878" w:rsidRPr="00216E77" w:rsidRDefault="00040878" w:rsidP="00792EDF">
            <w:pPr>
              <w:jc w:val="center"/>
              <w:rPr>
                <w:rFonts w:ascii="Arial Narrow" w:eastAsia="Arial Unicode MS" w:hAnsi="Arial Narrow"/>
                <w:bCs/>
                <w:color w:val="000000" w:themeColor="text1"/>
                <w:sz w:val="20"/>
              </w:rPr>
            </w:pPr>
            <w:r w:rsidRPr="00216E77">
              <w:rPr>
                <w:rFonts w:ascii="Arial Narrow" w:hAnsi="Arial Narrow"/>
                <w:bCs/>
                <w:color w:val="000000" w:themeColor="text1"/>
                <w:sz w:val="20"/>
              </w:rPr>
              <w:t>Reef</w:t>
            </w:r>
          </w:p>
        </w:tc>
        <w:tc>
          <w:tcPr>
            <w:tcW w:w="2693" w:type="dxa"/>
            <w:gridSpan w:val="3"/>
            <w:shd w:val="clear" w:color="auto" w:fill="E6E6E6"/>
            <w:tcMar>
              <w:top w:w="16" w:type="dxa"/>
              <w:left w:w="16" w:type="dxa"/>
              <w:bottom w:w="0" w:type="dxa"/>
              <w:right w:w="16" w:type="dxa"/>
            </w:tcMar>
            <w:vAlign w:val="center"/>
          </w:tcPr>
          <w:p w14:paraId="00A5342E" w14:textId="77777777" w:rsidR="00040878" w:rsidRPr="00216E77" w:rsidRDefault="00040878" w:rsidP="00792EDF">
            <w:pPr>
              <w:jc w:val="center"/>
              <w:rPr>
                <w:rFonts w:ascii="Arial Narrow" w:hAnsi="Arial Narrow"/>
                <w:bCs/>
                <w:color w:val="000000" w:themeColor="text1"/>
                <w:sz w:val="20"/>
              </w:rPr>
            </w:pPr>
            <w:r w:rsidRPr="00216E77">
              <w:rPr>
                <w:rFonts w:ascii="Arial Narrow" w:hAnsi="Arial Narrow"/>
                <w:bCs/>
                <w:color w:val="000000" w:themeColor="text1"/>
                <w:sz w:val="20"/>
              </w:rPr>
              <w:t>Bleaching</w:t>
            </w:r>
          </w:p>
        </w:tc>
        <w:tc>
          <w:tcPr>
            <w:tcW w:w="8348" w:type="dxa"/>
            <w:vMerge w:val="restart"/>
            <w:shd w:val="clear" w:color="auto" w:fill="E6E6E6"/>
            <w:tcMar>
              <w:top w:w="16" w:type="dxa"/>
              <w:left w:w="16" w:type="dxa"/>
              <w:bottom w:w="0" w:type="dxa"/>
              <w:right w:w="16" w:type="dxa"/>
            </w:tcMar>
            <w:vAlign w:val="center"/>
          </w:tcPr>
          <w:p w14:paraId="5CCF6C00" w14:textId="77777777" w:rsidR="00040878" w:rsidRPr="00216E77" w:rsidRDefault="00040878" w:rsidP="00792EDF">
            <w:pPr>
              <w:jc w:val="center"/>
              <w:rPr>
                <w:rFonts w:ascii="Arial Narrow" w:eastAsia="Arial Unicode MS" w:hAnsi="Arial Narrow"/>
                <w:bCs/>
                <w:color w:val="000000" w:themeColor="text1"/>
                <w:sz w:val="20"/>
              </w:rPr>
            </w:pPr>
            <w:r w:rsidRPr="00216E77">
              <w:rPr>
                <w:rFonts w:ascii="Arial Narrow" w:hAnsi="Arial Narrow"/>
                <w:bCs/>
                <w:color w:val="000000" w:themeColor="text1"/>
                <w:sz w:val="20"/>
              </w:rPr>
              <w:t>Other recorded disturbances</w:t>
            </w:r>
          </w:p>
        </w:tc>
      </w:tr>
      <w:tr w:rsidR="00040878" w:rsidRPr="00216E77" w14:paraId="3E8A8D91" w14:textId="77777777" w:rsidTr="00040878">
        <w:trPr>
          <w:cantSplit/>
          <w:trHeight w:val="375"/>
        </w:trPr>
        <w:tc>
          <w:tcPr>
            <w:tcW w:w="401" w:type="dxa"/>
            <w:vMerge/>
            <w:shd w:val="clear" w:color="auto" w:fill="E6E6E6"/>
            <w:tcMar>
              <w:top w:w="16" w:type="dxa"/>
              <w:left w:w="16" w:type="dxa"/>
              <w:bottom w:w="0" w:type="dxa"/>
              <w:right w:w="16" w:type="dxa"/>
            </w:tcMar>
            <w:textDirection w:val="btLr"/>
            <w:vAlign w:val="center"/>
          </w:tcPr>
          <w:p w14:paraId="6FD331A4" w14:textId="77777777" w:rsidR="00040878" w:rsidRPr="00216E77" w:rsidRDefault="00040878" w:rsidP="00792EDF">
            <w:pPr>
              <w:jc w:val="center"/>
              <w:rPr>
                <w:rFonts w:ascii="Arial Narrow" w:hAnsi="Arial Narrow"/>
                <w:bCs/>
                <w:color w:val="000000" w:themeColor="text1"/>
                <w:sz w:val="20"/>
              </w:rPr>
            </w:pPr>
          </w:p>
        </w:tc>
        <w:tc>
          <w:tcPr>
            <w:tcW w:w="608" w:type="dxa"/>
            <w:vMerge/>
            <w:shd w:val="clear" w:color="auto" w:fill="E6E6E6"/>
            <w:tcMar>
              <w:top w:w="16" w:type="dxa"/>
              <w:left w:w="16" w:type="dxa"/>
              <w:bottom w:w="0" w:type="dxa"/>
              <w:right w:w="16" w:type="dxa"/>
            </w:tcMar>
            <w:textDirection w:val="btLr"/>
            <w:vAlign w:val="center"/>
          </w:tcPr>
          <w:p w14:paraId="142448F5" w14:textId="77777777" w:rsidR="00040878" w:rsidRPr="00216E77" w:rsidRDefault="00040878" w:rsidP="00792EDF">
            <w:pPr>
              <w:jc w:val="center"/>
              <w:rPr>
                <w:rFonts w:ascii="Arial Narrow" w:hAnsi="Arial Narrow"/>
                <w:bCs/>
                <w:color w:val="000000" w:themeColor="text1"/>
                <w:sz w:val="20"/>
              </w:rPr>
            </w:pPr>
          </w:p>
        </w:tc>
        <w:tc>
          <w:tcPr>
            <w:tcW w:w="1984" w:type="dxa"/>
            <w:vMerge/>
            <w:shd w:val="clear" w:color="auto" w:fill="E6E6E6"/>
            <w:tcMar>
              <w:top w:w="16" w:type="dxa"/>
              <w:left w:w="16" w:type="dxa"/>
              <w:bottom w:w="0" w:type="dxa"/>
              <w:right w:w="16" w:type="dxa"/>
            </w:tcMar>
            <w:vAlign w:val="center"/>
          </w:tcPr>
          <w:p w14:paraId="4F0F9387" w14:textId="77777777" w:rsidR="00040878" w:rsidRPr="00216E77" w:rsidRDefault="00040878" w:rsidP="00792EDF">
            <w:pPr>
              <w:jc w:val="center"/>
              <w:rPr>
                <w:rFonts w:ascii="Arial Narrow" w:hAnsi="Arial Narrow"/>
                <w:bCs/>
                <w:color w:val="000000" w:themeColor="text1"/>
                <w:sz w:val="20"/>
              </w:rPr>
            </w:pPr>
          </w:p>
        </w:tc>
        <w:tc>
          <w:tcPr>
            <w:tcW w:w="992" w:type="dxa"/>
            <w:tcBorders>
              <w:bottom w:val="single" w:sz="4" w:space="0" w:color="auto"/>
            </w:tcBorders>
            <w:shd w:val="clear" w:color="auto" w:fill="E6E6E6"/>
            <w:tcMar>
              <w:top w:w="16" w:type="dxa"/>
              <w:left w:w="16" w:type="dxa"/>
              <w:bottom w:w="0" w:type="dxa"/>
              <w:right w:w="16" w:type="dxa"/>
            </w:tcMar>
            <w:vAlign w:val="center"/>
          </w:tcPr>
          <w:p w14:paraId="239B888C" w14:textId="77777777" w:rsidR="00040878" w:rsidRDefault="00040878" w:rsidP="00792EDF">
            <w:pPr>
              <w:jc w:val="center"/>
              <w:rPr>
                <w:rFonts w:ascii="Arial Narrow" w:hAnsi="Arial Narrow"/>
                <w:bCs/>
                <w:color w:val="000000" w:themeColor="text1"/>
                <w:sz w:val="20"/>
              </w:rPr>
            </w:pPr>
            <w:r>
              <w:rPr>
                <w:rFonts w:ascii="Arial Narrow" w:hAnsi="Arial Narrow"/>
                <w:bCs/>
                <w:color w:val="000000" w:themeColor="text1"/>
                <w:sz w:val="20"/>
              </w:rPr>
              <w:t>1998</w:t>
            </w:r>
          </w:p>
        </w:tc>
        <w:tc>
          <w:tcPr>
            <w:tcW w:w="851" w:type="dxa"/>
            <w:tcBorders>
              <w:bottom w:val="single" w:sz="4" w:space="0" w:color="auto"/>
            </w:tcBorders>
            <w:shd w:val="clear" w:color="auto" w:fill="E6E6E6"/>
            <w:vAlign w:val="center"/>
          </w:tcPr>
          <w:p w14:paraId="20D228EB" w14:textId="77777777" w:rsidR="00040878" w:rsidRDefault="00040878" w:rsidP="00792EDF">
            <w:pPr>
              <w:jc w:val="center"/>
              <w:rPr>
                <w:rFonts w:ascii="Arial Narrow" w:hAnsi="Arial Narrow"/>
                <w:bCs/>
                <w:color w:val="000000" w:themeColor="text1"/>
                <w:sz w:val="20"/>
              </w:rPr>
            </w:pPr>
            <w:r>
              <w:rPr>
                <w:rFonts w:ascii="Arial Narrow" w:hAnsi="Arial Narrow"/>
                <w:bCs/>
                <w:color w:val="000000" w:themeColor="text1"/>
                <w:sz w:val="20"/>
              </w:rPr>
              <w:t>2002</w:t>
            </w:r>
          </w:p>
        </w:tc>
        <w:tc>
          <w:tcPr>
            <w:tcW w:w="850" w:type="dxa"/>
            <w:shd w:val="clear" w:color="auto" w:fill="E8E8E8"/>
            <w:vAlign w:val="center"/>
          </w:tcPr>
          <w:p w14:paraId="397892D8" w14:textId="77777777" w:rsidR="00040878" w:rsidRDefault="00040878" w:rsidP="00792EDF">
            <w:pPr>
              <w:jc w:val="center"/>
              <w:rPr>
                <w:rFonts w:ascii="Arial Narrow" w:hAnsi="Arial Narrow"/>
                <w:bCs/>
                <w:color w:val="000000" w:themeColor="text1"/>
                <w:sz w:val="20"/>
              </w:rPr>
            </w:pPr>
            <w:r>
              <w:rPr>
                <w:rFonts w:ascii="Arial Narrow" w:hAnsi="Arial Narrow"/>
                <w:bCs/>
                <w:color w:val="000000" w:themeColor="text1"/>
                <w:sz w:val="20"/>
              </w:rPr>
              <w:t>2006</w:t>
            </w:r>
          </w:p>
        </w:tc>
        <w:tc>
          <w:tcPr>
            <w:tcW w:w="8348" w:type="dxa"/>
            <w:vMerge/>
            <w:shd w:val="clear" w:color="auto" w:fill="FFFFFF" w:themeFill="background1"/>
            <w:tcMar>
              <w:top w:w="16" w:type="dxa"/>
              <w:left w:w="16" w:type="dxa"/>
              <w:bottom w:w="0" w:type="dxa"/>
              <w:right w:w="16" w:type="dxa"/>
            </w:tcMar>
            <w:vAlign w:val="center"/>
          </w:tcPr>
          <w:p w14:paraId="61A62948" w14:textId="77777777" w:rsidR="00040878" w:rsidRPr="00216E77" w:rsidRDefault="00040878" w:rsidP="00792EDF">
            <w:pPr>
              <w:jc w:val="center"/>
              <w:rPr>
                <w:rFonts w:ascii="Arial Narrow" w:hAnsi="Arial Narrow"/>
                <w:bCs/>
                <w:color w:val="000000" w:themeColor="text1"/>
                <w:sz w:val="20"/>
              </w:rPr>
            </w:pPr>
          </w:p>
        </w:tc>
      </w:tr>
    </w:tbl>
    <w:tbl>
      <w:tblPr>
        <w:tblW w:w="140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1 2: Disturbance histories for coral monitoring locations. (continued)"/>
      </w:tblPr>
      <w:tblGrid>
        <w:gridCol w:w="401"/>
        <w:gridCol w:w="608"/>
        <w:gridCol w:w="1984"/>
        <w:gridCol w:w="992"/>
        <w:gridCol w:w="851"/>
        <w:gridCol w:w="850"/>
        <w:gridCol w:w="8348"/>
      </w:tblGrid>
      <w:tr w:rsidR="00851754" w:rsidRPr="00216E77" w14:paraId="6DAF5A2F" w14:textId="77777777" w:rsidTr="00040878">
        <w:trPr>
          <w:cantSplit/>
          <w:trHeight w:val="627"/>
        </w:trPr>
        <w:tc>
          <w:tcPr>
            <w:tcW w:w="401" w:type="dxa"/>
            <w:vMerge w:val="restart"/>
            <w:tcMar>
              <w:top w:w="16" w:type="dxa"/>
              <w:left w:w="16" w:type="dxa"/>
              <w:bottom w:w="0" w:type="dxa"/>
              <w:right w:w="16" w:type="dxa"/>
            </w:tcMar>
            <w:textDirection w:val="btLr"/>
            <w:vAlign w:val="center"/>
          </w:tcPr>
          <w:p w14:paraId="6465C86B" w14:textId="77777777" w:rsidR="00851754" w:rsidRPr="00216E77" w:rsidRDefault="00851754" w:rsidP="00AD78A5">
            <w:pPr>
              <w:jc w:val="center"/>
              <w:rPr>
                <w:rFonts w:ascii="Arial Narrow" w:eastAsia="Arial Unicode MS" w:hAnsi="Arial Narrow"/>
                <w:bCs/>
                <w:color w:val="000000" w:themeColor="text1"/>
                <w:sz w:val="20"/>
              </w:rPr>
            </w:pPr>
            <w:r w:rsidRPr="00216E77">
              <w:rPr>
                <w:rFonts w:ascii="Arial Narrow" w:hAnsi="Arial Narrow"/>
                <w:bCs/>
                <w:color w:val="000000" w:themeColor="text1"/>
                <w:sz w:val="20"/>
              </w:rPr>
              <w:t>Fitzroy</w:t>
            </w:r>
          </w:p>
        </w:tc>
        <w:tc>
          <w:tcPr>
            <w:tcW w:w="608" w:type="dxa"/>
            <w:vMerge w:val="restart"/>
            <w:tcMar>
              <w:top w:w="16" w:type="dxa"/>
              <w:left w:w="16" w:type="dxa"/>
              <w:bottom w:w="0" w:type="dxa"/>
              <w:right w:w="16" w:type="dxa"/>
            </w:tcMar>
            <w:textDirection w:val="btLr"/>
            <w:vAlign w:val="center"/>
          </w:tcPr>
          <w:p w14:paraId="2FC69B6C" w14:textId="77777777" w:rsidR="00851754" w:rsidRPr="00216E77" w:rsidRDefault="00851754" w:rsidP="00AD78A5">
            <w:pPr>
              <w:jc w:val="center"/>
              <w:rPr>
                <w:rFonts w:ascii="Arial Narrow" w:eastAsia="Arial Unicode MS" w:hAnsi="Arial Narrow"/>
                <w:bCs/>
                <w:sz w:val="20"/>
              </w:rPr>
            </w:pPr>
            <w:r w:rsidRPr="00216E77">
              <w:rPr>
                <w:rFonts w:ascii="Arial Narrow" w:hAnsi="Arial Narrow"/>
                <w:bCs/>
                <w:sz w:val="20"/>
              </w:rPr>
              <w:t>Fitzroy</w:t>
            </w:r>
          </w:p>
        </w:tc>
        <w:tc>
          <w:tcPr>
            <w:tcW w:w="1984" w:type="dxa"/>
            <w:tcMar>
              <w:top w:w="16" w:type="dxa"/>
              <w:left w:w="16" w:type="dxa"/>
              <w:bottom w:w="0" w:type="dxa"/>
              <w:right w:w="16" w:type="dxa"/>
            </w:tcMar>
            <w:vAlign w:val="bottom"/>
          </w:tcPr>
          <w:p w14:paraId="71453CF2" w14:textId="77777777" w:rsidR="00851754" w:rsidRPr="00216E77" w:rsidRDefault="00851754" w:rsidP="00AD78A5">
            <w:pPr>
              <w:ind w:left="200"/>
              <w:rPr>
                <w:rFonts w:ascii="Arial Narrow" w:eastAsia="Arial Unicode MS" w:hAnsi="Arial Narrow"/>
                <w:bCs/>
                <w:sz w:val="20"/>
              </w:rPr>
            </w:pPr>
            <w:r w:rsidRPr="00216E77">
              <w:rPr>
                <w:rFonts w:ascii="Arial Narrow" w:hAnsi="Arial Narrow"/>
                <w:bCs/>
                <w:sz w:val="20"/>
              </w:rPr>
              <w:t>Barren</w:t>
            </w:r>
          </w:p>
        </w:tc>
        <w:tc>
          <w:tcPr>
            <w:tcW w:w="992" w:type="dxa"/>
            <w:tcMar>
              <w:top w:w="16" w:type="dxa"/>
              <w:left w:w="16" w:type="dxa"/>
              <w:bottom w:w="0" w:type="dxa"/>
              <w:right w:w="16" w:type="dxa"/>
            </w:tcMar>
            <w:vAlign w:val="center"/>
          </w:tcPr>
          <w:p w14:paraId="08401165" w14:textId="77777777" w:rsidR="00851754" w:rsidRPr="00040878" w:rsidRDefault="00851754" w:rsidP="00AD78A5">
            <w:pPr>
              <w:jc w:val="center"/>
              <w:rPr>
                <w:rFonts w:ascii="Arial Narrow" w:eastAsia="Arial Unicode MS" w:hAnsi="Arial Narrow"/>
                <w:bCs/>
                <w:sz w:val="18"/>
                <w:szCs w:val="18"/>
              </w:rPr>
            </w:pPr>
            <w:r w:rsidRPr="00040878">
              <w:rPr>
                <w:rFonts w:ascii="Arial Narrow" w:hAnsi="Arial Narrow"/>
                <w:bCs/>
                <w:sz w:val="18"/>
                <w:szCs w:val="18"/>
              </w:rPr>
              <w:t>1</w:t>
            </w:r>
          </w:p>
        </w:tc>
        <w:tc>
          <w:tcPr>
            <w:tcW w:w="851" w:type="dxa"/>
            <w:vAlign w:val="center"/>
          </w:tcPr>
          <w:p w14:paraId="1CE7FE60" w14:textId="77777777" w:rsidR="00851754" w:rsidRPr="00040878" w:rsidRDefault="00851754" w:rsidP="00AD78A5">
            <w:pPr>
              <w:jc w:val="center"/>
              <w:rPr>
                <w:rFonts w:ascii="Arial Narrow" w:eastAsia="Arial Unicode MS" w:hAnsi="Arial Narrow"/>
                <w:bCs/>
                <w:sz w:val="18"/>
                <w:szCs w:val="18"/>
              </w:rPr>
            </w:pPr>
            <w:r w:rsidRPr="00040878">
              <w:rPr>
                <w:rFonts w:ascii="Arial Narrow" w:hAnsi="Arial Narrow"/>
                <w:bCs/>
                <w:sz w:val="18"/>
                <w:szCs w:val="18"/>
              </w:rPr>
              <w:t>1</w:t>
            </w:r>
          </w:p>
        </w:tc>
        <w:tc>
          <w:tcPr>
            <w:tcW w:w="850" w:type="dxa"/>
            <w:tcMar>
              <w:top w:w="16" w:type="dxa"/>
              <w:left w:w="16" w:type="dxa"/>
              <w:bottom w:w="0" w:type="dxa"/>
              <w:right w:w="16" w:type="dxa"/>
            </w:tcMar>
            <w:vAlign w:val="center"/>
          </w:tcPr>
          <w:p w14:paraId="0B166293" w14:textId="77777777" w:rsidR="00851754" w:rsidRPr="00040878" w:rsidRDefault="00851754" w:rsidP="005D3940">
            <w:pPr>
              <w:jc w:val="center"/>
              <w:rPr>
                <w:rFonts w:ascii="Arial Narrow" w:eastAsia="Arial Unicode MS" w:hAnsi="Arial Narrow"/>
                <w:bCs/>
                <w:sz w:val="18"/>
                <w:szCs w:val="18"/>
              </w:rPr>
            </w:pPr>
            <w:r w:rsidRPr="00040878">
              <w:rPr>
                <w:rFonts w:ascii="Arial Narrow" w:hAnsi="Arial Narrow"/>
                <w:bCs/>
                <w:sz w:val="18"/>
                <w:szCs w:val="18"/>
              </w:rPr>
              <w:t>(</w:t>
            </w:r>
            <w:r w:rsidR="005D3940" w:rsidRPr="00040878">
              <w:rPr>
                <w:rFonts w:ascii="Arial Narrow" w:hAnsi="Arial Narrow"/>
                <w:bCs/>
                <w:sz w:val="18"/>
                <w:szCs w:val="18"/>
              </w:rPr>
              <w:t>25</w:t>
            </w:r>
            <w:r w:rsidRPr="00040878">
              <w:rPr>
                <w:rFonts w:ascii="Arial Narrow" w:hAnsi="Arial Narrow"/>
                <w:bCs/>
                <w:sz w:val="18"/>
                <w:szCs w:val="18"/>
              </w:rPr>
              <w:t>%, 2m ) (</w:t>
            </w:r>
            <w:r w:rsidR="005D3940" w:rsidRPr="00040878">
              <w:rPr>
                <w:rFonts w:ascii="Arial Narrow" w:hAnsi="Arial Narrow"/>
                <w:bCs/>
                <w:sz w:val="18"/>
                <w:szCs w:val="18"/>
              </w:rPr>
              <w:t>30</w:t>
            </w:r>
            <w:r w:rsidRPr="00040878">
              <w:rPr>
                <w:rFonts w:ascii="Arial Narrow" w:hAnsi="Arial Narrow"/>
                <w:bCs/>
                <w:sz w:val="18"/>
                <w:szCs w:val="18"/>
              </w:rPr>
              <w:t>%, 5m)</w:t>
            </w:r>
          </w:p>
        </w:tc>
        <w:tc>
          <w:tcPr>
            <w:tcW w:w="8348" w:type="dxa"/>
            <w:tcMar>
              <w:top w:w="16" w:type="dxa"/>
              <w:left w:w="16" w:type="dxa"/>
              <w:bottom w:w="0" w:type="dxa"/>
              <w:right w:w="16" w:type="dxa"/>
            </w:tcMar>
            <w:vAlign w:val="center"/>
          </w:tcPr>
          <w:p w14:paraId="74D04FA1" w14:textId="77777777" w:rsidR="00075887" w:rsidRPr="00040878" w:rsidRDefault="00851754" w:rsidP="00040878">
            <w:pPr>
              <w:spacing w:after="0"/>
              <w:jc w:val="left"/>
              <w:rPr>
                <w:rFonts w:ascii="Arial Narrow" w:hAnsi="Arial Narrow"/>
                <w:sz w:val="18"/>
                <w:szCs w:val="18"/>
                <w:lang w:val="da-DK"/>
              </w:rPr>
            </w:pPr>
            <w:r w:rsidRPr="00040878">
              <w:rPr>
                <w:rFonts w:ascii="Arial Narrow" w:hAnsi="Arial Narrow"/>
                <w:sz w:val="18"/>
                <w:szCs w:val="18"/>
                <w:lang w:val="da-DK"/>
              </w:rPr>
              <w:t>Storm Feb 2008 (</w:t>
            </w:r>
            <w:r w:rsidR="005D3940" w:rsidRPr="00040878">
              <w:rPr>
                <w:rFonts w:ascii="Arial Narrow" w:hAnsi="Arial Narrow"/>
                <w:sz w:val="18"/>
                <w:szCs w:val="18"/>
                <w:lang w:val="da-DK"/>
              </w:rPr>
              <w:t>42</w:t>
            </w:r>
            <w:r w:rsidRPr="00040878">
              <w:rPr>
                <w:rFonts w:ascii="Arial Narrow" w:hAnsi="Arial Narrow"/>
                <w:sz w:val="18"/>
                <w:szCs w:val="18"/>
                <w:lang w:val="da-DK"/>
              </w:rPr>
              <w:t xml:space="preserve">% at 2m, </w:t>
            </w:r>
            <w:r w:rsidR="005D3940" w:rsidRPr="00040878">
              <w:rPr>
                <w:rFonts w:ascii="Arial Narrow" w:hAnsi="Arial Narrow"/>
                <w:sz w:val="18"/>
                <w:szCs w:val="18"/>
                <w:lang w:val="da-DK"/>
              </w:rPr>
              <w:t>25</w:t>
            </w:r>
            <w:r w:rsidRPr="00040878">
              <w:rPr>
                <w:rFonts w:ascii="Arial Narrow" w:hAnsi="Arial Narrow"/>
                <w:sz w:val="18"/>
                <w:szCs w:val="18"/>
                <w:lang w:val="da-DK"/>
              </w:rPr>
              <w:t>% at 5m),</w:t>
            </w:r>
            <w:r w:rsidR="00755F97" w:rsidRPr="00040878">
              <w:rPr>
                <w:rFonts w:ascii="Arial Narrow" w:hAnsi="Arial Narrow"/>
                <w:sz w:val="18"/>
                <w:szCs w:val="18"/>
                <w:lang w:val="da-DK"/>
              </w:rPr>
              <w:t xml:space="preserve"> Storm Feb 2010 plus disease (</w:t>
            </w:r>
            <w:r w:rsidR="005D3940" w:rsidRPr="00040878">
              <w:rPr>
                <w:rFonts w:ascii="Arial Narrow" w:hAnsi="Arial Narrow"/>
                <w:sz w:val="18"/>
                <w:szCs w:val="18"/>
                <w:lang w:val="da-DK"/>
              </w:rPr>
              <w:t>23</w:t>
            </w:r>
            <w:r w:rsidRPr="00040878">
              <w:rPr>
                <w:rFonts w:ascii="Arial Narrow" w:hAnsi="Arial Narrow"/>
                <w:sz w:val="18"/>
                <w:szCs w:val="18"/>
                <w:lang w:val="da-DK"/>
              </w:rPr>
              <w:t>% at 2m</w:t>
            </w:r>
            <w:r w:rsidR="00075887" w:rsidRPr="00040878">
              <w:rPr>
                <w:rFonts w:ascii="Arial Narrow" w:hAnsi="Arial Narrow"/>
                <w:sz w:val="18"/>
                <w:szCs w:val="18"/>
                <w:lang w:val="da-DK"/>
              </w:rPr>
              <w:t>,</w:t>
            </w:r>
            <w:r w:rsidR="00755F97" w:rsidRPr="00040878">
              <w:rPr>
                <w:rFonts w:ascii="Arial Narrow" w:hAnsi="Arial Narrow"/>
                <w:sz w:val="18"/>
                <w:szCs w:val="18"/>
                <w:lang w:val="da-DK"/>
              </w:rPr>
              <w:t xml:space="preserve">9% at 5m), </w:t>
            </w:r>
          </w:p>
          <w:p w14:paraId="768BD676" w14:textId="77777777" w:rsidR="00755F97" w:rsidRPr="00040878" w:rsidRDefault="00755F97" w:rsidP="00040878">
            <w:pPr>
              <w:spacing w:after="0"/>
              <w:jc w:val="left"/>
              <w:rPr>
                <w:sz w:val="18"/>
                <w:szCs w:val="18"/>
                <w:lang w:val="da-DK"/>
              </w:rPr>
            </w:pPr>
            <w:r w:rsidRPr="00040878">
              <w:rPr>
                <w:rFonts w:ascii="Arial Narrow" w:hAnsi="Arial Narrow"/>
                <w:sz w:val="18"/>
                <w:szCs w:val="18"/>
                <w:lang w:val="da-DK"/>
              </w:rPr>
              <w:t>Storm Feb 2013 (</w:t>
            </w:r>
            <w:r w:rsidR="00075887" w:rsidRPr="00040878">
              <w:rPr>
                <w:rFonts w:ascii="Arial Narrow" w:hAnsi="Arial Narrow"/>
                <w:sz w:val="18"/>
                <w:szCs w:val="18"/>
                <w:lang w:val="da-DK"/>
              </w:rPr>
              <w:t>50</w:t>
            </w:r>
            <w:r w:rsidRPr="00040878">
              <w:rPr>
                <w:rFonts w:ascii="Arial Narrow" w:hAnsi="Arial Narrow"/>
                <w:sz w:val="18"/>
                <w:szCs w:val="18"/>
                <w:lang w:val="da-DK"/>
              </w:rPr>
              <w:t xml:space="preserve">% at 2m, </w:t>
            </w:r>
            <w:r w:rsidR="00075887" w:rsidRPr="00040878">
              <w:rPr>
                <w:rFonts w:ascii="Arial Narrow" w:hAnsi="Arial Narrow"/>
                <w:sz w:val="18"/>
                <w:szCs w:val="18"/>
                <w:lang w:val="da-DK"/>
              </w:rPr>
              <w:t>49</w:t>
            </w:r>
            <w:r w:rsidRPr="00040878">
              <w:rPr>
                <w:rFonts w:ascii="Arial Narrow" w:hAnsi="Arial Narrow"/>
                <w:sz w:val="18"/>
                <w:szCs w:val="18"/>
                <w:lang w:val="da-DK"/>
              </w:rPr>
              <w:t>% at 5m) ), Storm Feb 2014 (</w:t>
            </w:r>
            <w:r w:rsidR="00075887" w:rsidRPr="00040878">
              <w:rPr>
                <w:rFonts w:ascii="Arial Narrow" w:hAnsi="Arial Narrow"/>
                <w:sz w:val="18"/>
                <w:szCs w:val="18"/>
                <w:lang w:val="da-DK"/>
              </w:rPr>
              <w:t>17</w:t>
            </w:r>
            <w:r w:rsidR="00851754" w:rsidRPr="00040878">
              <w:rPr>
                <w:rFonts w:ascii="Arial Narrow" w:hAnsi="Arial Narrow"/>
                <w:sz w:val="18"/>
                <w:szCs w:val="18"/>
                <w:lang w:val="da-DK"/>
              </w:rPr>
              <w:t xml:space="preserve">% </w:t>
            </w:r>
            <w:r w:rsidRPr="00040878">
              <w:rPr>
                <w:rFonts w:ascii="Arial Narrow" w:hAnsi="Arial Narrow"/>
                <w:sz w:val="18"/>
                <w:szCs w:val="18"/>
                <w:lang w:val="da-DK"/>
              </w:rPr>
              <w:t xml:space="preserve">at 2m, </w:t>
            </w:r>
            <w:r w:rsidR="00075887" w:rsidRPr="00040878">
              <w:rPr>
                <w:rFonts w:ascii="Arial Narrow" w:hAnsi="Arial Narrow"/>
                <w:sz w:val="18"/>
                <w:szCs w:val="18"/>
                <w:lang w:val="da-DK"/>
              </w:rPr>
              <w:t>19</w:t>
            </w:r>
            <w:r w:rsidRPr="00040878">
              <w:rPr>
                <w:rFonts w:ascii="Arial Narrow" w:hAnsi="Arial Narrow"/>
                <w:sz w:val="18"/>
                <w:szCs w:val="18"/>
                <w:lang w:val="da-DK"/>
              </w:rPr>
              <w:t xml:space="preserve">% </w:t>
            </w:r>
            <w:r w:rsidR="00851754" w:rsidRPr="00040878">
              <w:rPr>
                <w:rFonts w:ascii="Arial Narrow" w:hAnsi="Arial Narrow"/>
                <w:sz w:val="18"/>
                <w:szCs w:val="18"/>
                <w:lang w:val="da-DK"/>
              </w:rPr>
              <w:t>at 5m),</w:t>
            </w:r>
            <w:r w:rsidR="00075887" w:rsidRPr="00040878">
              <w:rPr>
                <w:rFonts w:ascii="Arial Narrow" w:hAnsi="Arial Narrow"/>
                <w:sz w:val="18"/>
                <w:szCs w:val="18"/>
                <w:lang w:val="da-DK"/>
              </w:rPr>
              <w:t xml:space="preserve"> Cyclone Marcia 2015 (62% at 2m, 23% at 5m)</w:t>
            </w:r>
          </w:p>
        </w:tc>
      </w:tr>
      <w:tr w:rsidR="00851754" w:rsidRPr="00216E77" w14:paraId="2058A815" w14:textId="77777777" w:rsidTr="00040878">
        <w:trPr>
          <w:cantSplit/>
          <w:trHeight w:val="359"/>
        </w:trPr>
        <w:tc>
          <w:tcPr>
            <w:tcW w:w="0" w:type="auto"/>
            <w:vMerge/>
            <w:vAlign w:val="center"/>
          </w:tcPr>
          <w:p w14:paraId="7B23BDDF" w14:textId="77777777" w:rsidR="00851754" w:rsidRPr="00216E77" w:rsidRDefault="00851754">
            <w:pPr>
              <w:rPr>
                <w:rFonts w:ascii="Arial Narrow" w:eastAsia="Arial Unicode MS" w:hAnsi="Arial Narrow"/>
                <w:bCs/>
                <w:color w:val="000000" w:themeColor="text1"/>
                <w:sz w:val="20"/>
                <w:lang w:val="da-DK"/>
              </w:rPr>
            </w:pPr>
          </w:p>
        </w:tc>
        <w:tc>
          <w:tcPr>
            <w:tcW w:w="608" w:type="dxa"/>
            <w:vMerge/>
            <w:vAlign w:val="center"/>
          </w:tcPr>
          <w:p w14:paraId="25381D82" w14:textId="77777777" w:rsidR="00851754" w:rsidRPr="00216E77" w:rsidRDefault="00851754">
            <w:pPr>
              <w:rPr>
                <w:rFonts w:ascii="Arial Narrow" w:eastAsia="Arial Unicode MS" w:hAnsi="Arial Narrow"/>
                <w:bCs/>
                <w:sz w:val="20"/>
                <w:lang w:val="da-DK"/>
              </w:rPr>
            </w:pPr>
          </w:p>
        </w:tc>
        <w:tc>
          <w:tcPr>
            <w:tcW w:w="1984" w:type="dxa"/>
            <w:tcMar>
              <w:top w:w="16" w:type="dxa"/>
              <w:left w:w="16" w:type="dxa"/>
              <w:bottom w:w="0" w:type="dxa"/>
              <w:right w:w="16" w:type="dxa"/>
            </w:tcMar>
            <w:vAlign w:val="bottom"/>
          </w:tcPr>
          <w:p w14:paraId="74D0C3B0" w14:textId="77777777" w:rsidR="00851754" w:rsidRPr="00216E77" w:rsidRDefault="00851754">
            <w:pPr>
              <w:ind w:left="200"/>
              <w:rPr>
                <w:rFonts w:ascii="Arial Narrow" w:eastAsia="Arial Unicode MS" w:hAnsi="Arial Narrow"/>
                <w:bCs/>
                <w:sz w:val="20"/>
              </w:rPr>
            </w:pPr>
            <w:r w:rsidRPr="00216E77">
              <w:rPr>
                <w:rFonts w:ascii="Arial Narrow" w:hAnsi="Arial Narrow"/>
                <w:bCs/>
                <w:sz w:val="20"/>
              </w:rPr>
              <w:t>North Keppel</w:t>
            </w:r>
          </w:p>
        </w:tc>
        <w:tc>
          <w:tcPr>
            <w:tcW w:w="992" w:type="dxa"/>
            <w:tcMar>
              <w:top w:w="16" w:type="dxa"/>
              <w:left w:w="16" w:type="dxa"/>
              <w:bottom w:w="0" w:type="dxa"/>
              <w:right w:w="16" w:type="dxa"/>
            </w:tcMar>
            <w:vAlign w:val="center"/>
          </w:tcPr>
          <w:p w14:paraId="07F03160" w14:textId="77777777" w:rsidR="00851754" w:rsidRPr="00040878" w:rsidRDefault="00851754">
            <w:pPr>
              <w:jc w:val="center"/>
              <w:rPr>
                <w:rFonts w:ascii="Arial Narrow" w:eastAsia="Arial Unicode MS" w:hAnsi="Arial Narrow"/>
                <w:bCs/>
                <w:sz w:val="18"/>
                <w:szCs w:val="18"/>
              </w:rPr>
            </w:pPr>
            <w:r w:rsidRPr="00040878">
              <w:rPr>
                <w:rFonts w:ascii="Arial Narrow" w:hAnsi="Arial Narrow"/>
                <w:bCs/>
                <w:sz w:val="18"/>
                <w:szCs w:val="18"/>
              </w:rPr>
              <w:t>1 (15%)</w:t>
            </w:r>
          </w:p>
        </w:tc>
        <w:tc>
          <w:tcPr>
            <w:tcW w:w="851" w:type="dxa"/>
            <w:vAlign w:val="center"/>
          </w:tcPr>
          <w:p w14:paraId="24A2DBDC" w14:textId="77777777" w:rsidR="00851754" w:rsidRPr="00040878" w:rsidRDefault="00851754">
            <w:pPr>
              <w:jc w:val="center"/>
              <w:rPr>
                <w:rFonts w:ascii="Arial Narrow" w:eastAsia="Arial Unicode MS" w:hAnsi="Arial Narrow"/>
                <w:bCs/>
                <w:sz w:val="18"/>
                <w:szCs w:val="18"/>
              </w:rPr>
            </w:pPr>
            <w:r w:rsidRPr="00040878">
              <w:rPr>
                <w:rFonts w:ascii="Arial Narrow" w:hAnsi="Arial Narrow"/>
                <w:bCs/>
                <w:sz w:val="18"/>
                <w:szCs w:val="18"/>
              </w:rPr>
              <w:t>0.89 (36%)</w:t>
            </w:r>
          </w:p>
        </w:tc>
        <w:tc>
          <w:tcPr>
            <w:tcW w:w="850" w:type="dxa"/>
            <w:tcMar>
              <w:top w:w="16" w:type="dxa"/>
              <w:left w:w="16" w:type="dxa"/>
              <w:bottom w:w="0" w:type="dxa"/>
              <w:right w:w="16" w:type="dxa"/>
            </w:tcMar>
            <w:vAlign w:val="center"/>
          </w:tcPr>
          <w:p w14:paraId="16D9524D" w14:textId="77777777" w:rsidR="00851754" w:rsidRPr="00040878" w:rsidRDefault="00851754" w:rsidP="00075887">
            <w:pPr>
              <w:jc w:val="center"/>
              <w:rPr>
                <w:rFonts w:ascii="Arial Narrow" w:eastAsia="Arial Unicode MS" w:hAnsi="Arial Narrow"/>
                <w:bCs/>
                <w:sz w:val="18"/>
                <w:szCs w:val="18"/>
              </w:rPr>
            </w:pPr>
            <w:r w:rsidRPr="00040878">
              <w:rPr>
                <w:rFonts w:ascii="Arial Narrow" w:hAnsi="Arial Narrow"/>
                <w:bCs/>
                <w:sz w:val="18"/>
                <w:szCs w:val="18"/>
              </w:rPr>
              <w:t>(</w:t>
            </w:r>
            <w:r w:rsidR="00075887" w:rsidRPr="00040878">
              <w:rPr>
                <w:rFonts w:ascii="Arial Narrow" w:hAnsi="Arial Narrow"/>
                <w:bCs/>
                <w:sz w:val="18"/>
                <w:szCs w:val="18"/>
              </w:rPr>
              <w:t>61</w:t>
            </w:r>
            <w:r w:rsidRPr="00040878">
              <w:rPr>
                <w:rFonts w:ascii="Arial Narrow" w:hAnsi="Arial Narrow"/>
                <w:bCs/>
                <w:sz w:val="18"/>
                <w:szCs w:val="18"/>
              </w:rPr>
              <w:t>%, 2m) (</w:t>
            </w:r>
            <w:r w:rsidR="00075887" w:rsidRPr="00040878">
              <w:rPr>
                <w:rFonts w:ascii="Arial Narrow" w:hAnsi="Arial Narrow"/>
                <w:bCs/>
                <w:sz w:val="18"/>
                <w:szCs w:val="18"/>
              </w:rPr>
              <w:t>41</w:t>
            </w:r>
            <w:r w:rsidRPr="00040878">
              <w:rPr>
                <w:rFonts w:ascii="Arial Narrow" w:hAnsi="Arial Narrow"/>
                <w:bCs/>
                <w:sz w:val="18"/>
                <w:szCs w:val="18"/>
              </w:rPr>
              <w:t>% , 5m)</w:t>
            </w:r>
          </w:p>
        </w:tc>
        <w:tc>
          <w:tcPr>
            <w:tcW w:w="8348" w:type="dxa"/>
            <w:tcMar>
              <w:top w:w="16" w:type="dxa"/>
              <w:left w:w="16" w:type="dxa"/>
              <w:bottom w:w="0" w:type="dxa"/>
              <w:right w:w="16" w:type="dxa"/>
            </w:tcMar>
            <w:vAlign w:val="center"/>
          </w:tcPr>
          <w:p w14:paraId="2A372379" w14:textId="77777777" w:rsidR="00851754" w:rsidRPr="00040878" w:rsidRDefault="00851754" w:rsidP="00040878">
            <w:pPr>
              <w:spacing w:after="0"/>
              <w:jc w:val="left"/>
              <w:rPr>
                <w:rFonts w:ascii="Arial Narrow" w:eastAsia="Arial Unicode MS" w:hAnsi="Arial Narrow"/>
                <w:bCs/>
                <w:sz w:val="18"/>
                <w:szCs w:val="18"/>
              </w:rPr>
            </w:pPr>
            <w:r w:rsidRPr="00040878">
              <w:rPr>
                <w:rFonts w:ascii="Arial Narrow" w:hAnsi="Arial Narrow"/>
                <w:bCs/>
                <w:sz w:val="18"/>
                <w:szCs w:val="18"/>
              </w:rPr>
              <w:t>Storm Feb 2010 possible though not observed as site not surveyed that year. 2011 ongoing disease (</w:t>
            </w:r>
            <w:r w:rsidR="00075887" w:rsidRPr="00040878">
              <w:rPr>
                <w:rFonts w:ascii="Arial Narrow" w:hAnsi="Arial Narrow"/>
                <w:bCs/>
                <w:sz w:val="18"/>
                <w:szCs w:val="18"/>
              </w:rPr>
              <w:t>26% at 2m and 55</w:t>
            </w:r>
            <w:r w:rsidRPr="00040878">
              <w:rPr>
                <w:rFonts w:ascii="Arial Narrow" w:hAnsi="Arial Narrow"/>
                <w:bCs/>
                <w:sz w:val="18"/>
                <w:szCs w:val="18"/>
              </w:rPr>
              <w:t>% at 5m) possibly associated with flood.</w:t>
            </w:r>
          </w:p>
        </w:tc>
      </w:tr>
      <w:tr w:rsidR="00851754" w:rsidRPr="00216E77" w14:paraId="56F32090" w14:textId="77777777" w:rsidTr="00040878">
        <w:trPr>
          <w:cantSplit/>
          <w:trHeight w:val="327"/>
        </w:trPr>
        <w:tc>
          <w:tcPr>
            <w:tcW w:w="0" w:type="auto"/>
            <w:vMerge/>
            <w:vAlign w:val="center"/>
          </w:tcPr>
          <w:p w14:paraId="04350047" w14:textId="77777777" w:rsidR="00851754" w:rsidRPr="00216E77" w:rsidRDefault="00851754">
            <w:pPr>
              <w:rPr>
                <w:rFonts w:ascii="Arial Narrow" w:eastAsia="Arial Unicode MS" w:hAnsi="Arial Narrow"/>
                <w:bCs/>
                <w:color w:val="000000" w:themeColor="text1"/>
                <w:sz w:val="20"/>
              </w:rPr>
            </w:pPr>
          </w:p>
        </w:tc>
        <w:tc>
          <w:tcPr>
            <w:tcW w:w="608" w:type="dxa"/>
            <w:vMerge/>
            <w:vAlign w:val="center"/>
          </w:tcPr>
          <w:p w14:paraId="005864AF" w14:textId="77777777" w:rsidR="00851754" w:rsidRPr="00216E77" w:rsidRDefault="00851754">
            <w:pPr>
              <w:rPr>
                <w:rFonts w:ascii="Arial Narrow" w:eastAsia="Arial Unicode MS" w:hAnsi="Arial Narrow"/>
                <w:bCs/>
                <w:sz w:val="20"/>
              </w:rPr>
            </w:pPr>
          </w:p>
        </w:tc>
        <w:tc>
          <w:tcPr>
            <w:tcW w:w="1984" w:type="dxa"/>
            <w:tcMar>
              <w:top w:w="16" w:type="dxa"/>
              <w:left w:w="16" w:type="dxa"/>
              <w:bottom w:w="0" w:type="dxa"/>
              <w:right w:w="16" w:type="dxa"/>
            </w:tcMar>
            <w:vAlign w:val="bottom"/>
          </w:tcPr>
          <w:p w14:paraId="5A1B4C96" w14:textId="77777777" w:rsidR="00851754" w:rsidRPr="00216E77" w:rsidRDefault="00851754">
            <w:pPr>
              <w:ind w:left="200"/>
              <w:rPr>
                <w:rFonts w:ascii="Arial Narrow" w:eastAsia="Arial Unicode MS" w:hAnsi="Arial Narrow"/>
                <w:bCs/>
                <w:sz w:val="20"/>
              </w:rPr>
            </w:pPr>
            <w:r w:rsidRPr="00216E77">
              <w:rPr>
                <w:rFonts w:ascii="Arial Narrow" w:hAnsi="Arial Narrow"/>
                <w:bCs/>
                <w:sz w:val="20"/>
              </w:rPr>
              <w:t>Middle Is</w:t>
            </w:r>
          </w:p>
        </w:tc>
        <w:tc>
          <w:tcPr>
            <w:tcW w:w="992" w:type="dxa"/>
            <w:tcMar>
              <w:top w:w="16" w:type="dxa"/>
              <w:left w:w="16" w:type="dxa"/>
              <w:bottom w:w="0" w:type="dxa"/>
              <w:right w:w="16" w:type="dxa"/>
            </w:tcMar>
            <w:vAlign w:val="center"/>
          </w:tcPr>
          <w:p w14:paraId="64560D7A" w14:textId="77777777" w:rsidR="00851754" w:rsidRPr="00040878" w:rsidRDefault="00851754">
            <w:pPr>
              <w:jc w:val="center"/>
              <w:rPr>
                <w:rFonts w:ascii="Arial Narrow" w:eastAsia="Arial Unicode MS" w:hAnsi="Arial Narrow"/>
                <w:bCs/>
                <w:sz w:val="18"/>
                <w:szCs w:val="18"/>
              </w:rPr>
            </w:pPr>
            <w:r w:rsidRPr="00040878">
              <w:rPr>
                <w:rFonts w:ascii="Arial Narrow" w:hAnsi="Arial Narrow"/>
                <w:bCs/>
                <w:sz w:val="18"/>
                <w:szCs w:val="18"/>
              </w:rPr>
              <w:t>1 (56%)</w:t>
            </w:r>
          </w:p>
        </w:tc>
        <w:tc>
          <w:tcPr>
            <w:tcW w:w="851" w:type="dxa"/>
            <w:vAlign w:val="center"/>
          </w:tcPr>
          <w:p w14:paraId="544FFAA1" w14:textId="77777777" w:rsidR="00851754" w:rsidRPr="00040878" w:rsidRDefault="00851754">
            <w:pPr>
              <w:jc w:val="center"/>
              <w:rPr>
                <w:rFonts w:ascii="Arial Narrow" w:eastAsia="Arial Unicode MS" w:hAnsi="Arial Narrow"/>
                <w:bCs/>
                <w:sz w:val="18"/>
                <w:szCs w:val="18"/>
              </w:rPr>
            </w:pPr>
            <w:r w:rsidRPr="00040878">
              <w:rPr>
                <w:rFonts w:ascii="Arial Narrow" w:hAnsi="Arial Narrow"/>
                <w:bCs/>
                <w:sz w:val="18"/>
                <w:szCs w:val="18"/>
              </w:rPr>
              <w:t>1 (Nil)</w:t>
            </w:r>
          </w:p>
        </w:tc>
        <w:tc>
          <w:tcPr>
            <w:tcW w:w="850" w:type="dxa"/>
            <w:tcMar>
              <w:top w:w="16" w:type="dxa"/>
              <w:left w:w="16" w:type="dxa"/>
              <w:bottom w:w="0" w:type="dxa"/>
              <w:right w:w="16" w:type="dxa"/>
            </w:tcMar>
            <w:vAlign w:val="center"/>
          </w:tcPr>
          <w:p w14:paraId="1B4ECF41" w14:textId="77777777" w:rsidR="00851754" w:rsidRPr="00040878" w:rsidRDefault="00851754" w:rsidP="00075887">
            <w:pPr>
              <w:jc w:val="center"/>
              <w:rPr>
                <w:rFonts w:ascii="Arial Narrow" w:eastAsia="Arial Unicode MS" w:hAnsi="Arial Narrow"/>
                <w:bCs/>
                <w:sz w:val="18"/>
                <w:szCs w:val="18"/>
              </w:rPr>
            </w:pPr>
            <w:r w:rsidRPr="00040878">
              <w:rPr>
                <w:rFonts w:ascii="Arial Narrow" w:hAnsi="Arial Narrow"/>
                <w:bCs/>
                <w:sz w:val="18"/>
                <w:szCs w:val="18"/>
              </w:rPr>
              <w:t>(</w:t>
            </w:r>
            <w:r w:rsidR="00075887" w:rsidRPr="00040878">
              <w:rPr>
                <w:rFonts w:ascii="Arial Narrow" w:hAnsi="Arial Narrow"/>
                <w:bCs/>
                <w:sz w:val="18"/>
                <w:szCs w:val="18"/>
              </w:rPr>
              <w:t>61</w:t>
            </w:r>
            <w:r w:rsidRPr="00040878">
              <w:rPr>
                <w:rFonts w:ascii="Arial Narrow" w:hAnsi="Arial Narrow"/>
                <w:bCs/>
                <w:sz w:val="18"/>
                <w:szCs w:val="18"/>
              </w:rPr>
              <w:t>%, 2m)  (</w:t>
            </w:r>
            <w:r w:rsidR="00075887" w:rsidRPr="00040878">
              <w:rPr>
                <w:rFonts w:ascii="Arial Narrow" w:hAnsi="Arial Narrow"/>
                <w:bCs/>
                <w:sz w:val="18"/>
                <w:szCs w:val="18"/>
              </w:rPr>
              <w:t>38</w:t>
            </w:r>
            <w:r w:rsidRPr="00040878">
              <w:rPr>
                <w:rFonts w:ascii="Arial Narrow" w:hAnsi="Arial Narrow"/>
                <w:bCs/>
                <w:sz w:val="18"/>
                <w:szCs w:val="18"/>
              </w:rPr>
              <w:t>%, 5m)</w:t>
            </w:r>
          </w:p>
        </w:tc>
        <w:tc>
          <w:tcPr>
            <w:tcW w:w="8348" w:type="dxa"/>
            <w:tcMar>
              <w:top w:w="16" w:type="dxa"/>
              <w:left w:w="16" w:type="dxa"/>
              <w:bottom w:w="0" w:type="dxa"/>
              <w:right w:w="16" w:type="dxa"/>
            </w:tcMar>
            <w:vAlign w:val="center"/>
          </w:tcPr>
          <w:p w14:paraId="39719F25" w14:textId="77777777" w:rsidR="00851754" w:rsidRPr="00040878" w:rsidRDefault="00851754" w:rsidP="00040878">
            <w:pPr>
              <w:spacing w:after="0"/>
              <w:jc w:val="left"/>
              <w:rPr>
                <w:rFonts w:ascii="Arial Narrow" w:hAnsi="Arial Narrow"/>
                <w:bCs/>
                <w:sz w:val="18"/>
                <w:szCs w:val="18"/>
              </w:rPr>
            </w:pPr>
            <w:r w:rsidRPr="00040878">
              <w:rPr>
                <w:rFonts w:ascii="Arial Narrow" w:hAnsi="Arial Narrow"/>
                <w:bCs/>
                <w:sz w:val="18"/>
                <w:szCs w:val="18"/>
              </w:rPr>
              <w:t>Storm Feb 2010 plus disease (</w:t>
            </w:r>
            <w:r w:rsidR="00075887" w:rsidRPr="00040878">
              <w:rPr>
                <w:rFonts w:ascii="Arial Narrow" w:hAnsi="Arial Narrow"/>
                <w:bCs/>
                <w:sz w:val="18"/>
                <w:szCs w:val="18"/>
              </w:rPr>
              <w:t>28</w:t>
            </w:r>
            <w:r w:rsidRPr="00040878">
              <w:rPr>
                <w:rFonts w:ascii="Arial Narrow" w:hAnsi="Arial Narrow"/>
                <w:bCs/>
                <w:sz w:val="18"/>
                <w:szCs w:val="18"/>
              </w:rPr>
              <w:t xml:space="preserve">% at 2m, </w:t>
            </w:r>
            <w:r w:rsidR="00075887" w:rsidRPr="00040878">
              <w:rPr>
                <w:rFonts w:ascii="Arial Narrow" w:hAnsi="Arial Narrow"/>
                <w:bCs/>
                <w:sz w:val="18"/>
                <w:szCs w:val="18"/>
              </w:rPr>
              <w:t>43</w:t>
            </w:r>
            <w:r w:rsidR="00767C10" w:rsidRPr="00040878">
              <w:rPr>
                <w:rFonts w:ascii="Arial Narrow" w:hAnsi="Arial Narrow"/>
                <w:bCs/>
                <w:sz w:val="18"/>
                <w:szCs w:val="18"/>
              </w:rPr>
              <w:t>% at 5m)</w:t>
            </w:r>
            <w:r w:rsidR="00075887" w:rsidRPr="00040878">
              <w:rPr>
                <w:rFonts w:ascii="Arial Narrow" w:hAnsi="Arial Narrow"/>
                <w:bCs/>
                <w:sz w:val="18"/>
                <w:szCs w:val="18"/>
              </w:rPr>
              <w:t xml:space="preserve"> Cyclone Marcia 2015 (29% at 2m, 33% at 5m)</w:t>
            </w:r>
          </w:p>
        </w:tc>
      </w:tr>
      <w:tr w:rsidR="00851754" w:rsidRPr="00216E77" w14:paraId="32A12446" w14:textId="77777777" w:rsidTr="00040878">
        <w:trPr>
          <w:cantSplit/>
          <w:trHeight w:val="337"/>
        </w:trPr>
        <w:tc>
          <w:tcPr>
            <w:tcW w:w="0" w:type="auto"/>
            <w:vMerge/>
            <w:vAlign w:val="center"/>
          </w:tcPr>
          <w:p w14:paraId="48351126" w14:textId="77777777" w:rsidR="00851754" w:rsidRPr="00216E77" w:rsidRDefault="00851754">
            <w:pPr>
              <w:rPr>
                <w:rFonts w:ascii="Arial Narrow" w:eastAsia="Arial Unicode MS" w:hAnsi="Arial Narrow"/>
                <w:bCs/>
                <w:color w:val="000000" w:themeColor="text1"/>
                <w:sz w:val="20"/>
              </w:rPr>
            </w:pPr>
          </w:p>
        </w:tc>
        <w:tc>
          <w:tcPr>
            <w:tcW w:w="608" w:type="dxa"/>
            <w:vMerge/>
            <w:vAlign w:val="center"/>
          </w:tcPr>
          <w:p w14:paraId="36DFBAAB" w14:textId="77777777" w:rsidR="00851754" w:rsidRPr="00216E77" w:rsidRDefault="00851754">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4009001F" w14:textId="77777777" w:rsidR="00851754" w:rsidRPr="00216E77" w:rsidRDefault="00851754">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Keppels South</w:t>
            </w:r>
          </w:p>
        </w:tc>
        <w:tc>
          <w:tcPr>
            <w:tcW w:w="992" w:type="dxa"/>
            <w:tcMar>
              <w:top w:w="16" w:type="dxa"/>
              <w:left w:w="16" w:type="dxa"/>
              <w:bottom w:w="0" w:type="dxa"/>
              <w:right w:w="16" w:type="dxa"/>
            </w:tcMar>
            <w:vAlign w:val="center"/>
          </w:tcPr>
          <w:p w14:paraId="34568279" w14:textId="77777777" w:rsidR="00851754" w:rsidRPr="00040878" w:rsidRDefault="00851754">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 (6%)</w:t>
            </w:r>
          </w:p>
        </w:tc>
        <w:tc>
          <w:tcPr>
            <w:tcW w:w="851" w:type="dxa"/>
            <w:vAlign w:val="center"/>
          </w:tcPr>
          <w:p w14:paraId="75D8344B" w14:textId="77777777" w:rsidR="00851754" w:rsidRPr="00040878" w:rsidRDefault="00851754">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 (26%)</w:t>
            </w:r>
          </w:p>
        </w:tc>
        <w:tc>
          <w:tcPr>
            <w:tcW w:w="850" w:type="dxa"/>
            <w:tcMar>
              <w:top w:w="16" w:type="dxa"/>
              <w:left w:w="16" w:type="dxa"/>
              <w:bottom w:w="0" w:type="dxa"/>
              <w:right w:w="16" w:type="dxa"/>
            </w:tcMar>
            <w:vAlign w:val="center"/>
          </w:tcPr>
          <w:p w14:paraId="025B275F" w14:textId="77777777" w:rsidR="00851754" w:rsidRPr="00040878" w:rsidRDefault="00851754" w:rsidP="00075887">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w:t>
            </w:r>
            <w:r w:rsidR="00075887" w:rsidRPr="00040878">
              <w:rPr>
                <w:rFonts w:ascii="Arial Narrow" w:hAnsi="Arial Narrow"/>
                <w:bCs/>
                <w:color w:val="000000" w:themeColor="text1"/>
                <w:sz w:val="18"/>
                <w:szCs w:val="18"/>
              </w:rPr>
              <w:t>27</w:t>
            </w:r>
            <w:r w:rsidRPr="00040878">
              <w:rPr>
                <w:rFonts w:ascii="Arial Narrow" w:hAnsi="Arial Narrow"/>
                <w:bCs/>
                <w:color w:val="000000" w:themeColor="text1"/>
                <w:sz w:val="18"/>
                <w:szCs w:val="18"/>
              </w:rPr>
              <w:t>%, 2m) (</w:t>
            </w:r>
            <w:r w:rsidR="00075887" w:rsidRPr="00040878">
              <w:rPr>
                <w:rFonts w:ascii="Arial Narrow" w:hAnsi="Arial Narrow"/>
                <w:bCs/>
                <w:color w:val="000000" w:themeColor="text1"/>
                <w:sz w:val="18"/>
                <w:szCs w:val="18"/>
              </w:rPr>
              <w:t>28</w:t>
            </w:r>
            <w:r w:rsidRPr="00040878">
              <w:rPr>
                <w:rFonts w:ascii="Arial Narrow" w:hAnsi="Arial Narrow"/>
                <w:bCs/>
                <w:color w:val="000000" w:themeColor="text1"/>
                <w:sz w:val="18"/>
                <w:szCs w:val="18"/>
              </w:rPr>
              <w:t>%, 5m)</w:t>
            </w:r>
          </w:p>
        </w:tc>
        <w:tc>
          <w:tcPr>
            <w:tcW w:w="8348" w:type="dxa"/>
            <w:tcMar>
              <w:top w:w="16" w:type="dxa"/>
              <w:left w:w="16" w:type="dxa"/>
              <w:bottom w:w="0" w:type="dxa"/>
              <w:right w:w="16" w:type="dxa"/>
            </w:tcMar>
            <w:vAlign w:val="center"/>
          </w:tcPr>
          <w:p w14:paraId="7E022061" w14:textId="77777777" w:rsidR="00851754" w:rsidRPr="00040878" w:rsidRDefault="00755F97" w:rsidP="00040878">
            <w:pPr>
              <w:spacing w:after="0"/>
              <w:jc w:val="left"/>
              <w:rPr>
                <w:rFonts w:ascii="Arial Narrow" w:hAnsi="Arial Narrow"/>
                <w:bCs/>
                <w:color w:val="000000" w:themeColor="text1"/>
                <w:sz w:val="18"/>
                <w:szCs w:val="18"/>
                <w:lang w:val="da-DK"/>
              </w:rPr>
            </w:pPr>
            <w:r w:rsidRPr="00040878">
              <w:rPr>
                <w:rFonts w:ascii="Arial Narrow" w:hAnsi="Arial Narrow"/>
                <w:bCs/>
                <w:color w:val="000000" w:themeColor="text1"/>
                <w:sz w:val="18"/>
                <w:szCs w:val="18"/>
                <w:lang w:val="da-DK"/>
              </w:rPr>
              <w:t>Flood 2008 (6% at 2m</w:t>
            </w:r>
            <w:r w:rsidR="00851754" w:rsidRPr="00040878">
              <w:rPr>
                <w:rFonts w:ascii="Arial Narrow" w:hAnsi="Arial Narrow"/>
                <w:bCs/>
                <w:color w:val="000000" w:themeColor="text1"/>
                <w:sz w:val="18"/>
                <w:szCs w:val="18"/>
                <w:lang w:val="da-DK"/>
              </w:rPr>
              <w:t>),</w:t>
            </w:r>
            <w:r w:rsidRPr="00040878">
              <w:rPr>
                <w:rFonts w:ascii="Arial Narrow" w:hAnsi="Arial Narrow"/>
                <w:bCs/>
                <w:color w:val="000000" w:themeColor="text1"/>
                <w:sz w:val="18"/>
                <w:szCs w:val="18"/>
                <w:lang w:val="da-DK"/>
              </w:rPr>
              <w:t xml:space="preserve"> Disease 2010 (</w:t>
            </w:r>
            <w:r w:rsidR="00075887" w:rsidRPr="00040878">
              <w:rPr>
                <w:rFonts w:ascii="Arial Narrow" w:hAnsi="Arial Narrow"/>
                <w:bCs/>
                <w:color w:val="000000" w:themeColor="text1"/>
                <w:sz w:val="18"/>
                <w:szCs w:val="18"/>
                <w:lang w:val="da-DK"/>
              </w:rPr>
              <w:t>10</w:t>
            </w:r>
            <w:r w:rsidRPr="00040878">
              <w:rPr>
                <w:rFonts w:ascii="Arial Narrow" w:hAnsi="Arial Narrow"/>
                <w:bCs/>
                <w:color w:val="000000" w:themeColor="text1"/>
                <w:sz w:val="18"/>
                <w:szCs w:val="18"/>
                <w:lang w:val="da-DK"/>
              </w:rPr>
              <w:t xml:space="preserve">% at 2m </w:t>
            </w:r>
            <w:r w:rsidR="00075887" w:rsidRPr="00040878">
              <w:rPr>
                <w:rFonts w:ascii="Arial Narrow" w:hAnsi="Arial Narrow"/>
                <w:bCs/>
                <w:color w:val="000000" w:themeColor="text1"/>
                <w:sz w:val="18"/>
                <w:szCs w:val="18"/>
                <w:lang w:val="da-DK"/>
              </w:rPr>
              <w:t>23</w:t>
            </w:r>
            <w:r w:rsidRPr="00040878">
              <w:rPr>
                <w:rFonts w:ascii="Arial Narrow" w:hAnsi="Arial Narrow"/>
                <w:bCs/>
                <w:color w:val="000000" w:themeColor="text1"/>
                <w:sz w:val="18"/>
                <w:szCs w:val="18"/>
                <w:lang w:val="da-DK"/>
              </w:rPr>
              <w:t xml:space="preserve">% at 5m), </w:t>
            </w:r>
            <w:r w:rsidR="00851754" w:rsidRPr="00040878">
              <w:rPr>
                <w:rFonts w:ascii="Arial Narrow" w:hAnsi="Arial Narrow"/>
                <w:bCs/>
                <w:color w:val="000000" w:themeColor="text1"/>
                <w:sz w:val="18"/>
                <w:szCs w:val="18"/>
                <w:lang w:val="da-DK"/>
              </w:rPr>
              <w:t>Flood 2011 (</w:t>
            </w:r>
            <w:r w:rsidR="00075887" w:rsidRPr="00040878">
              <w:rPr>
                <w:rFonts w:ascii="Arial Narrow" w:hAnsi="Arial Narrow"/>
                <w:bCs/>
                <w:color w:val="000000" w:themeColor="text1"/>
                <w:sz w:val="18"/>
                <w:szCs w:val="18"/>
                <w:lang w:val="da-DK"/>
              </w:rPr>
              <w:t>84</w:t>
            </w:r>
            <w:r w:rsidR="00851754" w:rsidRPr="00040878">
              <w:rPr>
                <w:rFonts w:ascii="Arial Narrow" w:hAnsi="Arial Narrow"/>
                <w:bCs/>
                <w:color w:val="000000" w:themeColor="text1"/>
                <w:sz w:val="18"/>
                <w:szCs w:val="18"/>
                <w:lang w:val="da-DK"/>
              </w:rPr>
              <w:t>% at 2m)</w:t>
            </w:r>
          </w:p>
        </w:tc>
      </w:tr>
      <w:tr w:rsidR="00851754" w:rsidRPr="00216E77" w14:paraId="14E53001" w14:textId="77777777" w:rsidTr="00040878">
        <w:trPr>
          <w:cantSplit/>
          <w:trHeight w:val="264"/>
        </w:trPr>
        <w:tc>
          <w:tcPr>
            <w:tcW w:w="0" w:type="auto"/>
            <w:vMerge/>
            <w:vAlign w:val="center"/>
          </w:tcPr>
          <w:p w14:paraId="6AF965B9" w14:textId="77777777" w:rsidR="00851754" w:rsidRPr="00216E77" w:rsidRDefault="00851754">
            <w:pPr>
              <w:rPr>
                <w:rFonts w:ascii="Arial Narrow" w:eastAsia="Arial Unicode MS" w:hAnsi="Arial Narrow"/>
                <w:bCs/>
                <w:color w:val="000000" w:themeColor="text1"/>
                <w:sz w:val="20"/>
                <w:lang w:val="da-DK"/>
              </w:rPr>
            </w:pPr>
          </w:p>
        </w:tc>
        <w:tc>
          <w:tcPr>
            <w:tcW w:w="608" w:type="dxa"/>
            <w:vMerge/>
            <w:vAlign w:val="center"/>
          </w:tcPr>
          <w:p w14:paraId="7CC0514E" w14:textId="77777777" w:rsidR="00851754" w:rsidRPr="00216E77" w:rsidRDefault="00851754">
            <w:pPr>
              <w:rPr>
                <w:rFonts w:ascii="Arial Narrow" w:eastAsia="Arial Unicode MS" w:hAnsi="Arial Narrow"/>
                <w:bCs/>
                <w:color w:val="000000" w:themeColor="text1"/>
                <w:sz w:val="20"/>
                <w:lang w:val="da-DK"/>
              </w:rPr>
            </w:pPr>
          </w:p>
        </w:tc>
        <w:tc>
          <w:tcPr>
            <w:tcW w:w="1984" w:type="dxa"/>
            <w:tcMar>
              <w:top w:w="16" w:type="dxa"/>
              <w:left w:w="16" w:type="dxa"/>
              <w:bottom w:w="0" w:type="dxa"/>
              <w:right w:w="16" w:type="dxa"/>
            </w:tcMar>
            <w:vAlign w:val="bottom"/>
          </w:tcPr>
          <w:p w14:paraId="78FC1B23" w14:textId="77777777" w:rsidR="00851754" w:rsidRPr="00216E77" w:rsidRDefault="00851754">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Pelican</w:t>
            </w:r>
          </w:p>
        </w:tc>
        <w:tc>
          <w:tcPr>
            <w:tcW w:w="992" w:type="dxa"/>
            <w:tcMar>
              <w:top w:w="16" w:type="dxa"/>
              <w:left w:w="16" w:type="dxa"/>
              <w:bottom w:w="0" w:type="dxa"/>
              <w:right w:w="16" w:type="dxa"/>
            </w:tcMar>
            <w:vAlign w:val="center"/>
          </w:tcPr>
          <w:p w14:paraId="7AAA0D04" w14:textId="77777777" w:rsidR="00851754" w:rsidRPr="00040878" w:rsidRDefault="00851754">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w:t>
            </w:r>
          </w:p>
        </w:tc>
        <w:tc>
          <w:tcPr>
            <w:tcW w:w="851" w:type="dxa"/>
            <w:vAlign w:val="center"/>
          </w:tcPr>
          <w:p w14:paraId="68C243AB" w14:textId="77777777" w:rsidR="00851754" w:rsidRPr="00040878" w:rsidRDefault="00851754">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w:t>
            </w:r>
          </w:p>
        </w:tc>
        <w:tc>
          <w:tcPr>
            <w:tcW w:w="850" w:type="dxa"/>
            <w:tcMar>
              <w:top w:w="16" w:type="dxa"/>
              <w:left w:w="16" w:type="dxa"/>
              <w:bottom w:w="0" w:type="dxa"/>
              <w:right w:w="16" w:type="dxa"/>
            </w:tcMar>
            <w:vAlign w:val="center"/>
          </w:tcPr>
          <w:p w14:paraId="7FAAE2A4" w14:textId="77777777" w:rsidR="00851754" w:rsidRPr="00040878" w:rsidRDefault="00851754">
            <w:pPr>
              <w:jc w:val="center"/>
              <w:rPr>
                <w:rFonts w:ascii="Arial Narrow" w:eastAsia="Arial Unicode MS" w:hAnsi="Arial Narrow"/>
                <w:bCs/>
                <w:color w:val="000000" w:themeColor="text1"/>
                <w:sz w:val="18"/>
                <w:szCs w:val="18"/>
              </w:rPr>
            </w:pPr>
            <w:r w:rsidRPr="00040878">
              <w:rPr>
                <w:rFonts w:ascii="Arial Narrow" w:eastAsia="Arial Unicode MS" w:hAnsi="Arial Narrow"/>
                <w:bCs/>
                <w:color w:val="000000" w:themeColor="text1"/>
                <w:sz w:val="18"/>
                <w:szCs w:val="18"/>
              </w:rPr>
              <w:t>17%, 5m</w:t>
            </w:r>
          </w:p>
        </w:tc>
        <w:tc>
          <w:tcPr>
            <w:tcW w:w="8348" w:type="dxa"/>
            <w:tcMar>
              <w:top w:w="16" w:type="dxa"/>
              <w:left w:w="16" w:type="dxa"/>
              <w:bottom w:w="0" w:type="dxa"/>
              <w:right w:w="16" w:type="dxa"/>
            </w:tcMar>
            <w:vAlign w:val="center"/>
          </w:tcPr>
          <w:p w14:paraId="59C5A084" w14:textId="77777777" w:rsidR="008B1269" w:rsidRPr="00040878" w:rsidRDefault="00851754" w:rsidP="00040878">
            <w:pPr>
              <w:spacing w:after="0"/>
              <w:jc w:val="left"/>
              <w:rPr>
                <w:rFonts w:ascii="Arial Narrow" w:hAnsi="Arial Narrow"/>
                <w:bCs/>
                <w:color w:val="000000" w:themeColor="text1"/>
                <w:sz w:val="18"/>
                <w:szCs w:val="18"/>
                <w:lang w:val="da-DK"/>
              </w:rPr>
            </w:pPr>
            <w:r w:rsidRPr="00040878">
              <w:rPr>
                <w:rFonts w:ascii="Arial Narrow" w:hAnsi="Arial Narrow"/>
                <w:bCs/>
                <w:color w:val="000000" w:themeColor="text1"/>
                <w:sz w:val="18"/>
                <w:szCs w:val="18"/>
                <w:lang w:val="da-DK"/>
              </w:rPr>
              <w:t>Flood /Storm 2008 (</w:t>
            </w:r>
            <w:r w:rsidR="00075887" w:rsidRPr="00040878">
              <w:rPr>
                <w:rFonts w:ascii="Arial Narrow" w:hAnsi="Arial Narrow"/>
                <w:bCs/>
                <w:color w:val="000000" w:themeColor="text1"/>
                <w:sz w:val="18"/>
                <w:szCs w:val="18"/>
                <w:lang w:val="da-DK"/>
              </w:rPr>
              <w:t>28</w:t>
            </w:r>
            <w:r w:rsidRPr="00040878">
              <w:rPr>
                <w:rFonts w:ascii="Arial Narrow" w:hAnsi="Arial Narrow"/>
                <w:bCs/>
                <w:color w:val="000000" w:themeColor="text1"/>
                <w:sz w:val="18"/>
                <w:szCs w:val="18"/>
                <w:lang w:val="da-DK"/>
              </w:rPr>
              <w:t xml:space="preserve">% at 2m, </w:t>
            </w:r>
            <w:r w:rsidR="00075887" w:rsidRPr="00040878">
              <w:rPr>
                <w:rFonts w:ascii="Arial Narrow" w:hAnsi="Arial Narrow"/>
                <w:bCs/>
                <w:color w:val="000000" w:themeColor="text1"/>
                <w:sz w:val="18"/>
                <w:szCs w:val="18"/>
                <w:lang w:val="da-DK"/>
              </w:rPr>
              <w:t>6</w:t>
            </w:r>
            <w:r w:rsidRPr="00040878">
              <w:rPr>
                <w:rFonts w:ascii="Arial Narrow" w:hAnsi="Arial Narrow"/>
                <w:bCs/>
                <w:color w:val="000000" w:themeColor="text1"/>
                <w:sz w:val="18"/>
                <w:szCs w:val="18"/>
                <w:lang w:val="da-DK"/>
              </w:rPr>
              <w:t xml:space="preserve">% at 5m), </w:t>
            </w:r>
            <w:r w:rsidR="003B3573" w:rsidRPr="00040878">
              <w:rPr>
                <w:rFonts w:ascii="Arial Narrow" w:hAnsi="Arial Narrow"/>
                <w:bCs/>
                <w:color w:val="000000" w:themeColor="text1"/>
                <w:sz w:val="18"/>
                <w:szCs w:val="18"/>
                <w:lang w:val="da-DK"/>
              </w:rPr>
              <w:t xml:space="preserve">Disease 2009 (12% at 5m), </w:t>
            </w:r>
            <w:r w:rsidR="00755F97" w:rsidRPr="00040878">
              <w:rPr>
                <w:rFonts w:ascii="Arial Narrow" w:hAnsi="Arial Narrow"/>
                <w:bCs/>
                <w:color w:val="000000" w:themeColor="text1"/>
                <w:sz w:val="18"/>
                <w:szCs w:val="18"/>
                <w:lang w:val="da-DK"/>
              </w:rPr>
              <w:t>Disease</w:t>
            </w:r>
            <w:r w:rsidR="00075887" w:rsidRPr="00040878">
              <w:rPr>
                <w:rFonts w:ascii="Arial Narrow" w:hAnsi="Arial Narrow"/>
                <w:bCs/>
                <w:color w:val="000000" w:themeColor="text1"/>
                <w:sz w:val="18"/>
                <w:szCs w:val="18"/>
                <w:lang w:val="da-DK"/>
              </w:rPr>
              <w:t xml:space="preserve"> 2010</w:t>
            </w:r>
            <w:r w:rsidRPr="00040878">
              <w:rPr>
                <w:rFonts w:ascii="Arial Narrow" w:hAnsi="Arial Narrow"/>
                <w:bCs/>
                <w:color w:val="000000" w:themeColor="text1"/>
                <w:sz w:val="18"/>
                <w:szCs w:val="18"/>
                <w:lang w:val="da-DK"/>
              </w:rPr>
              <w:t xml:space="preserve"> (</w:t>
            </w:r>
            <w:r w:rsidR="00075887" w:rsidRPr="00040878">
              <w:rPr>
                <w:rFonts w:ascii="Arial Narrow" w:hAnsi="Arial Narrow"/>
                <w:bCs/>
                <w:color w:val="000000" w:themeColor="text1"/>
                <w:sz w:val="18"/>
                <w:szCs w:val="18"/>
                <w:lang w:val="da-DK"/>
              </w:rPr>
              <w:t>26</w:t>
            </w:r>
            <w:r w:rsidRPr="00040878">
              <w:rPr>
                <w:rFonts w:ascii="Arial Narrow" w:hAnsi="Arial Narrow"/>
                <w:bCs/>
                <w:color w:val="000000" w:themeColor="text1"/>
                <w:sz w:val="18"/>
                <w:szCs w:val="18"/>
                <w:lang w:val="da-DK"/>
              </w:rPr>
              <w:t>% at 2m),</w:t>
            </w:r>
          </w:p>
          <w:p w14:paraId="0DABDA5F" w14:textId="77777777" w:rsidR="00851754" w:rsidRPr="00040878" w:rsidRDefault="00851754" w:rsidP="00040878">
            <w:pPr>
              <w:spacing w:after="0"/>
              <w:jc w:val="left"/>
              <w:rPr>
                <w:rFonts w:ascii="Arial Narrow" w:hAnsi="Arial Narrow"/>
                <w:bCs/>
                <w:color w:val="000000" w:themeColor="text1"/>
                <w:sz w:val="18"/>
                <w:szCs w:val="18"/>
                <w:lang w:val="da-DK"/>
              </w:rPr>
            </w:pPr>
            <w:r w:rsidRPr="00040878">
              <w:rPr>
                <w:rFonts w:ascii="Arial Narrow" w:hAnsi="Arial Narrow"/>
                <w:bCs/>
                <w:color w:val="000000" w:themeColor="text1"/>
                <w:sz w:val="18"/>
                <w:szCs w:val="18"/>
                <w:lang w:val="da-DK"/>
              </w:rPr>
              <w:t>Flood 2011 (</w:t>
            </w:r>
            <w:r w:rsidR="00075887" w:rsidRPr="00040878">
              <w:rPr>
                <w:rFonts w:ascii="Arial Narrow" w:hAnsi="Arial Narrow"/>
                <w:bCs/>
                <w:color w:val="000000" w:themeColor="text1"/>
                <w:sz w:val="18"/>
                <w:szCs w:val="18"/>
                <w:lang w:val="da-DK"/>
              </w:rPr>
              <w:t>99</w:t>
            </w:r>
            <w:r w:rsidRPr="00040878">
              <w:rPr>
                <w:rFonts w:ascii="Arial Narrow" w:hAnsi="Arial Narrow"/>
                <w:bCs/>
                <w:color w:val="000000" w:themeColor="text1"/>
                <w:sz w:val="18"/>
                <w:szCs w:val="18"/>
                <w:lang w:val="da-DK"/>
              </w:rPr>
              <w:t xml:space="preserve">%at 2m, </w:t>
            </w:r>
            <w:r w:rsidR="00075887" w:rsidRPr="00040878">
              <w:rPr>
                <w:rFonts w:ascii="Arial Narrow" w:hAnsi="Arial Narrow"/>
                <w:bCs/>
                <w:color w:val="000000" w:themeColor="text1"/>
                <w:sz w:val="18"/>
                <w:szCs w:val="18"/>
                <w:lang w:val="da-DK"/>
              </w:rPr>
              <w:t>32</w:t>
            </w:r>
            <w:r w:rsidR="00767C10" w:rsidRPr="00040878">
              <w:rPr>
                <w:rFonts w:ascii="Arial Narrow" w:hAnsi="Arial Narrow"/>
                <w:bCs/>
                <w:color w:val="000000" w:themeColor="text1"/>
                <w:sz w:val="18"/>
                <w:szCs w:val="18"/>
                <w:lang w:val="da-DK"/>
              </w:rPr>
              <w:t xml:space="preserve">% </w:t>
            </w:r>
            <w:r w:rsidRPr="00040878">
              <w:rPr>
                <w:rFonts w:ascii="Arial Narrow" w:hAnsi="Arial Narrow"/>
                <w:bCs/>
                <w:color w:val="000000" w:themeColor="text1"/>
                <w:sz w:val="18"/>
                <w:szCs w:val="18"/>
                <w:lang w:val="da-DK"/>
              </w:rPr>
              <w:t>at 5m)</w:t>
            </w:r>
            <w:r w:rsidR="003B3573" w:rsidRPr="00040878">
              <w:rPr>
                <w:rFonts w:ascii="Arial Narrow" w:hAnsi="Arial Narrow"/>
                <w:bCs/>
                <w:color w:val="000000" w:themeColor="text1"/>
                <w:sz w:val="18"/>
                <w:szCs w:val="18"/>
                <w:lang w:val="da-DK"/>
              </w:rPr>
              <w:t>, Cyclone Marcia 2015 (34% at 5m)</w:t>
            </w:r>
          </w:p>
        </w:tc>
      </w:tr>
      <w:tr w:rsidR="00851754" w:rsidRPr="00216E77" w14:paraId="26A378BC" w14:textId="77777777" w:rsidTr="00040878">
        <w:trPr>
          <w:cantSplit/>
          <w:trHeight w:val="264"/>
        </w:trPr>
        <w:tc>
          <w:tcPr>
            <w:tcW w:w="0" w:type="auto"/>
            <w:vMerge/>
            <w:tcBorders>
              <w:bottom w:val="single" w:sz="12" w:space="0" w:color="auto"/>
            </w:tcBorders>
            <w:vAlign w:val="center"/>
          </w:tcPr>
          <w:p w14:paraId="376F4066" w14:textId="77777777" w:rsidR="00851754" w:rsidRPr="00216E77" w:rsidRDefault="00851754">
            <w:pPr>
              <w:rPr>
                <w:rFonts w:ascii="Arial Narrow" w:eastAsia="Arial Unicode MS" w:hAnsi="Arial Narrow"/>
                <w:bCs/>
                <w:color w:val="000000" w:themeColor="text1"/>
                <w:sz w:val="20"/>
                <w:lang w:val="da-DK"/>
              </w:rPr>
            </w:pPr>
          </w:p>
        </w:tc>
        <w:tc>
          <w:tcPr>
            <w:tcW w:w="608" w:type="dxa"/>
            <w:vMerge/>
            <w:tcBorders>
              <w:bottom w:val="single" w:sz="12" w:space="0" w:color="auto"/>
            </w:tcBorders>
            <w:vAlign w:val="center"/>
          </w:tcPr>
          <w:p w14:paraId="42065F13" w14:textId="77777777" w:rsidR="00851754" w:rsidRPr="00216E77" w:rsidRDefault="00851754">
            <w:pPr>
              <w:rPr>
                <w:rFonts w:ascii="Arial Narrow" w:eastAsia="Arial Unicode MS" w:hAnsi="Arial Narrow"/>
                <w:bCs/>
                <w:color w:val="000000" w:themeColor="text1"/>
                <w:sz w:val="20"/>
                <w:lang w:val="da-DK"/>
              </w:rPr>
            </w:pPr>
          </w:p>
        </w:tc>
        <w:tc>
          <w:tcPr>
            <w:tcW w:w="1984" w:type="dxa"/>
            <w:tcBorders>
              <w:bottom w:val="single" w:sz="12" w:space="0" w:color="auto"/>
            </w:tcBorders>
            <w:tcMar>
              <w:top w:w="16" w:type="dxa"/>
              <w:left w:w="16" w:type="dxa"/>
              <w:bottom w:w="0" w:type="dxa"/>
              <w:right w:w="16" w:type="dxa"/>
            </w:tcMar>
            <w:vAlign w:val="bottom"/>
          </w:tcPr>
          <w:p w14:paraId="097A2376" w14:textId="77777777" w:rsidR="00851754" w:rsidRPr="00216E77" w:rsidRDefault="00851754">
            <w:pPr>
              <w:ind w:left="200"/>
              <w:rPr>
                <w:rFonts w:ascii="Arial Narrow" w:eastAsia="Arial Unicode MS" w:hAnsi="Arial Narrow"/>
                <w:bCs/>
                <w:color w:val="000000" w:themeColor="text1"/>
                <w:sz w:val="20"/>
              </w:rPr>
            </w:pPr>
            <w:r w:rsidRPr="00216E77">
              <w:rPr>
                <w:rFonts w:ascii="Arial Narrow" w:hAnsi="Arial Narrow"/>
                <w:bCs/>
                <w:color w:val="000000" w:themeColor="text1"/>
                <w:sz w:val="20"/>
              </w:rPr>
              <w:t>Peak</w:t>
            </w:r>
          </w:p>
        </w:tc>
        <w:tc>
          <w:tcPr>
            <w:tcW w:w="992" w:type="dxa"/>
            <w:tcBorders>
              <w:bottom w:val="single" w:sz="12" w:space="0" w:color="auto"/>
            </w:tcBorders>
            <w:tcMar>
              <w:top w:w="16" w:type="dxa"/>
              <w:left w:w="16" w:type="dxa"/>
              <w:bottom w:w="0" w:type="dxa"/>
              <w:right w:w="16" w:type="dxa"/>
            </w:tcMar>
            <w:vAlign w:val="center"/>
          </w:tcPr>
          <w:p w14:paraId="2DAF2B41" w14:textId="77777777" w:rsidR="00851754" w:rsidRPr="00040878" w:rsidRDefault="00851754">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w:t>
            </w:r>
          </w:p>
        </w:tc>
        <w:tc>
          <w:tcPr>
            <w:tcW w:w="851" w:type="dxa"/>
            <w:tcBorders>
              <w:bottom w:val="single" w:sz="12" w:space="0" w:color="auto"/>
            </w:tcBorders>
            <w:vAlign w:val="center"/>
          </w:tcPr>
          <w:p w14:paraId="341B17BC" w14:textId="77777777" w:rsidR="00851754" w:rsidRPr="00040878" w:rsidRDefault="00851754">
            <w:pPr>
              <w:jc w:val="center"/>
              <w:rPr>
                <w:rFonts w:ascii="Arial Narrow" w:eastAsia="Arial Unicode MS" w:hAnsi="Arial Narrow"/>
                <w:bCs/>
                <w:color w:val="000000" w:themeColor="text1"/>
                <w:sz w:val="18"/>
                <w:szCs w:val="18"/>
              </w:rPr>
            </w:pPr>
            <w:r w:rsidRPr="00040878">
              <w:rPr>
                <w:rFonts w:ascii="Arial Narrow" w:hAnsi="Arial Narrow"/>
                <w:bCs/>
                <w:color w:val="000000" w:themeColor="text1"/>
                <w:sz w:val="18"/>
                <w:szCs w:val="18"/>
              </w:rPr>
              <w:t>1</w:t>
            </w:r>
          </w:p>
        </w:tc>
        <w:tc>
          <w:tcPr>
            <w:tcW w:w="850" w:type="dxa"/>
            <w:tcBorders>
              <w:bottom w:val="single" w:sz="12" w:space="0" w:color="auto"/>
            </w:tcBorders>
            <w:tcMar>
              <w:top w:w="16" w:type="dxa"/>
              <w:left w:w="16" w:type="dxa"/>
              <w:bottom w:w="0" w:type="dxa"/>
              <w:right w:w="16" w:type="dxa"/>
            </w:tcMar>
            <w:vAlign w:val="center"/>
          </w:tcPr>
          <w:p w14:paraId="0E6A46D7" w14:textId="77777777" w:rsidR="00851754" w:rsidRPr="00040878" w:rsidRDefault="00851754">
            <w:pPr>
              <w:jc w:val="center"/>
              <w:rPr>
                <w:rFonts w:ascii="Arial Narrow" w:eastAsia="Arial Unicode MS" w:hAnsi="Arial Narrow"/>
                <w:bCs/>
                <w:color w:val="000000" w:themeColor="text1"/>
                <w:sz w:val="18"/>
                <w:szCs w:val="18"/>
              </w:rPr>
            </w:pPr>
          </w:p>
        </w:tc>
        <w:tc>
          <w:tcPr>
            <w:tcW w:w="8348" w:type="dxa"/>
            <w:tcBorders>
              <w:bottom w:val="single" w:sz="12" w:space="0" w:color="auto"/>
            </w:tcBorders>
            <w:tcMar>
              <w:top w:w="16" w:type="dxa"/>
              <w:left w:w="16" w:type="dxa"/>
              <w:bottom w:w="0" w:type="dxa"/>
              <w:right w:w="16" w:type="dxa"/>
            </w:tcMar>
            <w:vAlign w:val="center"/>
          </w:tcPr>
          <w:p w14:paraId="1E2C5AC8" w14:textId="77777777" w:rsidR="00851754" w:rsidRPr="00040878" w:rsidRDefault="008B1269" w:rsidP="00040878">
            <w:pPr>
              <w:spacing w:after="0"/>
              <w:jc w:val="left"/>
              <w:rPr>
                <w:rFonts w:ascii="Arial Narrow" w:hAnsi="Arial Narrow"/>
                <w:bCs/>
                <w:color w:val="000000" w:themeColor="text1"/>
                <w:sz w:val="18"/>
                <w:szCs w:val="18"/>
                <w:lang w:val="da-DK"/>
              </w:rPr>
            </w:pPr>
            <w:r w:rsidRPr="00040878">
              <w:rPr>
                <w:rFonts w:ascii="Arial Narrow" w:hAnsi="Arial Narrow"/>
                <w:bCs/>
                <w:color w:val="000000" w:themeColor="text1"/>
                <w:sz w:val="18"/>
                <w:szCs w:val="18"/>
                <w:lang w:val="da-DK"/>
              </w:rPr>
              <w:t>Flood 2008 (28</w:t>
            </w:r>
            <w:r w:rsidR="00851754" w:rsidRPr="00040878">
              <w:rPr>
                <w:rFonts w:ascii="Arial Narrow" w:hAnsi="Arial Narrow"/>
                <w:bCs/>
                <w:color w:val="000000" w:themeColor="text1"/>
                <w:sz w:val="18"/>
                <w:szCs w:val="18"/>
                <w:lang w:val="da-DK"/>
              </w:rPr>
              <w:t>% at 2m), Flood 2011 (</w:t>
            </w:r>
            <w:r w:rsidRPr="00040878">
              <w:rPr>
                <w:rFonts w:ascii="Arial Narrow" w:hAnsi="Arial Narrow"/>
                <w:bCs/>
                <w:color w:val="000000" w:themeColor="text1"/>
                <w:sz w:val="18"/>
                <w:szCs w:val="18"/>
                <w:lang w:val="da-DK"/>
              </w:rPr>
              <w:t>70</w:t>
            </w:r>
            <w:r w:rsidR="00851754" w:rsidRPr="00040878">
              <w:rPr>
                <w:rFonts w:ascii="Arial Narrow" w:hAnsi="Arial Narrow"/>
                <w:bCs/>
                <w:color w:val="000000" w:themeColor="text1"/>
                <w:sz w:val="18"/>
                <w:szCs w:val="18"/>
                <w:lang w:val="da-DK"/>
              </w:rPr>
              <w:t xml:space="preserve">% at 2m, </w:t>
            </w:r>
            <w:r w:rsidRPr="00040878">
              <w:rPr>
                <w:rFonts w:ascii="Arial Narrow" w:hAnsi="Arial Narrow"/>
                <w:bCs/>
                <w:color w:val="000000" w:themeColor="text1"/>
                <w:sz w:val="18"/>
                <w:szCs w:val="18"/>
                <w:lang w:val="da-DK"/>
              </w:rPr>
              <w:t>26</w:t>
            </w:r>
            <w:r w:rsidR="00851754" w:rsidRPr="00040878">
              <w:rPr>
                <w:rFonts w:ascii="Arial Narrow" w:hAnsi="Arial Narrow"/>
                <w:bCs/>
                <w:color w:val="000000" w:themeColor="text1"/>
                <w:sz w:val="18"/>
                <w:szCs w:val="18"/>
                <w:lang w:val="da-DK"/>
              </w:rPr>
              <w:t>% at 5m)</w:t>
            </w:r>
          </w:p>
        </w:tc>
      </w:tr>
      <w:bookmarkEnd w:id="434"/>
    </w:tbl>
    <w:p w14:paraId="685B821C" w14:textId="77777777" w:rsidR="008A1A24" w:rsidRPr="00342237" w:rsidRDefault="008A1A24" w:rsidP="00406BD7">
      <w:pPr>
        <w:rPr>
          <w:rStyle w:val="IntenseReference"/>
        </w:rPr>
      </w:pPr>
    </w:p>
    <w:p w14:paraId="199B66C2" w14:textId="77777777" w:rsidR="00216E77" w:rsidRPr="00B24C68" w:rsidRDefault="00216E77" w:rsidP="00406BD7">
      <w:pPr>
        <w:rPr>
          <w:rStyle w:val="IntenseReference"/>
        </w:rPr>
      </w:pPr>
      <w:r w:rsidRPr="00B24C68">
        <w:rPr>
          <w:rStyle w:val="IntenseReference"/>
        </w:rPr>
        <w:t xml:space="preserve">Note: As direct observations of impact were limited during the wide spread bleaching events of 1998 and 2002 tabulated values for these years are the estimated probability that each reef would have experienced a coral bleaching event as calculated using a Bayesian Network model (Wooldridge </w:t>
      </w:r>
      <w:r w:rsidR="0001742D">
        <w:rPr>
          <w:rStyle w:val="IntenseReference"/>
        </w:rPr>
        <w:t>&amp;</w:t>
      </w:r>
      <w:r w:rsidRPr="00B24C68">
        <w:rPr>
          <w:rStyle w:val="IntenseReference"/>
        </w:rPr>
        <w:t xml:space="preserve"> Done 2004). The network model allows information about site-specific physical variables (e.g. water quality, mixing strength, thermal history, wave regime) to be combined with satellite-derived estimates of sea surface temperature (SST) in order to provide a probability (= strength of belief) that a given coral community in a given patch of ocean would have experienced a coral bleaching event. Higher probabilities indicate a greater strength of belief in both the likelihood of a bleaching event and the severity of that event. Where impact was observed the proportional reduction in coral cover is included. For all other disturbances listed the proportional reductions in cover are based on direct observation.</w:t>
      </w:r>
    </w:p>
    <w:p w14:paraId="79C1DA3E" w14:textId="77777777" w:rsidR="008A1A24" w:rsidRPr="00E6709B" w:rsidRDefault="008A1A24">
      <w:pPr>
        <w:pStyle w:val="Table"/>
        <w:rPr>
          <w:noProof/>
          <w:color w:val="00B0F0"/>
          <w:lang w:val="da-DK" w:eastAsia="en-AU"/>
        </w:rPr>
        <w:sectPr w:rsidR="008A1A24" w:rsidRPr="00E6709B" w:rsidSect="006608FC">
          <w:pgSz w:w="16840" w:h="11907" w:orient="landscape" w:code="9"/>
          <w:pgMar w:top="1134" w:right="1440" w:bottom="1134" w:left="1440" w:header="709" w:footer="709" w:gutter="0"/>
          <w:cols w:space="708"/>
          <w:docGrid w:linePitch="360"/>
        </w:sectPr>
      </w:pPr>
    </w:p>
    <w:p w14:paraId="1CDE7E74" w14:textId="77777777" w:rsidR="00D05896" w:rsidRPr="006E3C16" w:rsidRDefault="0063376B" w:rsidP="0063376B">
      <w:pPr>
        <w:pStyle w:val="Caption"/>
        <w:rPr>
          <w:vanish/>
        </w:rPr>
      </w:pPr>
      <w:bookmarkStart w:id="435" w:name="_Ref460423845"/>
      <w:bookmarkStart w:id="436" w:name="_Toc437424464"/>
      <w:bookmarkStart w:id="437" w:name="_Toc437424588"/>
      <w:bookmarkStart w:id="438" w:name="_Toc437432517"/>
      <w:bookmarkStart w:id="439" w:name="_Toc437597663"/>
      <w:bookmarkStart w:id="440" w:name="_Toc460491685"/>
      <w:bookmarkStart w:id="441" w:name="_Toc392930519"/>
      <w:bookmarkStart w:id="442" w:name="_Toc374701578"/>
      <w:bookmarkStart w:id="443" w:name="_Toc430267655"/>
      <w:r w:rsidRPr="0063376B">
        <w:rPr>
          <w:rStyle w:val="Heading7Char"/>
          <w:rFonts w:eastAsia="SimSun"/>
        </w:rPr>
        <w:lastRenderedPageBreak/>
        <w:t xml:space="preserve">Table A </w:t>
      </w:r>
      <w:r w:rsidRPr="0063376B">
        <w:rPr>
          <w:rStyle w:val="Heading7Char"/>
          <w:rFonts w:eastAsia="SimSun"/>
        </w:rPr>
        <w:fldChar w:fldCharType="begin"/>
      </w:r>
      <w:r w:rsidRPr="0063376B">
        <w:rPr>
          <w:rStyle w:val="Heading7Char"/>
          <w:rFonts w:eastAsia="SimSun"/>
        </w:rPr>
        <w:instrText xml:space="preserve"> SEQ Table_A \* ARABIC </w:instrText>
      </w:r>
      <w:r w:rsidRPr="0063376B">
        <w:rPr>
          <w:rStyle w:val="Heading7Char"/>
          <w:rFonts w:eastAsia="SimSun"/>
        </w:rPr>
        <w:fldChar w:fldCharType="separate"/>
      </w:r>
      <w:r w:rsidR="00B61881">
        <w:rPr>
          <w:rStyle w:val="Heading7Char"/>
          <w:rFonts w:eastAsia="SimSun"/>
          <w:noProof/>
        </w:rPr>
        <w:t>3</w:t>
      </w:r>
      <w:r w:rsidRPr="0063376B">
        <w:rPr>
          <w:rStyle w:val="Heading7Char"/>
          <w:rFonts w:eastAsia="SimSun"/>
        </w:rPr>
        <w:fldChar w:fldCharType="end"/>
      </w:r>
      <w:bookmarkEnd w:id="435"/>
      <w:r w:rsidR="006E3C16" w:rsidRPr="0063376B">
        <w:rPr>
          <w:rStyle w:val="Heading7Char"/>
          <w:rFonts w:eastAsia="SimSun"/>
        </w:rPr>
        <w:t xml:space="preserve">: </w:t>
      </w:r>
      <w:r w:rsidR="008A1A24" w:rsidRPr="0063376B">
        <w:rPr>
          <w:rStyle w:val="Heading7Char"/>
          <w:rFonts w:eastAsia="SimSun"/>
        </w:rPr>
        <w:t xml:space="preserve">Report card </w:t>
      </w:r>
      <w:r w:rsidR="00782E3F" w:rsidRPr="0063376B">
        <w:rPr>
          <w:rStyle w:val="Heading7Char"/>
          <w:rFonts w:eastAsia="SimSun"/>
        </w:rPr>
        <w:t xml:space="preserve">index </w:t>
      </w:r>
      <w:r w:rsidR="008A1A24" w:rsidRPr="0063376B">
        <w:rPr>
          <w:rStyle w:val="Heading7Char"/>
          <w:rFonts w:eastAsia="SimSun"/>
        </w:rPr>
        <w:t>assessments</w:t>
      </w:r>
      <w:r w:rsidR="00D05896" w:rsidRPr="007304CF">
        <w:t>.</w:t>
      </w:r>
      <w:bookmarkEnd w:id="436"/>
      <w:bookmarkEnd w:id="437"/>
      <w:bookmarkEnd w:id="438"/>
      <w:bookmarkEnd w:id="439"/>
      <w:bookmarkEnd w:id="440"/>
      <w:r w:rsidR="00040878">
        <w:t xml:space="preserve"> </w:t>
      </w:r>
    </w:p>
    <w:p w14:paraId="1EA5DA6B" w14:textId="77777777" w:rsidR="00B202AC" w:rsidRPr="00B202AC" w:rsidRDefault="000462E4" w:rsidP="00B202AC">
      <w:pPr>
        <w:spacing w:after="0"/>
      </w:pPr>
      <w:r>
        <w:rPr>
          <w:rStyle w:val="IntenseReference"/>
          <w:rFonts w:eastAsia="SimSun"/>
        </w:rPr>
        <w:t>Benthic community condition for</w:t>
      </w:r>
      <w:r w:rsidRPr="00D05896">
        <w:rPr>
          <w:rStyle w:val="IntenseReference"/>
          <w:rFonts w:eastAsia="SimSun"/>
        </w:rPr>
        <w:t>t each reef and depth based on</w:t>
      </w:r>
      <w:r w:rsidR="008A1A24" w:rsidRPr="00D05896">
        <w:rPr>
          <w:rStyle w:val="IntenseReference"/>
          <w:rFonts w:eastAsia="SimSun"/>
        </w:rPr>
        <w:t xml:space="preserve"> </w:t>
      </w:r>
      <w:r w:rsidR="00D05896" w:rsidRPr="00D05896">
        <w:rPr>
          <w:rStyle w:val="IntenseReference"/>
          <w:rFonts w:eastAsia="SimSun"/>
        </w:rPr>
        <w:t xml:space="preserve">2015 </w:t>
      </w:r>
      <w:bookmarkEnd w:id="441"/>
      <w:bookmarkEnd w:id="442"/>
      <w:bookmarkEnd w:id="443"/>
      <w:r w:rsidR="00782E3F">
        <w:rPr>
          <w:rStyle w:val="IntenseReference"/>
          <w:rFonts w:eastAsia="SimSun"/>
        </w:rPr>
        <w:t xml:space="preserve">metric </w:t>
      </w:r>
      <w:r>
        <w:rPr>
          <w:rStyle w:val="IntenseReference"/>
          <w:rFonts w:eastAsia="SimSun"/>
        </w:rPr>
        <w:t>scores</w:t>
      </w:r>
      <w:r w:rsidRPr="00D05896">
        <w:rPr>
          <w:rStyle w:val="IntenseReference"/>
          <w:rFonts w:eastAsia="SimSun"/>
        </w:rPr>
        <w:t>.</w:t>
      </w:r>
      <w:r w:rsidR="00A85204">
        <w:rPr>
          <w:rStyle w:val="IntenseReference"/>
          <w:rFonts w:eastAsia="SimSun"/>
        </w:rPr>
        <w:t xml:space="preserve"> Coral index scores are colour coded </w:t>
      </w:r>
      <w:r w:rsidR="00474974">
        <w:rPr>
          <w:rStyle w:val="IntenseReference"/>
          <w:rFonts w:eastAsia="SimSun"/>
        </w:rPr>
        <w:t xml:space="preserve">by condition categories: red = very poor, orange = poor, yellow = moderate, light green = good and dark green = very good. Reefs within (sub) regions are ordered by increasing </w:t>
      </w:r>
      <w:r w:rsidR="004F4CA3">
        <w:rPr>
          <w:rStyle w:val="IntenseReference"/>
          <w:rFonts w:eastAsia="SimSun"/>
        </w:rPr>
        <w:t>chlorophyll a concentration in the water</w:t>
      </w:r>
      <w:r w:rsidR="00BA4FA9">
        <w:rPr>
          <w:rStyle w:val="IntenseReference"/>
          <w:rFonts w:eastAsia="SimSun"/>
        </w:rPr>
        <w:t xml:space="preserve"> (Table </w:t>
      </w:r>
      <w:r w:rsidR="00474974">
        <w:rPr>
          <w:rStyle w:val="IntenseReference"/>
          <w:rFonts w:eastAsia="SimSun"/>
        </w:rPr>
        <w:t>1 4).</w:t>
      </w:r>
    </w:p>
    <w:tbl>
      <w:tblPr>
        <w:tblpPr w:leftFromText="180" w:rightFromText="180" w:vertAnchor="text" w:tblpY="1"/>
        <w:tblOverlap w:val="never"/>
        <w:tblW w:w="9513" w:type="dxa"/>
        <w:tblInd w:w="93" w:type="dxa"/>
        <w:tblLayout w:type="fixed"/>
        <w:tblLook w:val="04A0" w:firstRow="1" w:lastRow="0" w:firstColumn="1" w:lastColumn="0" w:noHBand="0" w:noVBand="1"/>
        <w:tblCaption w:val="Table A1 3: Report card index assessments."/>
        <w:tblDescription w:val="Table A1 3: Report card index assessments. This table for regions Daintree, Russell Mulgrave and Herbert Tully.  Benthic community condition fort each reef and depth based on 2015 metric scores. Coral index scores are colour coded by condition categories: red = very poor, orange = poor, yellow = moderate, light green = good and dark green = very good. Reefs within (sub) regions are ordered by increasing chlorophyll a concentration in the water (Table A1 4)."/>
      </w:tblPr>
      <w:tblGrid>
        <w:gridCol w:w="875"/>
        <w:gridCol w:w="1611"/>
        <w:gridCol w:w="81"/>
        <w:gridCol w:w="383"/>
        <w:gridCol w:w="1034"/>
        <w:gridCol w:w="993"/>
        <w:gridCol w:w="1134"/>
        <w:gridCol w:w="1134"/>
        <w:gridCol w:w="1275"/>
        <w:gridCol w:w="993"/>
      </w:tblGrid>
      <w:tr w:rsidR="00720430" w:rsidRPr="00C15A2E" w14:paraId="3985A381" w14:textId="77777777" w:rsidTr="007232CE">
        <w:trPr>
          <w:trHeight w:val="440"/>
        </w:trPr>
        <w:tc>
          <w:tcPr>
            <w:tcW w:w="8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B91023" w14:textId="77777777" w:rsidR="00720430" w:rsidRPr="002710DB" w:rsidRDefault="00720430" w:rsidP="0001401C">
            <w:pPr>
              <w:rPr>
                <w:rFonts w:ascii="Arial Narrow" w:hAnsi="Arial Narrow"/>
                <w:b/>
                <w:bCs/>
                <w:sz w:val="20"/>
              </w:rPr>
            </w:pPr>
            <w:r w:rsidRPr="002710DB">
              <w:rPr>
                <w:rFonts w:ascii="Arial Narrow" w:hAnsi="Arial Narrow"/>
                <w:b/>
                <w:bCs/>
                <w:sz w:val="20"/>
              </w:rPr>
              <w:t>Region</w:t>
            </w:r>
          </w:p>
          <w:p w14:paraId="65AD03AD" w14:textId="77777777" w:rsidR="00720430" w:rsidRPr="002710DB" w:rsidRDefault="00720430" w:rsidP="0001401C">
            <w:pPr>
              <w:jc w:val="center"/>
              <w:rPr>
                <w:rFonts w:ascii="Arial Narrow" w:hAnsi="Arial Narrow"/>
                <w:b/>
                <w:bCs/>
                <w:sz w:val="20"/>
              </w:rPr>
            </w:pPr>
          </w:p>
        </w:tc>
        <w:tc>
          <w:tcPr>
            <w:tcW w:w="1611" w:type="dxa"/>
            <w:tcBorders>
              <w:top w:val="single" w:sz="4" w:space="0" w:color="auto"/>
              <w:left w:val="nil"/>
              <w:bottom w:val="single" w:sz="4" w:space="0" w:color="auto"/>
              <w:right w:val="single" w:sz="4" w:space="0" w:color="auto"/>
            </w:tcBorders>
            <w:shd w:val="clear" w:color="auto" w:fill="auto"/>
            <w:noWrap/>
            <w:vAlign w:val="bottom"/>
            <w:hideMark/>
          </w:tcPr>
          <w:p w14:paraId="3972F271" w14:textId="77777777" w:rsidR="00720430" w:rsidRPr="007672BF" w:rsidRDefault="00720430" w:rsidP="0001401C">
            <w:pPr>
              <w:rPr>
                <w:rFonts w:ascii="Arial Narrow" w:hAnsi="Arial Narrow"/>
                <w:bCs/>
                <w:sz w:val="20"/>
              </w:rPr>
            </w:pPr>
            <w:r w:rsidRPr="007672BF">
              <w:rPr>
                <w:rFonts w:ascii="Arial Narrow" w:hAnsi="Arial Narrow"/>
                <w:bCs/>
                <w:sz w:val="20"/>
              </w:rPr>
              <w:t>Reef</w:t>
            </w:r>
          </w:p>
        </w:tc>
        <w:tc>
          <w:tcPr>
            <w:tcW w:w="464" w:type="dxa"/>
            <w:gridSpan w:val="2"/>
            <w:tcBorders>
              <w:top w:val="single" w:sz="4" w:space="0" w:color="auto"/>
              <w:left w:val="nil"/>
              <w:bottom w:val="single" w:sz="4" w:space="0" w:color="auto"/>
              <w:right w:val="single" w:sz="4" w:space="0" w:color="auto"/>
            </w:tcBorders>
            <w:shd w:val="clear" w:color="auto" w:fill="auto"/>
            <w:noWrap/>
            <w:textDirection w:val="btLr"/>
            <w:vAlign w:val="center"/>
            <w:hideMark/>
          </w:tcPr>
          <w:p w14:paraId="09CBB6CA" w14:textId="77777777" w:rsidR="00720430" w:rsidRPr="007672BF" w:rsidRDefault="00720430" w:rsidP="0001401C">
            <w:pPr>
              <w:jc w:val="center"/>
              <w:rPr>
                <w:rFonts w:ascii="Arial Narrow" w:hAnsi="Arial Narrow"/>
                <w:bCs/>
                <w:sz w:val="20"/>
              </w:rPr>
            </w:pPr>
            <w:r w:rsidRPr="007672BF">
              <w:rPr>
                <w:rFonts w:ascii="Arial Narrow" w:hAnsi="Arial Narrow"/>
                <w:bCs/>
                <w:sz w:val="20"/>
              </w:rPr>
              <w:t>depth</w:t>
            </w:r>
          </w:p>
        </w:tc>
        <w:tc>
          <w:tcPr>
            <w:tcW w:w="1034" w:type="dxa"/>
            <w:tcBorders>
              <w:top w:val="single" w:sz="4" w:space="0" w:color="auto"/>
              <w:left w:val="nil"/>
              <w:bottom w:val="single" w:sz="4" w:space="0" w:color="auto"/>
              <w:right w:val="single" w:sz="4" w:space="0" w:color="auto"/>
            </w:tcBorders>
            <w:shd w:val="clear" w:color="auto" w:fill="auto"/>
            <w:vAlign w:val="center"/>
            <w:hideMark/>
          </w:tcPr>
          <w:p w14:paraId="67301FC6" w14:textId="77777777" w:rsidR="00720430" w:rsidRPr="007672BF" w:rsidRDefault="00720430" w:rsidP="0001401C">
            <w:pPr>
              <w:jc w:val="center"/>
              <w:rPr>
                <w:rFonts w:ascii="Arial Narrow" w:hAnsi="Arial Narrow"/>
                <w:bCs/>
                <w:sz w:val="20"/>
              </w:rPr>
            </w:pPr>
            <w:r w:rsidRPr="007672BF">
              <w:rPr>
                <w:rFonts w:ascii="Arial Narrow" w:hAnsi="Arial Narrow"/>
                <w:bCs/>
                <w:sz w:val="20"/>
              </w:rPr>
              <w:t>Coral cover</w:t>
            </w:r>
          </w:p>
        </w:tc>
        <w:tc>
          <w:tcPr>
            <w:tcW w:w="993" w:type="dxa"/>
            <w:tcBorders>
              <w:top w:val="single" w:sz="4" w:space="0" w:color="auto"/>
              <w:left w:val="nil"/>
              <w:bottom w:val="single" w:sz="4" w:space="0" w:color="auto"/>
              <w:right w:val="single" w:sz="4" w:space="0" w:color="auto"/>
            </w:tcBorders>
            <w:shd w:val="clear" w:color="auto" w:fill="auto"/>
            <w:vAlign w:val="center"/>
            <w:hideMark/>
          </w:tcPr>
          <w:p w14:paraId="3C3FD834" w14:textId="77777777" w:rsidR="00720430" w:rsidRPr="007672BF" w:rsidRDefault="00720430" w:rsidP="002834D0">
            <w:pPr>
              <w:jc w:val="center"/>
              <w:rPr>
                <w:rFonts w:ascii="Arial Narrow" w:hAnsi="Arial Narrow"/>
                <w:bCs/>
                <w:sz w:val="20"/>
              </w:rPr>
            </w:pPr>
            <w:r w:rsidRPr="007672BF">
              <w:rPr>
                <w:rFonts w:ascii="Arial Narrow" w:hAnsi="Arial Narrow"/>
                <w:bCs/>
                <w:sz w:val="20"/>
              </w:rPr>
              <w:t xml:space="preserve">Juvenile corals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78562498" w14:textId="77777777" w:rsidR="00720430" w:rsidRPr="007672BF" w:rsidRDefault="00720430" w:rsidP="0001401C">
            <w:pPr>
              <w:jc w:val="center"/>
              <w:rPr>
                <w:rFonts w:ascii="Arial Narrow" w:hAnsi="Arial Narrow"/>
                <w:bCs/>
                <w:sz w:val="20"/>
              </w:rPr>
            </w:pPr>
            <w:r w:rsidRPr="007672BF">
              <w:rPr>
                <w:rFonts w:ascii="Arial Narrow" w:hAnsi="Arial Narrow"/>
                <w:bCs/>
                <w:sz w:val="20"/>
              </w:rPr>
              <w:t>Macro- algae</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1BC6D607" w14:textId="77777777" w:rsidR="00720430" w:rsidRPr="007672BF" w:rsidRDefault="00720430" w:rsidP="0001401C">
            <w:pPr>
              <w:jc w:val="center"/>
              <w:rPr>
                <w:rFonts w:ascii="Arial Narrow" w:hAnsi="Arial Narrow"/>
                <w:bCs/>
                <w:sz w:val="20"/>
              </w:rPr>
            </w:pPr>
            <w:r w:rsidRPr="007672BF">
              <w:rPr>
                <w:rFonts w:ascii="Arial Narrow" w:hAnsi="Arial Narrow"/>
                <w:bCs/>
                <w:sz w:val="20"/>
              </w:rPr>
              <w:t>Cover change</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0D994B" w14:textId="77777777" w:rsidR="00720430" w:rsidRDefault="00720430" w:rsidP="0001401C">
            <w:pPr>
              <w:jc w:val="center"/>
              <w:rPr>
                <w:rFonts w:ascii="Arial Narrow" w:hAnsi="Arial Narrow"/>
                <w:bCs/>
                <w:color w:val="000000" w:themeColor="text1"/>
                <w:sz w:val="20"/>
              </w:rPr>
            </w:pPr>
            <w:r>
              <w:rPr>
                <w:rFonts w:ascii="Arial Narrow" w:hAnsi="Arial Narrow"/>
                <w:bCs/>
                <w:color w:val="000000" w:themeColor="text1"/>
                <w:sz w:val="20"/>
              </w:rPr>
              <w:t>Coral</w:t>
            </w:r>
          </w:p>
          <w:p w14:paraId="42BEA86A" w14:textId="77777777" w:rsidR="00720430" w:rsidRPr="004F1187" w:rsidRDefault="00973735" w:rsidP="0001401C">
            <w:pPr>
              <w:jc w:val="center"/>
              <w:rPr>
                <w:rFonts w:ascii="Arial Narrow" w:hAnsi="Arial Narrow"/>
                <w:bCs/>
                <w:color w:val="000000" w:themeColor="text1"/>
                <w:sz w:val="20"/>
              </w:rPr>
            </w:pPr>
            <w:r>
              <w:rPr>
                <w:rFonts w:ascii="Arial Narrow" w:hAnsi="Arial Narrow"/>
                <w:bCs/>
                <w:color w:val="000000" w:themeColor="text1"/>
                <w:sz w:val="20"/>
              </w:rPr>
              <w:t>c</w:t>
            </w:r>
            <w:r w:rsidR="00720430">
              <w:rPr>
                <w:rFonts w:ascii="Arial Narrow" w:hAnsi="Arial Narrow"/>
                <w:bCs/>
                <w:color w:val="000000" w:themeColor="text1"/>
                <w:sz w:val="20"/>
              </w:rPr>
              <w:t>omposition</w:t>
            </w:r>
          </w:p>
        </w:tc>
        <w:tc>
          <w:tcPr>
            <w:tcW w:w="993" w:type="dxa"/>
            <w:tcBorders>
              <w:top w:val="single" w:sz="4" w:space="0" w:color="auto"/>
              <w:left w:val="single" w:sz="4" w:space="0" w:color="auto"/>
              <w:bottom w:val="single" w:sz="4" w:space="0" w:color="auto"/>
              <w:right w:val="single" w:sz="4" w:space="0" w:color="auto"/>
            </w:tcBorders>
          </w:tcPr>
          <w:p w14:paraId="274FC001" w14:textId="77777777" w:rsidR="00720430" w:rsidRDefault="00720430" w:rsidP="0001401C">
            <w:pPr>
              <w:jc w:val="center"/>
              <w:rPr>
                <w:rFonts w:ascii="Arial Narrow" w:hAnsi="Arial Narrow"/>
                <w:bCs/>
                <w:color w:val="000000" w:themeColor="text1"/>
                <w:sz w:val="20"/>
              </w:rPr>
            </w:pPr>
            <w:r>
              <w:rPr>
                <w:rFonts w:ascii="Arial Narrow" w:hAnsi="Arial Narrow"/>
                <w:bCs/>
                <w:color w:val="000000" w:themeColor="text1"/>
                <w:sz w:val="20"/>
              </w:rPr>
              <w:t>Coral index</w:t>
            </w:r>
          </w:p>
        </w:tc>
      </w:tr>
      <w:tr w:rsidR="000A3DCB" w:rsidRPr="00C15A2E" w14:paraId="15A20A0E" w14:textId="77777777" w:rsidTr="007232CE">
        <w:trPr>
          <w:trHeight w:val="185"/>
        </w:trPr>
        <w:tc>
          <w:tcPr>
            <w:tcW w:w="875" w:type="dxa"/>
            <w:vMerge w:val="restart"/>
            <w:tcBorders>
              <w:top w:val="single" w:sz="4" w:space="0" w:color="auto"/>
              <w:left w:val="single" w:sz="4" w:space="0" w:color="auto"/>
              <w:right w:val="single" w:sz="4" w:space="0" w:color="auto"/>
            </w:tcBorders>
            <w:shd w:val="clear" w:color="auto" w:fill="auto"/>
            <w:noWrap/>
            <w:textDirection w:val="btLr"/>
            <w:vAlign w:val="center"/>
          </w:tcPr>
          <w:p w14:paraId="56DE6E18" w14:textId="77777777" w:rsidR="000A3DCB" w:rsidRPr="002710DB" w:rsidRDefault="000A3DCB" w:rsidP="00474974">
            <w:pPr>
              <w:jc w:val="center"/>
              <w:rPr>
                <w:rFonts w:ascii="Arial Narrow" w:hAnsi="Arial Narrow"/>
                <w:b/>
                <w:bCs/>
                <w:sz w:val="20"/>
              </w:rPr>
            </w:pPr>
            <w:r w:rsidRPr="002710DB">
              <w:rPr>
                <w:rFonts w:ascii="Arial Narrow" w:hAnsi="Arial Narrow"/>
                <w:b/>
                <w:bCs/>
                <w:sz w:val="20"/>
              </w:rPr>
              <w:t>Daintree</w:t>
            </w:r>
          </w:p>
        </w:tc>
        <w:tc>
          <w:tcPr>
            <w:tcW w:w="1611" w:type="dxa"/>
            <w:tcBorders>
              <w:top w:val="nil"/>
              <w:left w:val="single" w:sz="4" w:space="0" w:color="auto"/>
              <w:bottom w:val="single" w:sz="4" w:space="0" w:color="auto"/>
              <w:right w:val="single" w:sz="4" w:space="0" w:color="auto"/>
            </w:tcBorders>
            <w:shd w:val="clear" w:color="auto" w:fill="auto"/>
            <w:noWrap/>
            <w:vAlign w:val="center"/>
          </w:tcPr>
          <w:p w14:paraId="2E326D94" w14:textId="77777777" w:rsidR="000A3DCB" w:rsidRPr="007672BF" w:rsidRDefault="000A3DCB" w:rsidP="000A3DCB">
            <w:pPr>
              <w:rPr>
                <w:rFonts w:ascii="Arial Narrow" w:hAnsi="Arial Narrow"/>
                <w:bCs/>
                <w:sz w:val="20"/>
              </w:rPr>
            </w:pPr>
            <w:r>
              <w:rPr>
                <w:rFonts w:ascii="Arial Narrow" w:hAnsi="Arial Narrow"/>
                <w:bCs/>
                <w:sz w:val="20"/>
              </w:rPr>
              <w:t>Low Islet</w:t>
            </w:r>
          </w:p>
        </w:tc>
        <w:tc>
          <w:tcPr>
            <w:tcW w:w="464" w:type="dxa"/>
            <w:gridSpan w:val="2"/>
            <w:tcBorders>
              <w:top w:val="nil"/>
              <w:left w:val="nil"/>
              <w:bottom w:val="single" w:sz="4" w:space="0" w:color="auto"/>
              <w:right w:val="single" w:sz="4" w:space="0" w:color="auto"/>
            </w:tcBorders>
            <w:shd w:val="clear" w:color="auto" w:fill="auto"/>
            <w:noWrap/>
            <w:vAlign w:val="bottom"/>
          </w:tcPr>
          <w:p w14:paraId="5FA29EF4" w14:textId="77777777" w:rsidR="000A3DCB" w:rsidRPr="007672BF" w:rsidRDefault="000A3DCB" w:rsidP="000A3DCB">
            <w:pPr>
              <w:jc w:val="center"/>
              <w:rPr>
                <w:rFonts w:ascii="Arial Narrow" w:hAnsi="Arial Narrow"/>
                <w:bCs/>
                <w:sz w:val="20"/>
              </w:rPr>
            </w:pPr>
            <w:r>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7CB8EED2"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0.49</w:t>
            </w:r>
          </w:p>
        </w:tc>
        <w:tc>
          <w:tcPr>
            <w:tcW w:w="993" w:type="dxa"/>
            <w:tcBorders>
              <w:top w:val="nil"/>
              <w:left w:val="nil"/>
              <w:bottom w:val="single" w:sz="4" w:space="0" w:color="auto"/>
              <w:right w:val="single" w:sz="4" w:space="0" w:color="auto"/>
            </w:tcBorders>
            <w:shd w:val="clear" w:color="auto" w:fill="auto"/>
            <w:noWrap/>
            <w:vAlign w:val="center"/>
          </w:tcPr>
          <w:p w14:paraId="5DAEFBFA"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0.73</w:t>
            </w:r>
          </w:p>
        </w:tc>
        <w:tc>
          <w:tcPr>
            <w:tcW w:w="1134" w:type="dxa"/>
            <w:tcBorders>
              <w:top w:val="nil"/>
              <w:left w:val="nil"/>
              <w:bottom w:val="single" w:sz="4" w:space="0" w:color="auto"/>
              <w:right w:val="single" w:sz="4" w:space="0" w:color="auto"/>
            </w:tcBorders>
            <w:shd w:val="clear" w:color="auto" w:fill="auto"/>
            <w:noWrap/>
            <w:vAlign w:val="center"/>
          </w:tcPr>
          <w:p w14:paraId="1D05923E"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79C827FE"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1.00</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0EB32274"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093D7444" w14:textId="77777777" w:rsidR="000A3DCB" w:rsidRPr="000A3DCB" w:rsidRDefault="000A3DCB" w:rsidP="000A3DCB">
            <w:pPr>
              <w:jc w:val="center"/>
              <w:rPr>
                <w:rFonts w:ascii="Arial Narrow" w:hAnsi="Arial Narrow"/>
                <w:color w:val="000000"/>
                <w:sz w:val="20"/>
              </w:rPr>
            </w:pPr>
            <w:r w:rsidRPr="000A3DCB">
              <w:rPr>
                <w:rFonts w:ascii="Arial Narrow" w:hAnsi="Arial Narrow"/>
                <w:color w:val="000000"/>
                <w:sz w:val="20"/>
              </w:rPr>
              <w:t>0.74</w:t>
            </w:r>
          </w:p>
        </w:tc>
      </w:tr>
      <w:tr w:rsidR="000A3DCB" w:rsidRPr="00C15A2E" w14:paraId="1B3000DC" w14:textId="77777777" w:rsidTr="007232CE">
        <w:trPr>
          <w:trHeight w:val="185"/>
        </w:trPr>
        <w:tc>
          <w:tcPr>
            <w:tcW w:w="875" w:type="dxa"/>
            <w:vMerge/>
            <w:tcBorders>
              <w:left w:val="single" w:sz="4" w:space="0" w:color="auto"/>
              <w:right w:val="single" w:sz="4" w:space="0" w:color="auto"/>
            </w:tcBorders>
            <w:shd w:val="clear" w:color="auto" w:fill="auto"/>
            <w:noWrap/>
            <w:textDirection w:val="btLr"/>
            <w:vAlign w:val="center"/>
            <w:hideMark/>
          </w:tcPr>
          <w:p w14:paraId="04687B27" w14:textId="77777777" w:rsidR="000A3DCB" w:rsidRPr="002710DB" w:rsidRDefault="000A3DCB" w:rsidP="0001401C">
            <w:pPr>
              <w:jc w:val="center"/>
              <w:rPr>
                <w:rFonts w:ascii="Arial Narrow" w:hAnsi="Arial Narrow"/>
                <w:b/>
                <w:bCs/>
                <w:sz w:val="20"/>
              </w:rPr>
            </w:pPr>
          </w:p>
        </w:tc>
        <w:tc>
          <w:tcPr>
            <w:tcW w:w="161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494642" w14:textId="77777777" w:rsidR="000A3DCB" w:rsidRPr="007672BF" w:rsidRDefault="000A3DCB" w:rsidP="0001401C">
            <w:pPr>
              <w:rPr>
                <w:rFonts w:ascii="Arial Narrow" w:hAnsi="Arial Narrow"/>
                <w:bCs/>
                <w:sz w:val="20"/>
              </w:rPr>
            </w:pPr>
            <w:r w:rsidRPr="007672BF">
              <w:rPr>
                <w:rFonts w:ascii="Arial Narrow" w:hAnsi="Arial Narrow"/>
                <w:bCs/>
                <w:sz w:val="20"/>
              </w:rPr>
              <w:t>Snapper North</w:t>
            </w:r>
          </w:p>
        </w:tc>
        <w:tc>
          <w:tcPr>
            <w:tcW w:w="464" w:type="dxa"/>
            <w:gridSpan w:val="2"/>
            <w:tcBorders>
              <w:top w:val="nil"/>
              <w:left w:val="nil"/>
              <w:bottom w:val="single" w:sz="4" w:space="0" w:color="auto"/>
              <w:right w:val="single" w:sz="4" w:space="0" w:color="auto"/>
            </w:tcBorders>
            <w:shd w:val="clear" w:color="auto" w:fill="auto"/>
            <w:noWrap/>
            <w:vAlign w:val="bottom"/>
            <w:hideMark/>
          </w:tcPr>
          <w:p w14:paraId="11192992" w14:textId="77777777" w:rsidR="000A3DCB" w:rsidRPr="007672BF" w:rsidRDefault="000A3DCB" w:rsidP="0001401C">
            <w:pPr>
              <w:jc w:val="center"/>
              <w:rPr>
                <w:rFonts w:ascii="Arial Narrow" w:hAnsi="Arial Narrow"/>
                <w:bCs/>
                <w:sz w:val="20"/>
              </w:rPr>
            </w:pPr>
            <w:r w:rsidRPr="007672BF">
              <w:rPr>
                <w:rFonts w:ascii="Arial Narrow" w:hAnsi="Arial Narrow"/>
                <w:bCs/>
                <w:sz w:val="20"/>
              </w:rPr>
              <w:t>2</w:t>
            </w:r>
          </w:p>
        </w:tc>
        <w:tc>
          <w:tcPr>
            <w:tcW w:w="1034" w:type="dxa"/>
            <w:tcBorders>
              <w:top w:val="nil"/>
              <w:left w:val="nil"/>
              <w:bottom w:val="single" w:sz="4" w:space="0" w:color="auto"/>
              <w:right w:val="single" w:sz="4" w:space="0" w:color="auto"/>
            </w:tcBorders>
            <w:shd w:val="clear" w:color="auto" w:fill="auto"/>
            <w:noWrap/>
            <w:vAlign w:val="center"/>
          </w:tcPr>
          <w:p w14:paraId="0D5C867B"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0.09</w:t>
            </w:r>
          </w:p>
        </w:tc>
        <w:tc>
          <w:tcPr>
            <w:tcW w:w="993" w:type="dxa"/>
            <w:tcBorders>
              <w:top w:val="nil"/>
              <w:left w:val="nil"/>
              <w:bottom w:val="single" w:sz="4" w:space="0" w:color="auto"/>
              <w:right w:val="single" w:sz="4" w:space="0" w:color="auto"/>
            </w:tcBorders>
            <w:shd w:val="clear" w:color="auto" w:fill="auto"/>
            <w:noWrap/>
            <w:vAlign w:val="center"/>
          </w:tcPr>
          <w:p w14:paraId="319FD841" w14:textId="77777777" w:rsidR="000A3DCB" w:rsidRPr="006608FC" w:rsidRDefault="00911870" w:rsidP="000A3DCB">
            <w:pPr>
              <w:jc w:val="center"/>
              <w:rPr>
                <w:rFonts w:ascii="Arial Narrow" w:hAnsi="Arial Narrow"/>
                <w:color w:val="000000"/>
                <w:sz w:val="20"/>
              </w:rPr>
            </w:pPr>
            <w:r>
              <w:rPr>
                <w:rFonts w:ascii="Arial Narrow" w:hAnsi="Arial Narrow"/>
                <w:color w:val="000000"/>
                <w:sz w:val="20"/>
              </w:rPr>
              <w:t>0.06</w:t>
            </w:r>
          </w:p>
        </w:tc>
        <w:tc>
          <w:tcPr>
            <w:tcW w:w="1134" w:type="dxa"/>
            <w:tcBorders>
              <w:top w:val="nil"/>
              <w:left w:val="nil"/>
              <w:bottom w:val="single" w:sz="4" w:space="0" w:color="auto"/>
              <w:right w:val="single" w:sz="4" w:space="0" w:color="auto"/>
            </w:tcBorders>
            <w:shd w:val="clear" w:color="auto" w:fill="auto"/>
            <w:noWrap/>
            <w:vAlign w:val="center"/>
          </w:tcPr>
          <w:p w14:paraId="5C37F899" w14:textId="77777777" w:rsidR="000A3DCB" w:rsidRPr="006608FC" w:rsidRDefault="00911870" w:rsidP="000A3DCB">
            <w:pPr>
              <w:jc w:val="center"/>
              <w:rPr>
                <w:rFonts w:ascii="Arial Narrow" w:hAnsi="Arial Narrow"/>
                <w:color w:val="000000"/>
                <w:sz w:val="20"/>
              </w:rPr>
            </w:pPr>
            <w:r>
              <w:rPr>
                <w:rFonts w:ascii="Arial Narrow" w:hAnsi="Arial Narrow"/>
                <w:color w:val="000000"/>
                <w:sz w:val="20"/>
              </w:rPr>
              <w:t>0</w:t>
            </w:r>
          </w:p>
        </w:tc>
        <w:tc>
          <w:tcPr>
            <w:tcW w:w="1134" w:type="dxa"/>
            <w:tcBorders>
              <w:top w:val="nil"/>
              <w:left w:val="nil"/>
              <w:bottom w:val="single" w:sz="4" w:space="0" w:color="auto"/>
              <w:right w:val="single" w:sz="4" w:space="0" w:color="auto"/>
            </w:tcBorders>
            <w:shd w:val="clear" w:color="auto" w:fill="auto"/>
            <w:noWrap/>
            <w:vAlign w:val="center"/>
          </w:tcPr>
          <w:p w14:paraId="6A48EE41"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0.34</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0AE92A4E"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0.00</w:t>
            </w:r>
          </w:p>
        </w:tc>
        <w:tc>
          <w:tcPr>
            <w:tcW w:w="993" w:type="dxa"/>
            <w:tcBorders>
              <w:top w:val="nil"/>
              <w:left w:val="single" w:sz="4" w:space="0" w:color="auto"/>
              <w:bottom w:val="single" w:sz="4" w:space="0" w:color="auto"/>
              <w:right w:val="single" w:sz="4" w:space="0" w:color="auto"/>
            </w:tcBorders>
            <w:shd w:val="clear" w:color="auto" w:fill="FF0000"/>
            <w:vAlign w:val="center"/>
          </w:tcPr>
          <w:p w14:paraId="2E089B06" w14:textId="77777777" w:rsidR="000A3DCB" w:rsidRPr="000A3DCB" w:rsidRDefault="000A3DCB" w:rsidP="000A3DCB">
            <w:pPr>
              <w:jc w:val="center"/>
              <w:rPr>
                <w:rFonts w:ascii="Arial Narrow" w:hAnsi="Arial Narrow"/>
                <w:color w:val="000000"/>
                <w:sz w:val="20"/>
              </w:rPr>
            </w:pPr>
            <w:r w:rsidRPr="000A3DCB">
              <w:rPr>
                <w:rFonts w:ascii="Arial Narrow" w:hAnsi="Arial Narrow"/>
                <w:color w:val="000000"/>
                <w:sz w:val="20"/>
              </w:rPr>
              <w:t>0.10</w:t>
            </w:r>
          </w:p>
        </w:tc>
      </w:tr>
      <w:tr w:rsidR="000A3DCB" w:rsidRPr="00C15A2E" w14:paraId="2EAA7CCE" w14:textId="77777777" w:rsidTr="007232CE">
        <w:trPr>
          <w:trHeight w:val="185"/>
        </w:trPr>
        <w:tc>
          <w:tcPr>
            <w:tcW w:w="875" w:type="dxa"/>
            <w:vMerge/>
            <w:tcBorders>
              <w:left w:val="single" w:sz="4" w:space="0" w:color="auto"/>
              <w:right w:val="single" w:sz="4" w:space="0" w:color="auto"/>
            </w:tcBorders>
            <w:vAlign w:val="center"/>
            <w:hideMark/>
          </w:tcPr>
          <w:p w14:paraId="1B9DBCEF" w14:textId="77777777" w:rsidR="000A3DCB" w:rsidRPr="002710DB" w:rsidRDefault="000A3DCB" w:rsidP="0001401C">
            <w:pPr>
              <w:rPr>
                <w:rFonts w:ascii="Arial Narrow" w:hAnsi="Arial Narrow"/>
                <w:b/>
                <w:bCs/>
                <w:sz w:val="20"/>
              </w:rPr>
            </w:pPr>
          </w:p>
        </w:tc>
        <w:tc>
          <w:tcPr>
            <w:tcW w:w="1611" w:type="dxa"/>
            <w:vMerge/>
            <w:tcBorders>
              <w:top w:val="nil"/>
              <w:left w:val="single" w:sz="4" w:space="0" w:color="auto"/>
              <w:bottom w:val="single" w:sz="4" w:space="0" w:color="auto"/>
              <w:right w:val="single" w:sz="4" w:space="0" w:color="auto"/>
            </w:tcBorders>
            <w:vAlign w:val="center"/>
            <w:hideMark/>
          </w:tcPr>
          <w:p w14:paraId="0D65DB78" w14:textId="77777777" w:rsidR="000A3DCB" w:rsidRPr="002710DB" w:rsidRDefault="000A3DCB" w:rsidP="0001401C">
            <w:pPr>
              <w:rPr>
                <w:rFonts w:ascii="Arial Narrow" w:hAnsi="Arial Narrow"/>
                <w:bCs/>
                <w:sz w:val="20"/>
              </w:rPr>
            </w:pPr>
          </w:p>
        </w:tc>
        <w:tc>
          <w:tcPr>
            <w:tcW w:w="464" w:type="dxa"/>
            <w:gridSpan w:val="2"/>
            <w:tcBorders>
              <w:top w:val="nil"/>
              <w:left w:val="nil"/>
              <w:bottom w:val="single" w:sz="4" w:space="0" w:color="auto"/>
              <w:right w:val="single" w:sz="4" w:space="0" w:color="auto"/>
            </w:tcBorders>
            <w:shd w:val="clear" w:color="auto" w:fill="auto"/>
            <w:noWrap/>
            <w:vAlign w:val="bottom"/>
            <w:hideMark/>
          </w:tcPr>
          <w:p w14:paraId="17A13861" w14:textId="77777777" w:rsidR="000A3DCB" w:rsidRPr="002710DB" w:rsidRDefault="000A3DCB" w:rsidP="0001401C">
            <w:pPr>
              <w:jc w:val="center"/>
              <w:rPr>
                <w:rFonts w:ascii="Arial Narrow" w:hAnsi="Arial Narrow"/>
                <w:bCs/>
                <w:sz w:val="20"/>
              </w:rPr>
            </w:pPr>
            <w:r w:rsidRPr="002710DB">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1EFC940B"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0.29</w:t>
            </w:r>
          </w:p>
        </w:tc>
        <w:tc>
          <w:tcPr>
            <w:tcW w:w="993" w:type="dxa"/>
            <w:tcBorders>
              <w:top w:val="nil"/>
              <w:left w:val="nil"/>
              <w:bottom w:val="single" w:sz="4" w:space="0" w:color="auto"/>
              <w:right w:val="single" w:sz="4" w:space="0" w:color="auto"/>
            </w:tcBorders>
            <w:shd w:val="clear" w:color="auto" w:fill="auto"/>
            <w:noWrap/>
            <w:vAlign w:val="center"/>
          </w:tcPr>
          <w:p w14:paraId="5AC82351" w14:textId="77777777" w:rsidR="000A3DCB" w:rsidRPr="006608FC" w:rsidRDefault="00911870" w:rsidP="000A3DCB">
            <w:pPr>
              <w:jc w:val="center"/>
              <w:rPr>
                <w:rFonts w:ascii="Arial Narrow" w:hAnsi="Arial Narrow"/>
                <w:color w:val="000000"/>
                <w:sz w:val="20"/>
              </w:rPr>
            </w:pPr>
            <w:r>
              <w:rPr>
                <w:rFonts w:ascii="Arial Narrow" w:hAnsi="Arial Narrow"/>
                <w:color w:val="000000"/>
                <w:sz w:val="20"/>
              </w:rPr>
              <w:t>0.11</w:t>
            </w:r>
          </w:p>
        </w:tc>
        <w:tc>
          <w:tcPr>
            <w:tcW w:w="1134" w:type="dxa"/>
            <w:tcBorders>
              <w:top w:val="nil"/>
              <w:left w:val="nil"/>
              <w:bottom w:val="single" w:sz="4" w:space="0" w:color="auto"/>
              <w:right w:val="single" w:sz="4" w:space="0" w:color="auto"/>
            </w:tcBorders>
            <w:shd w:val="clear" w:color="auto" w:fill="auto"/>
            <w:noWrap/>
            <w:vAlign w:val="center"/>
          </w:tcPr>
          <w:p w14:paraId="4AFFB28B" w14:textId="77777777" w:rsidR="000A3DCB" w:rsidRPr="006608FC" w:rsidRDefault="00911870" w:rsidP="000A3DCB">
            <w:pPr>
              <w:jc w:val="center"/>
              <w:rPr>
                <w:rFonts w:ascii="Arial Narrow" w:hAnsi="Arial Narrow"/>
                <w:color w:val="000000"/>
                <w:sz w:val="20"/>
              </w:rPr>
            </w:pPr>
            <w:r>
              <w:rPr>
                <w:rFonts w:ascii="Arial Narrow" w:hAnsi="Arial Narrow"/>
                <w:color w:val="000000"/>
                <w:sz w:val="20"/>
              </w:rPr>
              <w:t>0.28</w:t>
            </w:r>
          </w:p>
        </w:tc>
        <w:tc>
          <w:tcPr>
            <w:tcW w:w="1134" w:type="dxa"/>
            <w:tcBorders>
              <w:top w:val="nil"/>
              <w:left w:val="nil"/>
              <w:bottom w:val="single" w:sz="4" w:space="0" w:color="auto"/>
              <w:right w:val="single" w:sz="4" w:space="0" w:color="auto"/>
            </w:tcBorders>
            <w:shd w:val="clear" w:color="auto" w:fill="auto"/>
            <w:noWrap/>
            <w:vAlign w:val="center"/>
          </w:tcPr>
          <w:p w14:paraId="4E714959"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1.00</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B17C6C7"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0.00</w:t>
            </w:r>
          </w:p>
        </w:tc>
        <w:tc>
          <w:tcPr>
            <w:tcW w:w="993" w:type="dxa"/>
            <w:tcBorders>
              <w:top w:val="nil"/>
              <w:left w:val="single" w:sz="4" w:space="0" w:color="auto"/>
              <w:bottom w:val="single" w:sz="4" w:space="0" w:color="auto"/>
              <w:right w:val="single" w:sz="4" w:space="0" w:color="auto"/>
            </w:tcBorders>
            <w:shd w:val="clear" w:color="auto" w:fill="FFC000"/>
            <w:vAlign w:val="center"/>
          </w:tcPr>
          <w:p w14:paraId="0A31AC45" w14:textId="77777777" w:rsidR="000A3DCB" w:rsidRPr="000A3DCB" w:rsidRDefault="000A3DCB" w:rsidP="000A3DCB">
            <w:pPr>
              <w:jc w:val="center"/>
              <w:rPr>
                <w:rFonts w:ascii="Arial Narrow" w:hAnsi="Arial Narrow"/>
                <w:color w:val="000000"/>
                <w:sz w:val="20"/>
              </w:rPr>
            </w:pPr>
            <w:r w:rsidRPr="000A3DCB">
              <w:rPr>
                <w:rFonts w:ascii="Arial Narrow" w:hAnsi="Arial Narrow"/>
                <w:color w:val="000000"/>
                <w:sz w:val="20"/>
              </w:rPr>
              <w:t>0.34</w:t>
            </w:r>
          </w:p>
        </w:tc>
      </w:tr>
      <w:tr w:rsidR="000A3DCB" w:rsidRPr="00C15A2E" w14:paraId="2BE8B883" w14:textId="77777777" w:rsidTr="000A3DCB">
        <w:trPr>
          <w:trHeight w:val="185"/>
        </w:trPr>
        <w:tc>
          <w:tcPr>
            <w:tcW w:w="875" w:type="dxa"/>
            <w:vMerge/>
            <w:tcBorders>
              <w:left w:val="single" w:sz="4" w:space="0" w:color="auto"/>
              <w:right w:val="single" w:sz="4" w:space="0" w:color="auto"/>
            </w:tcBorders>
            <w:vAlign w:val="center"/>
            <w:hideMark/>
          </w:tcPr>
          <w:p w14:paraId="5D82A4FB" w14:textId="77777777" w:rsidR="000A3DCB" w:rsidRPr="002710DB" w:rsidRDefault="000A3DCB" w:rsidP="0001401C">
            <w:pPr>
              <w:rPr>
                <w:rFonts w:ascii="Arial Narrow" w:hAnsi="Arial Narrow"/>
                <w:b/>
                <w:bCs/>
                <w:sz w:val="20"/>
              </w:rPr>
            </w:pPr>
          </w:p>
        </w:tc>
        <w:tc>
          <w:tcPr>
            <w:tcW w:w="161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000939" w14:textId="77777777" w:rsidR="000A3DCB" w:rsidRPr="002710DB" w:rsidRDefault="000A3DCB" w:rsidP="0001401C">
            <w:pPr>
              <w:rPr>
                <w:rFonts w:ascii="Arial Narrow" w:hAnsi="Arial Narrow"/>
                <w:bCs/>
                <w:sz w:val="20"/>
              </w:rPr>
            </w:pPr>
            <w:r w:rsidRPr="002710DB">
              <w:rPr>
                <w:rFonts w:ascii="Arial Narrow" w:hAnsi="Arial Narrow"/>
                <w:bCs/>
                <w:sz w:val="20"/>
              </w:rPr>
              <w:t>Snapper South</w:t>
            </w:r>
          </w:p>
        </w:tc>
        <w:tc>
          <w:tcPr>
            <w:tcW w:w="464" w:type="dxa"/>
            <w:gridSpan w:val="2"/>
            <w:tcBorders>
              <w:top w:val="nil"/>
              <w:left w:val="nil"/>
              <w:bottom w:val="single" w:sz="4" w:space="0" w:color="auto"/>
              <w:right w:val="single" w:sz="4" w:space="0" w:color="auto"/>
            </w:tcBorders>
            <w:shd w:val="clear" w:color="auto" w:fill="auto"/>
            <w:noWrap/>
            <w:vAlign w:val="bottom"/>
            <w:hideMark/>
          </w:tcPr>
          <w:p w14:paraId="346EB9F5" w14:textId="77777777" w:rsidR="000A3DCB" w:rsidRPr="002710DB" w:rsidRDefault="000A3DCB" w:rsidP="0001401C">
            <w:pPr>
              <w:jc w:val="center"/>
              <w:rPr>
                <w:rFonts w:ascii="Arial Narrow" w:hAnsi="Arial Narrow"/>
                <w:bCs/>
                <w:sz w:val="20"/>
              </w:rPr>
            </w:pPr>
            <w:r w:rsidRPr="002710DB">
              <w:rPr>
                <w:rFonts w:ascii="Arial Narrow" w:hAnsi="Arial Narrow"/>
                <w:bCs/>
                <w:sz w:val="20"/>
              </w:rPr>
              <w:t>2</w:t>
            </w:r>
          </w:p>
        </w:tc>
        <w:tc>
          <w:tcPr>
            <w:tcW w:w="1034" w:type="dxa"/>
            <w:tcBorders>
              <w:top w:val="nil"/>
              <w:left w:val="nil"/>
              <w:bottom w:val="single" w:sz="4" w:space="0" w:color="auto"/>
              <w:right w:val="single" w:sz="4" w:space="0" w:color="auto"/>
            </w:tcBorders>
            <w:shd w:val="clear" w:color="auto" w:fill="auto"/>
            <w:noWrap/>
            <w:vAlign w:val="center"/>
          </w:tcPr>
          <w:p w14:paraId="16E0B55D"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0.57</w:t>
            </w:r>
          </w:p>
        </w:tc>
        <w:tc>
          <w:tcPr>
            <w:tcW w:w="993" w:type="dxa"/>
            <w:tcBorders>
              <w:top w:val="nil"/>
              <w:left w:val="nil"/>
              <w:bottom w:val="single" w:sz="4" w:space="0" w:color="auto"/>
              <w:right w:val="single" w:sz="4" w:space="0" w:color="auto"/>
            </w:tcBorders>
            <w:shd w:val="clear" w:color="auto" w:fill="auto"/>
            <w:noWrap/>
            <w:vAlign w:val="center"/>
          </w:tcPr>
          <w:p w14:paraId="459A5D98" w14:textId="77777777" w:rsidR="000A3DCB" w:rsidRPr="006608FC" w:rsidRDefault="00911870" w:rsidP="000A3DCB">
            <w:pPr>
              <w:jc w:val="center"/>
              <w:rPr>
                <w:rFonts w:ascii="Arial Narrow" w:hAnsi="Arial Narrow"/>
                <w:color w:val="000000"/>
                <w:sz w:val="20"/>
              </w:rPr>
            </w:pPr>
            <w:r>
              <w:rPr>
                <w:rFonts w:ascii="Arial Narrow" w:hAnsi="Arial Narrow"/>
                <w:color w:val="000000"/>
                <w:sz w:val="20"/>
              </w:rPr>
              <w:t>0.28</w:t>
            </w:r>
          </w:p>
        </w:tc>
        <w:tc>
          <w:tcPr>
            <w:tcW w:w="1134" w:type="dxa"/>
            <w:tcBorders>
              <w:top w:val="nil"/>
              <w:left w:val="nil"/>
              <w:bottom w:val="single" w:sz="4" w:space="0" w:color="auto"/>
              <w:right w:val="single" w:sz="4" w:space="0" w:color="auto"/>
            </w:tcBorders>
            <w:shd w:val="clear" w:color="auto" w:fill="auto"/>
            <w:noWrap/>
            <w:vAlign w:val="center"/>
          </w:tcPr>
          <w:p w14:paraId="4E055B85" w14:textId="77777777" w:rsidR="000A3DCB" w:rsidRPr="006608FC" w:rsidRDefault="00911870" w:rsidP="000A3DCB">
            <w:pPr>
              <w:jc w:val="center"/>
              <w:rPr>
                <w:rFonts w:ascii="Arial Narrow" w:hAnsi="Arial Narrow"/>
                <w:color w:val="000000"/>
                <w:sz w:val="20"/>
              </w:rPr>
            </w:pPr>
            <w:r>
              <w:rPr>
                <w:rFonts w:ascii="Arial Narrow" w:hAnsi="Arial Narrow"/>
                <w:color w:val="000000"/>
                <w:sz w:val="20"/>
              </w:rPr>
              <w:t>1</w:t>
            </w:r>
          </w:p>
        </w:tc>
        <w:tc>
          <w:tcPr>
            <w:tcW w:w="1134" w:type="dxa"/>
            <w:tcBorders>
              <w:top w:val="nil"/>
              <w:left w:val="nil"/>
              <w:bottom w:val="single" w:sz="4" w:space="0" w:color="auto"/>
              <w:right w:val="single" w:sz="4" w:space="0" w:color="auto"/>
            </w:tcBorders>
            <w:shd w:val="clear" w:color="auto" w:fill="auto"/>
            <w:noWrap/>
            <w:vAlign w:val="center"/>
          </w:tcPr>
          <w:p w14:paraId="3E94EC36"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0.35</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7236A6DC"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1.00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35AC3E8F" w14:textId="77777777" w:rsidR="000A3DCB" w:rsidRPr="000A3DCB" w:rsidRDefault="000A3DCB" w:rsidP="000A3DCB">
            <w:pPr>
              <w:jc w:val="center"/>
              <w:rPr>
                <w:rFonts w:ascii="Arial Narrow" w:hAnsi="Arial Narrow"/>
                <w:color w:val="000000"/>
                <w:sz w:val="20"/>
              </w:rPr>
            </w:pPr>
            <w:r w:rsidRPr="000A3DCB">
              <w:rPr>
                <w:rFonts w:ascii="Arial Narrow" w:hAnsi="Arial Narrow"/>
                <w:color w:val="000000"/>
                <w:sz w:val="20"/>
              </w:rPr>
              <w:t>0.64</w:t>
            </w:r>
          </w:p>
        </w:tc>
      </w:tr>
      <w:tr w:rsidR="000A3DCB" w:rsidRPr="00C15A2E" w14:paraId="2A1C5FBE" w14:textId="77777777" w:rsidTr="000A3DCB">
        <w:trPr>
          <w:trHeight w:val="185"/>
        </w:trPr>
        <w:tc>
          <w:tcPr>
            <w:tcW w:w="875" w:type="dxa"/>
            <w:vMerge/>
            <w:tcBorders>
              <w:left w:val="single" w:sz="4" w:space="0" w:color="auto"/>
              <w:right w:val="single" w:sz="4" w:space="0" w:color="auto"/>
            </w:tcBorders>
            <w:vAlign w:val="center"/>
          </w:tcPr>
          <w:p w14:paraId="19FB34C9" w14:textId="77777777" w:rsidR="000A3DCB" w:rsidRPr="002710DB" w:rsidRDefault="000A3DCB" w:rsidP="0001401C">
            <w:pPr>
              <w:rPr>
                <w:rFonts w:ascii="Arial Narrow" w:hAnsi="Arial Narrow"/>
                <w:b/>
                <w:bCs/>
                <w:sz w:val="20"/>
              </w:rPr>
            </w:pPr>
          </w:p>
        </w:tc>
        <w:tc>
          <w:tcPr>
            <w:tcW w:w="1611" w:type="dxa"/>
            <w:vMerge/>
            <w:tcBorders>
              <w:top w:val="nil"/>
              <w:left w:val="single" w:sz="4" w:space="0" w:color="auto"/>
              <w:bottom w:val="single" w:sz="4" w:space="0" w:color="auto"/>
              <w:right w:val="single" w:sz="4" w:space="0" w:color="auto"/>
            </w:tcBorders>
            <w:shd w:val="clear" w:color="auto" w:fill="auto"/>
            <w:noWrap/>
            <w:vAlign w:val="center"/>
          </w:tcPr>
          <w:p w14:paraId="5524C987" w14:textId="77777777" w:rsidR="000A3DCB" w:rsidRPr="002710DB" w:rsidRDefault="000A3DCB" w:rsidP="0001401C">
            <w:pPr>
              <w:rPr>
                <w:rFonts w:ascii="Arial Narrow" w:hAnsi="Arial Narrow"/>
                <w:bCs/>
                <w:sz w:val="20"/>
              </w:rPr>
            </w:pPr>
          </w:p>
        </w:tc>
        <w:tc>
          <w:tcPr>
            <w:tcW w:w="464" w:type="dxa"/>
            <w:gridSpan w:val="2"/>
            <w:tcBorders>
              <w:top w:val="nil"/>
              <w:left w:val="nil"/>
              <w:bottom w:val="single" w:sz="4" w:space="0" w:color="auto"/>
              <w:right w:val="single" w:sz="4" w:space="0" w:color="auto"/>
            </w:tcBorders>
            <w:shd w:val="clear" w:color="auto" w:fill="auto"/>
            <w:noWrap/>
            <w:vAlign w:val="bottom"/>
          </w:tcPr>
          <w:p w14:paraId="7F5416F5" w14:textId="77777777" w:rsidR="000A3DCB" w:rsidRPr="002710DB" w:rsidRDefault="000A3DCB" w:rsidP="0001401C">
            <w:pPr>
              <w:jc w:val="center"/>
              <w:rPr>
                <w:rFonts w:ascii="Arial Narrow" w:hAnsi="Arial Narrow"/>
                <w:bCs/>
                <w:sz w:val="20"/>
              </w:rPr>
            </w:pPr>
            <w:r w:rsidRPr="002710DB">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5801A9D1"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0.73</w:t>
            </w:r>
          </w:p>
        </w:tc>
        <w:tc>
          <w:tcPr>
            <w:tcW w:w="993" w:type="dxa"/>
            <w:tcBorders>
              <w:top w:val="nil"/>
              <w:left w:val="nil"/>
              <w:bottom w:val="single" w:sz="4" w:space="0" w:color="auto"/>
              <w:right w:val="single" w:sz="4" w:space="0" w:color="auto"/>
            </w:tcBorders>
            <w:shd w:val="clear" w:color="auto" w:fill="auto"/>
            <w:noWrap/>
            <w:vAlign w:val="center"/>
          </w:tcPr>
          <w:p w14:paraId="52DC97A8" w14:textId="77777777" w:rsidR="000A3DCB" w:rsidRPr="006608FC" w:rsidRDefault="000A3DCB" w:rsidP="00911870">
            <w:pPr>
              <w:jc w:val="center"/>
              <w:rPr>
                <w:rFonts w:ascii="Arial Narrow" w:hAnsi="Arial Narrow"/>
                <w:color w:val="000000"/>
                <w:sz w:val="20"/>
              </w:rPr>
            </w:pPr>
            <w:r w:rsidRPr="006608FC">
              <w:rPr>
                <w:rFonts w:ascii="Arial Narrow" w:hAnsi="Arial Narrow"/>
                <w:color w:val="000000"/>
                <w:sz w:val="20"/>
              </w:rPr>
              <w:t>0.</w:t>
            </w:r>
            <w:r w:rsidR="00911870" w:rsidRPr="006608FC">
              <w:rPr>
                <w:rFonts w:ascii="Arial Narrow" w:hAnsi="Arial Narrow"/>
                <w:color w:val="000000"/>
                <w:sz w:val="20"/>
              </w:rPr>
              <w:t>0</w:t>
            </w:r>
            <w:r w:rsidR="00911870">
              <w:rPr>
                <w:rFonts w:ascii="Arial Narrow" w:hAnsi="Arial Narrow"/>
                <w:color w:val="000000"/>
                <w:sz w:val="20"/>
              </w:rPr>
              <w:t>7</w:t>
            </w:r>
          </w:p>
        </w:tc>
        <w:tc>
          <w:tcPr>
            <w:tcW w:w="1134" w:type="dxa"/>
            <w:tcBorders>
              <w:top w:val="nil"/>
              <w:left w:val="nil"/>
              <w:bottom w:val="single" w:sz="4" w:space="0" w:color="auto"/>
              <w:right w:val="single" w:sz="4" w:space="0" w:color="auto"/>
            </w:tcBorders>
            <w:shd w:val="clear" w:color="auto" w:fill="auto"/>
            <w:noWrap/>
            <w:vAlign w:val="center"/>
          </w:tcPr>
          <w:p w14:paraId="73B2F4F9" w14:textId="77777777" w:rsidR="000A3DCB" w:rsidRPr="006608FC" w:rsidRDefault="00911870" w:rsidP="000A3DCB">
            <w:pPr>
              <w:jc w:val="center"/>
              <w:rPr>
                <w:rFonts w:ascii="Arial Narrow" w:hAnsi="Arial Narrow"/>
                <w:color w:val="000000"/>
                <w:sz w:val="20"/>
              </w:rPr>
            </w:pPr>
            <w:r>
              <w:rPr>
                <w:rFonts w:ascii="Arial Narrow" w:hAnsi="Arial Narrow"/>
                <w:color w:val="000000"/>
                <w:sz w:val="20"/>
              </w:rPr>
              <w:t>0</w:t>
            </w:r>
          </w:p>
        </w:tc>
        <w:tc>
          <w:tcPr>
            <w:tcW w:w="1134" w:type="dxa"/>
            <w:tcBorders>
              <w:top w:val="nil"/>
              <w:left w:val="nil"/>
              <w:bottom w:val="single" w:sz="4" w:space="0" w:color="auto"/>
              <w:right w:val="single" w:sz="4" w:space="0" w:color="auto"/>
            </w:tcBorders>
            <w:shd w:val="clear" w:color="auto" w:fill="auto"/>
            <w:noWrap/>
            <w:vAlign w:val="center"/>
          </w:tcPr>
          <w:p w14:paraId="336CF8B5"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0.41</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768E0228"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nil"/>
              <w:left w:val="single" w:sz="4" w:space="0" w:color="auto"/>
              <w:bottom w:val="single" w:sz="4" w:space="0" w:color="auto"/>
              <w:right w:val="single" w:sz="4" w:space="0" w:color="auto"/>
            </w:tcBorders>
            <w:shd w:val="clear" w:color="auto" w:fill="FFC000"/>
            <w:vAlign w:val="center"/>
          </w:tcPr>
          <w:p w14:paraId="40F5A088" w14:textId="77777777" w:rsidR="000A3DCB" w:rsidRPr="000A3DCB" w:rsidRDefault="000A3DCB" w:rsidP="000A3DCB">
            <w:pPr>
              <w:jc w:val="center"/>
              <w:rPr>
                <w:rFonts w:ascii="Arial Narrow" w:hAnsi="Arial Narrow"/>
                <w:color w:val="000000"/>
                <w:sz w:val="20"/>
              </w:rPr>
            </w:pPr>
            <w:r w:rsidRPr="000A3DCB">
              <w:rPr>
                <w:rFonts w:ascii="Arial Narrow" w:hAnsi="Arial Narrow"/>
                <w:color w:val="000000"/>
                <w:sz w:val="20"/>
              </w:rPr>
              <w:t>0.34</w:t>
            </w:r>
          </w:p>
        </w:tc>
      </w:tr>
      <w:tr w:rsidR="000A3DCB" w:rsidRPr="00C15A2E" w14:paraId="668A2AEA" w14:textId="77777777" w:rsidTr="00AE0BFC">
        <w:trPr>
          <w:trHeight w:val="232"/>
        </w:trPr>
        <w:tc>
          <w:tcPr>
            <w:tcW w:w="2950" w:type="dxa"/>
            <w:gridSpan w:val="4"/>
            <w:tcBorders>
              <w:top w:val="single" w:sz="4" w:space="0" w:color="auto"/>
              <w:left w:val="single" w:sz="4" w:space="0" w:color="auto"/>
              <w:bottom w:val="single" w:sz="4" w:space="0" w:color="auto"/>
              <w:right w:val="single" w:sz="4" w:space="0" w:color="auto"/>
            </w:tcBorders>
            <w:shd w:val="clear" w:color="auto" w:fill="FFFF00"/>
            <w:noWrap/>
            <w:vAlign w:val="center"/>
            <w:hideMark/>
          </w:tcPr>
          <w:p w14:paraId="1D91C9CD" w14:textId="77777777" w:rsidR="000A3DCB" w:rsidRPr="002710DB" w:rsidRDefault="000A3DCB" w:rsidP="0001401C">
            <w:pPr>
              <w:jc w:val="center"/>
              <w:rPr>
                <w:rFonts w:ascii="Arial Narrow" w:hAnsi="Arial Narrow"/>
                <w:b/>
                <w:bCs/>
                <w:sz w:val="20"/>
              </w:rPr>
            </w:pPr>
            <w:r>
              <w:rPr>
                <w:rFonts w:ascii="Arial Narrow" w:hAnsi="Arial Narrow"/>
                <w:b/>
                <w:bCs/>
                <w:sz w:val="20"/>
              </w:rPr>
              <w:t>Report Card Score - Moderate</w:t>
            </w:r>
          </w:p>
        </w:tc>
        <w:tc>
          <w:tcPr>
            <w:tcW w:w="1034" w:type="dxa"/>
            <w:tcBorders>
              <w:top w:val="nil"/>
              <w:left w:val="nil"/>
              <w:bottom w:val="single" w:sz="4" w:space="0" w:color="auto"/>
              <w:right w:val="single" w:sz="4" w:space="0" w:color="auto"/>
            </w:tcBorders>
            <w:shd w:val="clear" w:color="auto" w:fill="FFFF00"/>
            <w:noWrap/>
            <w:vAlign w:val="center"/>
          </w:tcPr>
          <w:p w14:paraId="7CF785C6"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0.43</w:t>
            </w:r>
          </w:p>
        </w:tc>
        <w:tc>
          <w:tcPr>
            <w:tcW w:w="993" w:type="dxa"/>
            <w:tcBorders>
              <w:top w:val="nil"/>
              <w:left w:val="nil"/>
              <w:bottom w:val="single" w:sz="4" w:space="0" w:color="auto"/>
              <w:right w:val="single" w:sz="4" w:space="0" w:color="auto"/>
            </w:tcBorders>
            <w:shd w:val="clear" w:color="auto" w:fill="FFC000"/>
            <w:noWrap/>
            <w:vAlign w:val="center"/>
          </w:tcPr>
          <w:p w14:paraId="3ED407FF"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0.25</w:t>
            </w:r>
          </w:p>
        </w:tc>
        <w:tc>
          <w:tcPr>
            <w:tcW w:w="1134" w:type="dxa"/>
            <w:tcBorders>
              <w:top w:val="nil"/>
              <w:left w:val="nil"/>
              <w:bottom w:val="single" w:sz="4" w:space="0" w:color="auto"/>
              <w:right w:val="single" w:sz="4" w:space="0" w:color="auto"/>
            </w:tcBorders>
            <w:shd w:val="clear" w:color="auto" w:fill="FFFF00"/>
            <w:noWrap/>
            <w:vAlign w:val="center"/>
          </w:tcPr>
          <w:p w14:paraId="6743A045"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0.46</w:t>
            </w:r>
          </w:p>
        </w:tc>
        <w:tc>
          <w:tcPr>
            <w:tcW w:w="1134" w:type="dxa"/>
            <w:tcBorders>
              <w:top w:val="nil"/>
              <w:left w:val="nil"/>
              <w:bottom w:val="single" w:sz="4" w:space="0" w:color="auto"/>
              <w:right w:val="single" w:sz="4" w:space="0" w:color="auto"/>
            </w:tcBorders>
            <w:shd w:val="clear" w:color="auto" w:fill="92D050"/>
            <w:noWrap/>
            <w:vAlign w:val="center"/>
          </w:tcPr>
          <w:p w14:paraId="286860B8"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0.62</w:t>
            </w:r>
          </w:p>
        </w:tc>
        <w:tc>
          <w:tcPr>
            <w:tcW w:w="1275" w:type="dxa"/>
            <w:tcBorders>
              <w:top w:val="nil"/>
              <w:left w:val="single" w:sz="4" w:space="0" w:color="auto"/>
              <w:bottom w:val="single" w:sz="4" w:space="0" w:color="auto"/>
              <w:right w:val="single" w:sz="4" w:space="0" w:color="auto"/>
            </w:tcBorders>
            <w:shd w:val="clear" w:color="auto" w:fill="FFC000"/>
            <w:noWrap/>
            <w:vAlign w:val="center"/>
          </w:tcPr>
          <w:p w14:paraId="47532AAA" w14:textId="77777777" w:rsidR="000A3DCB" w:rsidRPr="006608FC" w:rsidRDefault="000A3DCB" w:rsidP="000A3DCB">
            <w:pPr>
              <w:jc w:val="center"/>
              <w:rPr>
                <w:rFonts w:ascii="Arial Narrow" w:hAnsi="Arial Narrow"/>
                <w:color w:val="000000"/>
                <w:sz w:val="20"/>
              </w:rPr>
            </w:pPr>
            <w:r w:rsidRPr="006608FC">
              <w:rPr>
                <w:rFonts w:ascii="Arial Narrow" w:hAnsi="Arial Narrow"/>
                <w:color w:val="000000"/>
                <w:sz w:val="20"/>
              </w:rPr>
              <w:t>0.40</w:t>
            </w:r>
          </w:p>
        </w:tc>
        <w:tc>
          <w:tcPr>
            <w:tcW w:w="993" w:type="dxa"/>
            <w:tcBorders>
              <w:top w:val="nil"/>
              <w:left w:val="single" w:sz="4" w:space="0" w:color="auto"/>
              <w:bottom w:val="single" w:sz="4" w:space="0" w:color="auto"/>
              <w:right w:val="single" w:sz="4" w:space="0" w:color="auto"/>
            </w:tcBorders>
            <w:shd w:val="clear" w:color="auto" w:fill="FFFF00"/>
            <w:vAlign w:val="center"/>
          </w:tcPr>
          <w:p w14:paraId="5C98A1F5" w14:textId="77777777" w:rsidR="000A3DCB" w:rsidRPr="000A3DCB" w:rsidRDefault="000A3DCB" w:rsidP="000A3DCB">
            <w:pPr>
              <w:jc w:val="center"/>
              <w:rPr>
                <w:rFonts w:ascii="Arial Narrow" w:hAnsi="Arial Narrow"/>
                <w:color w:val="000000"/>
                <w:sz w:val="20"/>
              </w:rPr>
            </w:pPr>
            <w:r w:rsidRPr="000A3DCB">
              <w:rPr>
                <w:rFonts w:ascii="Arial Narrow" w:hAnsi="Arial Narrow"/>
                <w:color w:val="000000"/>
                <w:sz w:val="20"/>
              </w:rPr>
              <w:t>0.43</w:t>
            </w:r>
          </w:p>
        </w:tc>
      </w:tr>
      <w:tr w:rsidR="00720430" w:rsidRPr="00C15A2E" w14:paraId="5561EF36" w14:textId="77777777" w:rsidTr="007232CE">
        <w:trPr>
          <w:trHeight w:val="232"/>
        </w:trPr>
        <w:tc>
          <w:tcPr>
            <w:tcW w:w="7245" w:type="dxa"/>
            <w:gridSpan w:val="8"/>
            <w:tcBorders>
              <w:top w:val="nil"/>
              <w:left w:val="nil"/>
              <w:bottom w:val="nil"/>
              <w:right w:val="nil"/>
            </w:tcBorders>
            <w:shd w:val="clear" w:color="auto" w:fill="auto"/>
            <w:noWrap/>
            <w:textDirection w:val="btLr"/>
            <w:vAlign w:val="center"/>
            <w:hideMark/>
          </w:tcPr>
          <w:p w14:paraId="5D9D36F6" w14:textId="77777777" w:rsidR="00720430" w:rsidRPr="002710DB" w:rsidRDefault="00720430" w:rsidP="0001401C">
            <w:pPr>
              <w:jc w:val="center"/>
              <w:rPr>
                <w:rFonts w:ascii="Arial Narrow" w:hAnsi="Arial Narrow"/>
                <w:b/>
                <w:bCs/>
                <w:sz w:val="20"/>
              </w:rPr>
            </w:pPr>
          </w:p>
        </w:tc>
        <w:tc>
          <w:tcPr>
            <w:tcW w:w="1275" w:type="dxa"/>
            <w:tcBorders>
              <w:top w:val="nil"/>
              <w:left w:val="nil"/>
              <w:bottom w:val="nil"/>
              <w:right w:val="nil"/>
            </w:tcBorders>
            <w:shd w:val="clear" w:color="auto" w:fill="auto"/>
            <w:noWrap/>
            <w:vAlign w:val="bottom"/>
            <w:hideMark/>
          </w:tcPr>
          <w:p w14:paraId="7352610B" w14:textId="77777777" w:rsidR="00720430" w:rsidRPr="004F1187" w:rsidRDefault="00720430" w:rsidP="0001401C">
            <w:pPr>
              <w:jc w:val="center"/>
              <w:rPr>
                <w:rFonts w:ascii="Arial Narrow" w:hAnsi="Arial Narrow"/>
                <w:bCs/>
                <w:color w:val="000000" w:themeColor="text1"/>
                <w:sz w:val="20"/>
              </w:rPr>
            </w:pPr>
          </w:p>
        </w:tc>
        <w:tc>
          <w:tcPr>
            <w:tcW w:w="993" w:type="dxa"/>
            <w:tcBorders>
              <w:top w:val="nil"/>
              <w:left w:val="nil"/>
              <w:bottom w:val="single" w:sz="4" w:space="0" w:color="auto"/>
              <w:right w:val="nil"/>
            </w:tcBorders>
          </w:tcPr>
          <w:p w14:paraId="3A61CF7E" w14:textId="77777777" w:rsidR="00720430" w:rsidRPr="004F1187" w:rsidRDefault="00720430" w:rsidP="0001401C">
            <w:pPr>
              <w:jc w:val="center"/>
              <w:rPr>
                <w:rFonts w:ascii="Arial Narrow" w:hAnsi="Arial Narrow"/>
                <w:bCs/>
                <w:color w:val="000000" w:themeColor="text1"/>
                <w:sz w:val="20"/>
              </w:rPr>
            </w:pPr>
          </w:p>
        </w:tc>
      </w:tr>
      <w:tr w:rsidR="005F565B" w:rsidRPr="00C15A2E" w14:paraId="7AD7C491" w14:textId="77777777" w:rsidTr="00AE0BFC">
        <w:trPr>
          <w:trHeight w:val="185"/>
        </w:trPr>
        <w:tc>
          <w:tcPr>
            <w:tcW w:w="875" w:type="dxa"/>
            <w:vMerge w:val="restart"/>
            <w:tcBorders>
              <w:top w:val="single" w:sz="4" w:space="0" w:color="auto"/>
              <w:left w:val="single" w:sz="4" w:space="0" w:color="auto"/>
              <w:right w:val="single" w:sz="4" w:space="0" w:color="auto"/>
            </w:tcBorders>
            <w:shd w:val="clear" w:color="auto" w:fill="auto"/>
            <w:noWrap/>
            <w:textDirection w:val="btLr"/>
            <w:vAlign w:val="center"/>
          </w:tcPr>
          <w:p w14:paraId="2922CDAD" w14:textId="77777777" w:rsidR="005F565B" w:rsidRPr="002710DB" w:rsidRDefault="005F565B" w:rsidP="005F565B">
            <w:pPr>
              <w:jc w:val="center"/>
              <w:rPr>
                <w:rFonts w:ascii="Arial Narrow" w:hAnsi="Arial Narrow"/>
                <w:b/>
                <w:bCs/>
                <w:sz w:val="20"/>
              </w:rPr>
            </w:pPr>
            <w:r w:rsidRPr="002710DB">
              <w:rPr>
                <w:rFonts w:ascii="Arial Narrow" w:hAnsi="Arial Narrow"/>
                <w:b/>
                <w:bCs/>
                <w:sz w:val="20"/>
              </w:rPr>
              <w:t>Johnstone Russell-Mulgrave</w:t>
            </w:r>
          </w:p>
        </w:tc>
        <w:tc>
          <w:tcPr>
            <w:tcW w:w="1692" w:type="dxa"/>
            <w:gridSpan w:val="2"/>
            <w:vMerge w:val="restart"/>
            <w:tcBorders>
              <w:top w:val="single" w:sz="4" w:space="0" w:color="auto"/>
              <w:left w:val="single" w:sz="4" w:space="0" w:color="auto"/>
              <w:right w:val="single" w:sz="4" w:space="0" w:color="auto"/>
            </w:tcBorders>
            <w:shd w:val="clear" w:color="auto" w:fill="auto"/>
            <w:noWrap/>
            <w:vAlign w:val="center"/>
          </w:tcPr>
          <w:p w14:paraId="37391E45" w14:textId="77777777" w:rsidR="005F565B" w:rsidRPr="007672BF" w:rsidRDefault="005F565B" w:rsidP="005F565B">
            <w:pPr>
              <w:rPr>
                <w:rFonts w:ascii="Arial Narrow" w:hAnsi="Arial Narrow"/>
                <w:bCs/>
                <w:sz w:val="20"/>
              </w:rPr>
            </w:pPr>
            <w:r w:rsidRPr="007672BF">
              <w:rPr>
                <w:rFonts w:ascii="Arial Narrow" w:hAnsi="Arial Narrow"/>
                <w:bCs/>
                <w:sz w:val="20"/>
              </w:rPr>
              <w:t>Fitzroy East</w:t>
            </w:r>
          </w:p>
        </w:tc>
        <w:tc>
          <w:tcPr>
            <w:tcW w:w="383" w:type="dxa"/>
            <w:tcBorders>
              <w:top w:val="single" w:sz="4" w:space="0" w:color="auto"/>
              <w:left w:val="nil"/>
              <w:bottom w:val="single" w:sz="4" w:space="0" w:color="auto"/>
              <w:right w:val="single" w:sz="4" w:space="0" w:color="auto"/>
            </w:tcBorders>
            <w:shd w:val="clear" w:color="auto" w:fill="auto"/>
            <w:noWrap/>
            <w:vAlign w:val="bottom"/>
          </w:tcPr>
          <w:p w14:paraId="254B0E4A" w14:textId="77777777" w:rsidR="005F565B" w:rsidRDefault="005F565B" w:rsidP="005F565B">
            <w:pPr>
              <w:jc w:val="center"/>
              <w:rPr>
                <w:rFonts w:ascii="Arial Narrow" w:hAnsi="Arial Narrow"/>
                <w:bCs/>
                <w:sz w:val="20"/>
              </w:rPr>
            </w:pPr>
            <w:r>
              <w:rPr>
                <w:rFonts w:ascii="Arial Narrow" w:hAnsi="Arial Narrow"/>
                <w:bCs/>
                <w:sz w:val="20"/>
              </w:rPr>
              <w:t>2</w:t>
            </w:r>
          </w:p>
        </w:tc>
        <w:tc>
          <w:tcPr>
            <w:tcW w:w="1034" w:type="dxa"/>
            <w:tcBorders>
              <w:top w:val="single" w:sz="4" w:space="0" w:color="auto"/>
              <w:left w:val="nil"/>
              <w:bottom w:val="single" w:sz="4" w:space="0" w:color="auto"/>
              <w:right w:val="single" w:sz="4" w:space="0" w:color="auto"/>
            </w:tcBorders>
            <w:shd w:val="clear" w:color="auto" w:fill="auto"/>
            <w:noWrap/>
            <w:vAlign w:val="center"/>
          </w:tcPr>
          <w:p w14:paraId="4B7002D3"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0.32</w:t>
            </w:r>
          </w:p>
        </w:tc>
        <w:tc>
          <w:tcPr>
            <w:tcW w:w="993" w:type="dxa"/>
            <w:tcBorders>
              <w:top w:val="single" w:sz="4" w:space="0" w:color="auto"/>
              <w:left w:val="nil"/>
              <w:bottom w:val="single" w:sz="4" w:space="0" w:color="auto"/>
              <w:right w:val="single" w:sz="4" w:space="0" w:color="auto"/>
            </w:tcBorders>
            <w:shd w:val="clear" w:color="auto" w:fill="auto"/>
            <w:noWrap/>
            <w:vAlign w:val="center"/>
          </w:tcPr>
          <w:p w14:paraId="23293F9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0.42</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0079E6D1"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5F989AA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727B8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center"/>
          </w:tcPr>
          <w:p w14:paraId="4EFA7E9A"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0.55</w:t>
            </w:r>
          </w:p>
        </w:tc>
      </w:tr>
      <w:tr w:rsidR="005F565B" w:rsidRPr="00C15A2E" w14:paraId="6AC3803F" w14:textId="77777777" w:rsidTr="00AE0BFC">
        <w:trPr>
          <w:trHeight w:val="185"/>
        </w:trPr>
        <w:tc>
          <w:tcPr>
            <w:tcW w:w="875" w:type="dxa"/>
            <w:vMerge/>
            <w:tcBorders>
              <w:left w:val="single" w:sz="4" w:space="0" w:color="auto"/>
              <w:right w:val="single" w:sz="4" w:space="0" w:color="auto"/>
            </w:tcBorders>
            <w:shd w:val="clear" w:color="auto" w:fill="auto"/>
            <w:noWrap/>
            <w:textDirection w:val="btLr"/>
            <w:vAlign w:val="center"/>
          </w:tcPr>
          <w:p w14:paraId="429CDAB9" w14:textId="77777777" w:rsidR="005F565B" w:rsidRPr="002710DB" w:rsidRDefault="005F565B" w:rsidP="005F565B">
            <w:pPr>
              <w:jc w:val="center"/>
              <w:rPr>
                <w:rFonts w:ascii="Arial Narrow" w:hAnsi="Arial Narrow"/>
                <w:b/>
                <w:bCs/>
                <w:sz w:val="20"/>
              </w:rPr>
            </w:pPr>
          </w:p>
        </w:tc>
        <w:tc>
          <w:tcPr>
            <w:tcW w:w="1692" w:type="dxa"/>
            <w:gridSpan w:val="2"/>
            <w:vMerge/>
            <w:tcBorders>
              <w:left w:val="single" w:sz="4" w:space="0" w:color="auto"/>
              <w:bottom w:val="single" w:sz="4" w:space="0" w:color="auto"/>
              <w:right w:val="single" w:sz="4" w:space="0" w:color="auto"/>
            </w:tcBorders>
            <w:shd w:val="clear" w:color="auto" w:fill="auto"/>
            <w:noWrap/>
            <w:vAlign w:val="center"/>
          </w:tcPr>
          <w:p w14:paraId="167FC25A" w14:textId="77777777" w:rsidR="005F565B" w:rsidRPr="007672BF" w:rsidRDefault="005F565B" w:rsidP="005F565B">
            <w:pPr>
              <w:rPr>
                <w:rFonts w:ascii="Arial Narrow" w:hAnsi="Arial Narrow"/>
                <w:bCs/>
                <w:sz w:val="20"/>
              </w:rPr>
            </w:pPr>
          </w:p>
        </w:tc>
        <w:tc>
          <w:tcPr>
            <w:tcW w:w="383" w:type="dxa"/>
            <w:tcBorders>
              <w:top w:val="single" w:sz="4" w:space="0" w:color="auto"/>
              <w:left w:val="nil"/>
              <w:bottom w:val="single" w:sz="4" w:space="0" w:color="auto"/>
              <w:right w:val="single" w:sz="4" w:space="0" w:color="auto"/>
            </w:tcBorders>
            <w:shd w:val="clear" w:color="auto" w:fill="auto"/>
            <w:noWrap/>
            <w:vAlign w:val="bottom"/>
          </w:tcPr>
          <w:p w14:paraId="3E4FB3B0" w14:textId="77777777" w:rsidR="005F565B" w:rsidRDefault="005F565B" w:rsidP="005F565B">
            <w:pPr>
              <w:jc w:val="center"/>
              <w:rPr>
                <w:rFonts w:ascii="Arial Narrow" w:hAnsi="Arial Narrow"/>
                <w:bCs/>
                <w:sz w:val="20"/>
              </w:rPr>
            </w:pPr>
            <w:r>
              <w:rPr>
                <w:rFonts w:ascii="Arial Narrow" w:hAnsi="Arial Narrow"/>
                <w:bCs/>
                <w:sz w:val="20"/>
              </w:rPr>
              <w:t>5</w:t>
            </w:r>
          </w:p>
        </w:tc>
        <w:tc>
          <w:tcPr>
            <w:tcW w:w="1034" w:type="dxa"/>
            <w:tcBorders>
              <w:top w:val="single" w:sz="4" w:space="0" w:color="auto"/>
              <w:left w:val="nil"/>
              <w:bottom w:val="single" w:sz="4" w:space="0" w:color="auto"/>
              <w:right w:val="single" w:sz="4" w:space="0" w:color="auto"/>
            </w:tcBorders>
            <w:shd w:val="clear" w:color="auto" w:fill="auto"/>
            <w:noWrap/>
            <w:vAlign w:val="center"/>
          </w:tcPr>
          <w:p w14:paraId="12AD3B3C"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0.38</w:t>
            </w:r>
          </w:p>
        </w:tc>
        <w:tc>
          <w:tcPr>
            <w:tcW w:w="993" w:type="dxa"/>
            <w:tcBorders>
              <w:top w:val="single" w:sz="4" w:space="0" w:color="auto"/>
              <w:left w:val="nil"/>
              <w:bottom w:val="single" w:sz="4" w:space="0" w:color="auto"/>
              <w:right w:val="single" w:sz="4" w:space="0" w:color="auto"/>
            </w:tcBorders>
            <w:shd w:val="clear" w:color="auto" w:fill="auto"/>
            <w:noWrap/>
            <w:vAlign w:val="center"/>
          </w:tcPr>
          <w:p w14:paraId="1AC62D8A"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3FCDB836"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5220C87B" w14:textId="77777777" w:rsidR="005F565B" w:rsidRPr="006608FC" w:rsidRDefault="005F565B" w:rsidP="005F565B">
            <w:pPr>
              <w:jc w:val="center"/>
              <w:rPr>
                <w:rFonts w:ascii="Arial Narrow" w:hAnsi="Arial Narrow"/>
                <w:color w:val="000000"/>
                <w:sz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B800D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center"/>
          </w:tcPr>
          <w:p w14:paraId="0405BA2A"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0.45</w:t>
            </w:r>
          </w:p>
        </w:tc>
      </w:tr>
      <w:tr w:rsidR="005F565B" w:rsidRPr="00C15A2E" w14:paraId="3521E181" w14:textId="77777777" w:rsidTr="00AE0BFC">
        <w:trPr>
          <w:trHeight w:val="185"/>
        </w:trPr>
        <w:tc>
          <w:tcPr>
            <w:tcW w:w="875" w:type="dxa"/>
            <w:vMerge/>
            <w:tcBorders>
              <w:left w:val="single" w:sz="4" w:space="0" w:color="auto"/>
              <w:right w:val="single" w:sz="4" w:space="0" w:color="auto"/>
            </w:tcBorders>
            <w:shd w:val="clear" w:color="auto" w:fill="auto"/>
            <w:noWrap/>
            <w:textDirection w:val="btLr"/>
            <w:vAlign w:val="center"/>
          </w:tcPr>
          <w:p w14:paraId="691BEA6B" w14:textId="77777777" w:rsidR="005F565B" w:rsidRPr="002710DB" w:rsidRDefault="005F565B" w:rsidP="005F565B">
            <w:pPr>
              <w:jc w:val="center"/>
              <w:rPr>
                <w:rFonts w:ascii="Arial Narrow" w:hAnsi="Arial Narrow"/>
                <w:b/>
                <w:bCs/>
                <w:sz w:val="20"/>
              </w:rPr>
            </w:pPr>
          </w:p>
        </w:tc>
        <w:tc>
          <w:tcPr>
            <w:tcW w:w="1692" w:type="dxa"/>
            <w:gridSpan w:val="2"/>
            <w:vMerge w:val="restart"/>
            <w:tcBorders>
              <w:top w:val="single" w:sz="4" w:space="0" w:color="auto"/>
              <w:left w:val="single" w:sz="4" w:space="0" w:color="auto"/>
              <w:right w:val="single" w:sz="4" w:space="0" w:color="auto"/>
            </w:tcBorders>
            <w:shd w:val="clear" w:color="auto" w:fill="auto"/>
            <w:noWrap/>
            <w:vAlign w:val="center"/>
          </w:tcPr>
          <w:p w14:paraId="6EFCFC89" w14:textId="77777777" w:rsidR="005F565B" w:rsidRPr="007672BF" w:rsidRDefault="005F565B" w:rsidP="005F565B">
            <w:pPr>
              <w:rPr>
                <w:rFonts w:ascii="Arial Narrow" w:hAnsi="Arial Narrow"/>
                <w:bCs/>
                <w:sz w:val="20"/>
              </w:rPr>
            </w:pPr>
            <w:r w:rsidRPr="007672BF">
              <w:rPr>
                <w:rFonts w:ascii="Arial Narrow" w:hAnsi="Arial Narrow"/>
                <w:bCs/>
                <w:sz w:val="20"/>
              </w:rPr>
              <w:t>Franklands East</w:t>
            </w:r>
          </w:p>
        </w:tc>
        <w:tc>
          <w:tcPr>
            <w:tcW w:w="383" w:type="dxa"/>
            <w:tcBorders>
              <w:top w:val="single" w:sz="4" w:space="0" w:color="auto"/>
              <w:left w:val="nil"/>
              <w:bottom w:val="single" w:sz="4" w:space="0" w:color="auto"/>
              <w:right w:val="single" w:sz="4" w:space="0" w:color="auto"/>
            </w:tcBorders>
            <w:shd w:val="clear" w:color="auto" w:fill="auto"/>
            <w:noWrap/>
            <w:vAlign w:val="bottom"/>
          </w:tcPr>
          <w:p w14:paraId="7A7102A9" w14:textId="77777777" w:rsidR="005F565B" w:rsidRDefault="005F565B" w:rsidP="005F565B">
            <w:pPr>
              <w:jc w:val="center"/>
              <w:rPr>
                <w:rFonts w:ascii="Arial Narrow" w:hAnsi="Arial Narrow"/>
                <w:bCs/>
                <w:sz w:val="20"/>
              </w:rPr>
            </w:pPr>
            <w:r>
              <w:rPr>
                <w:rFonts w:ascii="Arial Narrow" w:hAnsi="Arial Narrow"/>
                <w:bCs/>
                <w:sz w:val="20"/>
              </w:rPr>
              <w:t>2</w:t>
            </w:r>
          </w:p>
        </w:tc>
        <w:tc>
          <w:tcPr>
            <w:tcW w:w="1034" w:type="dxa"/>
            <w:tcBorders>
              <w:top w:val="single" w:sz="4" w:space="0" w:color="auto"/>
              <w:left w:val="nil"/>
              <w:bottom w:val="single" w:sz="4" w:space="0" w:color="auto"/>
              <w:right w:val="single" w:sz="4" w:space="0" w:color="auto"/>
            </w:tcBorders>
            <w:shd w:val="clear" w:color="auto" w:fill="auto"/>
            <w:noWrap/>
            <w:vAlign w:val="center"/>
          </w:tcPr>
          <w:p w14:paraId="5C800700"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0.36</w:t>
            </w:r>
          </w:p>
        </w:tc>
        <w:tc>
          <w:tcPr>
            <w:tcW w:w="993" w:type="dxa"/>
            <w:tcBorders>
              <w:top w:val="single" w:sz="4" w:space="0" w:color="auto"/>
              <w:left w:val="nil"/>
              <w:bottom w:val="single" w:sz="4" w:space="0" w:color="auto"/>
              <w:right w:val="single" w:sz="4" w:space="0" w:color="auto"/>
            </w:tcBorders>
            <w:shd w:val="clear" w:color="auto" w:fill="auto"/>
            <w:noWrap/>
            <w:vAlign w:val="center"/>
          </w:tcPr>
          <w:p w14:paraId="369983B6"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3A5EA87F"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5C72DFA2"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0.38</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FA3F57"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center"/>
          </w:tcPr>
          <w:p w14:paraId="445CBF40"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0.31</w:t>
            </w:r>
          </w:p>
        </w:tc>
      </w:tr>
      <w:tr w:rsidR="005F565B" w:rsidRPr="00C15A2E" w14:paraId="7F5E8A54" w14:textId="77777777" w:rsidTr="00AE0BFC">
        <w:trPr>
          <w:trHeight w:val="185"/>
        </w:trPr>
        <w:tc>
          <w:tcPr>
            <w:tcW w:w="875" w:type="dxa"/>
            <w:vMerge/>
            <w:tcBorders>
              <w:left w:val="single" w:sz="4" w:space="0" w:color="auto"/>
              <w:right w:val="single" w:sz="4" w:space="0" w:color="auto"/>
            </w:tcBorders>
            <w:shd w:val="clear" w:color="auto" w:fill="auto"/>
            <w:noWrap/>
            <w:textDirection w:val="btLr"/>
            <w:vAlign w:val="center"/>
          </w:tcPr>
          <w:p w14:paraId="6FD4D0E0" w14:textId="77777777" w:rsidR="005F565B" w:rsidRPr="002710DB" w:rsidRDefault="005F565B" w:rsidP="005F565B">
            <w:pPr>
              <w:jc w:val="center"/>
              <w:rPr>
                <w:rFonts w:ascii="Arial Narrow" w:hAnsi="Arial Narrow"/>
                <w:b/>
                <w:bCs/>
                <w:sz w:val="20"/>
              </w:rPr>
            </w:pPr>
          </w:p>
        </w:tc>
        <w:tc>
          <w:tcPr>
            <w:tcW w:w="1692" w:type="dxa"/>
            <w:gridSpan w:val="2"/>
            <w:vMerge/>
            <w:tcBorders>
              <w:left w:val="single" w:sz="4" w:space="0" w:color="auto"/>
              <w:bottom w:val="single" w:sz="4" w:space="0" w:color="auto"/>
              <w:right w:val="single" w:sz="4" w:space="0" w:color="auto"/>
            </w:tcBorders>
            <w:shd w:val="clear" w:color="auto" w:fill="auto"/>
            <w:noWrap/>
            <w:vAlign w:val="center"/>
          </w:tcPr>
          <w:p w14:paraId="525E185C" w14:textId="77777777" w:rsidR="005F565B" w:rsidRPr="007672BF" w:rsidRDefault="005F565B" w:rsidP="005F565B">
            <w:pPr>
              <w:rPr>
                <w:rFonts w:ascii="Arial Narrow" w:hAnsi="Arial Narrow"/>
                <w:bCs/>
                <w:sz w:val="20"/>
              </w:rPr>
            </w:pPr>
          </w:p>
        </w:tc>
        <w:tc>
          <w:tcPr>
            <w:tcW w:w="383" w:type="dxa"/>
            <w:tcBorders>
              <w:top w:val="single" w:sz="4" w:space="0" w:color="auto"/>
              <w:left w:val="nil"/>
              <w:bottom w:val="single" w:sz="4" w:space="0" w:color="auto"/>
              <w:right w:val="single" w:sz="4" w:space="0" w:color="auto"/>
            </w:tcBorders>
            <w:shd w:val="clear" w:color="auto" w:fill="auto"/>
            <w:noWrap/>
            <w:vAlign w:val="bottom"/>
          </w:tcPr>
          <w:p w14:paraId="7ED96C57" w14:textId="77777777" w:rsidR="005F565B" w:rsidRDefault="005F565B" w:rsidP="005F565B">
            <w:pPr>
              <w:jc w:val="center"/>
              <w:rPr>
                <w:rFonts w:ascii="Arial Narrow" w:hAnsi="Arial Narrow"/>
                <w:bCs/>
                <w:sz w:val="20"/>
              </w:rPr>
            </w:pPr>
            <w:r>
              <w:rPr>
                <w:rFonts w:ascii="Arial Narrow" w:hAnsi="Arial Narrow"/>
                <w:bCs/>
                <w:sz w:val="20"/>
              </w:rPr>
              <w:t>5</w:t>
            </w:r>
          </w:p>
        </w:tc>
        <w:tc>
          <w:tcPr>
            <w:tcW w:w="1034" w:type="dxa"/>
            <w:tcBorders>
              <w:top w:val="single" w:sz="4" w:space="0" w:color="auto"/>
              <w:left w:val="nil"/>
              <w:bottom w:val="single" w:sz="4" w:space="0" w:color="auto"/>
              <w:right w:val="single" w:sz="4" w:space="0" w:color="auto"/>
            </w:tcBorders>
            <w:shd w:val="clear" w:color="auto" w:fill="auto"/>
            <w:noWrap/>
            <w:vAlign w:val="center"/>
          </w:tcPr>
          <w:p w14:paraId="761E4D86"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0.62</w:t>
            </w:r>
          </w:p>
        </w:tc>
        <w:tc>
          <w:tcPr>
            <w:tcW w:w="993" w:type="dxa"/>
            <w:tcBorders>
              <w:top w:val="single" w:sz="4" w:space="0" w:color="auto"/>
              <w:left w:val="nil"/>
              <w:bottom w:val="single" w:sz="4" w:space="0" w:color="auto"/>
              <w:right w:val="single" w:sz="4" w:space="0" w:color="auto"/>
            </w:tcBorders>
            <w:shd w:val="clear" w:color="auto" w:fill="auto"/>
            <w:noWrap/>
            <w:vAlign w:val="center"/>
          </w:tcPr>
          <w:p w14:paraId="0390FAB4"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0.61</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6BEE89F4"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392F492E"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0.90</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174725"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261143B0"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0.63</w:t>
            </w:r>
          </w:p>
        </w:tc>
      </w:tr>
      <w:tr w:rsidR="007232CE" w:rsidRPr="00C15A2E" w14:paraId="69C1AAED" w14:textId="77777777" w:rsidTr="00AE0BFC">
        <w:trPr>
          <w:trHeight w:val="185"/>
        </w:trPr>
        <w:tc>
          <w:tcPr>
            <w:tcW w:w="875" w:type="dxa"/>
            <w:vMerge/>
            <w:tcBorders>
              <w:left w:val="single" w:sz="4" w:space="0" w:color="auto"/>
              <w:right w:val="single" w:sz="4" w:space="0" w:color="auto"/>
            </w:tcBorders>
            <w:vAlign w:val="center"/>
          </w:tcPr>
          <w:p w14:paraId="68EDBF16" w14:textId="77777777" w:rsidR="007232CE" w:rsidRPr="002710DB" w:rsidRDefault="007232CE" w:rsidP="000A3DCB">
            <w:pPr>
              <w:rPr>
                <w:rFonts w:ascii="Arial Narrow" w:hAnsi="Arial Narrow"/>
                <w:b/>
                <w:bCs/>
                <w:sz w:val="20"/>
              </w:rPr>
            </w:pPr>
          </w:p>
        </w:tc>
        <w:tc>
          <w:tcPr>
            <w:tcW w:w="1692" w:type="dxa"/>
            <w:gridSpan w:val="2"/>
            <w:tcBorders>
              <w:top w:val="nil"/>
              <w:left w:val="single" w:sz="4" w:space="0" w:color="auto"/>
              <w:bottom w:val="single" w:sz="4" w:space="0" w:color="auto"/>
              <w:right w:val="single" w:sz="4" w:space="0" w:color="auto"/>
            </w:tcBorders>
            <w:shd w:val="clear" w:color="auto" w:fill="auto"/>
            <w:noWrap/>
            <w:vAlign w:val="center"/>
          </w:tcPr>
          <w:p w14:paraId="03C89187" w14:textId="77777777" w:rsidR="007232CE" w:rsidRPr="007672BF" w:rsidDel="000A3DCB" w:rsidRDefault="007232CE" w:rsidP="000A3DCB">
            <w:pPr>
              <w:rPr>
                <w:rFonts w:ascii="Arial Narrow" w:hAnsi="Arial Narrow"/>
                <w:bCs/>
                <w:sz w:val="20"/>
              </w:rPr>
            </w:pPr>
            <w:r>
              <w:rPr>
                <w:rFonts w:ascii="Arial Narrow" w:hAnsi="Arial Narrow"/>
                <w:bCs/>
                <w:sz w:val="20"/>
              </w:rPr>
              <w:t xml:space="preserve">Green </w:t>
            </w:r>
          </w:p>
        </w:tc>
        <w:tc>
          <w:tcPr>
            <w:tcW w:w="383" w:type="dxa"/>
            <w:tcBorders>
              <w:top w:val="nil"/>
              <w:left w:val="nil"/>
              <w:bottom w:val="single" w:sz="4" w:space="0" w:color="auto"/>
              <w:right w:val="single" w:sz="4" w:space="0" w:color="auto"/>
            </w:tcBorders>
            <w:shd w:val="clear" w:color="auto" w:fill="auto"/>
            <w:noWrap/>
            <w:vAlign w:val="bottom"/>
          </w:tcPr>
          <w:p w14:paraId="4083960D" w14:textId="77777777" w:rsidR="007232CE" w:rsidRPr="007672BF" w:rsidRDefault="007232CE" w:rsidP="000A3DCB">
            <w:pPr>
              <w:jc w:val="center"/>
              <w:rPr>
                <w:rFonts w:ascii="Arial Narrow" w:hAnsi="Arial Narrow"/>
                <w:bCs/>
                <w:sz w:val="20"/>
              </w:rPr>
            </w:pPr>
            <w:r>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1320386F" w14:textId="77777777" w:rsidR="007232CE" w:rsidRPr="006608FC" w:rsidDel="000A3DCB" w:rsidRDefault="007232CE" w:rsidP="007232CE">
            <w:pPr>
              <w:jc w:val="center"/>
              <w:rPr>
                <w:rFonts w:ascii="Arial Narrow" w:hAnsi="Arial Narrow"/>
                <w:color w:val="000000"/>
                <w:sz w:val="20"/>
              </w:rPr>
            </w:pPr>
            <w:r w:rsidRPr="006608FC">
              <w:rPr>
                <w:rFonts w:ascii="Arial Narrow" w:hAnsi="Arial Narrow"/>
                <w:color w:val="000000"/>
                <w:sz w:val="20"/>
              </w:rPr>
              <w:t>0.16</w:t>
            </w:r>
          </w:p>
        </w:tc>
        <w:tc>
          <w:tcPr>
            <w:tcW w:w="993" w:type="dxa"/>
            <w:tcBorders>
              <w:top w:val="nil"/>
              <w:left w:val="nil"/>
              <w:bottom w:val="single" w:sz="4" w:space="0" w:color="auto"/>
              <w:right w:val="single" w:sz="4" w:space="0" w:color="auto"/>
            </w:tcBorders>
            <w:shd w:val="clear" w:color="auto" w:fill="auto"/>
            <w:noWrap/>
            <w:vAlign w:val="center"/>
          </w:tcPr>
          <w:p w14:paraId="5621A748" w14:textId="77777777" w:rsidR="007232CE" w:rsidRPr="006608FC" w:rsidDel="000A3DCB" w:rsidRDefault="007232CE" w:rsidP="007232CE">
            <w:pPr>
              <w:jc w:val="center"/>
              <w:rPr>
                <w:rFonts w:ascii="Arial Narrow" w:hAnsi="Arial Narrow"/>
                <w:color w:val="000000"/>
                <w:sz w:val="20"/>
              </w:rPr>
            </w:pPr>
            <w:r w:rsidRPr="006608FC">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641B4E65" w14:textId="77777777" w:rsidR="007232CE" w:rsidRPr="006608FC" w:rsidDel="000A3DCB" w:rsidRDefault="007232CE" w:rsidP="007232CE">
            <w:pPr>
              <w:jc w:val="center"/>
              <w:rPr>
                <w:rFonts w:ascii="Arial Narrow" w:hAnsi="Arial Narrow"/>
                <w:color w:val="000000"/>
                <w:sz w:val="20"/>
              </w:rPr>
            </w:pPr>
            <w:r w:rsidRPr="006608FC">
              <w:rPr>
                <w:rFonts w:ascii="Arial Narrow" w:hAnsi="Arial Narrow"/>
                <w:color w:val="000000"/>
                <w:sz w:val="20"/>
              </w:rPr>
              <w:t>0.68</w:t>
            </w:r>
          </w:p>
        </w:tc>
        <w:tc>
          <w:tcPr>
            <w:tcW w:w="1134" w:type="dxa"/>
            <w:tcBorders>
              <w:top w:val="nil"/>
              <w:left w:val="nil"/>
              <w:bottom w:val="single" w:sz="4" w:space="0" w:color="auto"/>
              <w:right w:val="single" w:sz="4" w:space="0" w:color="auto"/>
            </w:tcBorders>
            <w:shd w:val="clear" w:color="auto" w:fill="auto"/>
            <w:noWrap/>
            <w:vAlign w:val="center"/>
          </w:tcPr>
          <w:p w14:paraId="069B5F59" w14:textId="77777777" w:rsidR="007232CE" w:rsidRPr="006608FC" w:rsidDel="000A3DCB" w:rsidRDefault="007232CE" w:rsidP="007232CE">
            <w:pPr>
              <w:jc w:val="center"/>
              <w:rPr>
                <w:rFonts w:ascii="Arial Narrow" w:hAnsi="Arial Narrow"/>
                <w:color w:val="000000"/>
                <w:sz w:val="20"/>
              </w:rPr>
            </w:pP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11A586F7" w14:textId="77777777" w:rsidR="007232CE" w:rsidRPr="006608FC" w:rsidDel="000A3DCB" w:rsidRDefault="007232CE" w:rsidP="007232CE">
            <w:pPr>
              <w:jc w:val="center"/>
              <w:rPr>
                <w:rFonts w:ascii="Arial Narrow" w:hAnsi="Arial Narrow"/>
                <w:color w:val="000000"/>
                <w:sz w:val="20"/>
              </w:rPr>
            </w:pPr>
            <w:r w:rsidRPr="006608FC">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center"/>
          </w:tcPr>
          <w:p w14:paraId="16377CF6" w14:textId="77777777" w:rsidR="007232CE" w:rsidRPr="007232CE" w:rsidRDefault="007232CE" w:rsidP="00097F55">
            <w:pPr>
              <w:jc w:val="center"/>
              <w:rPr>
                <w:rFonts w:ascii="Arial Narrow" w:hAnsi="Arial Narrow"/>
                <w:color w:val="000000"/>
                <w:sz w:val="20"/>
              </w:rPr>
            </w:pPr>
            <w:r w:rsidRPr="007232CE">
              <w:rPr>
                <w:rFonts w:ascii="Arial Narrow" w:hAnsi="Arial Narrow"/>
                <w:color w:val="000000"/>
                <w:sz w:val="20"/>
              </w:rPr>
              <w:t>0.</w:t>
            </w:r>
            <w:r w:rsidR="00097F55">
              <w:rPr>
                <w:rFonts w:ascii="Arial Narrow" w:hAnsi="Arial Narrow"/>
                <w:color w:val="000000"/>
                <w:sz w:val="20"/>
              </w:rPr>
              <w:t>4</w:t>
            </w:r>
            <w:r w:rsidR="00097F55" w:rsidRPr="007232CE">
              <w:rPr>
                <w:rFonts w:ascii="Arial Narrow" w:hAnsi="Arial Narrow"/>
                <w:color w:val="000000"/>
                <w:sz w:val="20"/>
              </w:rPr>
              <w:t>7</w:t>
            </w:r>
          </w:p>
        </w:tc>
      </w:tr>
      <w:tr w:rsidR="005F565B" w:rsidRPr="00C15A2E" w14:paraId="13CD75BE" w14:textId="77777777" w:rsidTr="00AE0BFC">
        <w:trPr>
          <w:trHeight w:val="185"/>
        </w:trPr>
        <w:tc>
          <w:tcPr>
            <w:tcW w:w="875" w:type="dxa"/>
            <w:vMerge/>
            <w:tcBorders>
              <w:left w:val="single" w:sz="4" w:space="0" w:color="auto"/>
              <w:right w:val="single" w:sz="4" w:space="0" w:color="auto"/>
            </w:tcBorders>
            <w:vAlign w:val="center"/>
            <w:hideMark/>
          </w:tcPr>
          <w:p w14:paraId="45C743D4" w14:textId="77777777" w:rsidR="005F565B" w:rsidRPr="002710DB" w:rsidRDefault="005F565B" w:rsidP="005F565B">
            <w:pPr>
              <w:rPr>
                <w:rFonts w:ascii="Arial Narrow" w:hAnsi="Arial Narrow"/>
                <w:b/>
                <w:bCs/>
                <w:sz w:val="20"/>
              </w:rPr>
            </w:pPr>
          </w:p>
        </w:tc>
        <w:tc>
          <w:tcPr>
            <w:tcW w:w="1692" w:type="dxa"/>
            <w:gridSpan w:val="2"/>
            <w:vMerge w:val="restart"/>
            <w:tcBorders>
              <w:top w:val="nil"/>
              <w:left w:val="single" w:sz="4" w:space="0" w:color="auto"/>
              <w:bottom w:val="single" w:sz="4" w:space="0" w:color="auto"/>
              <w:right w:val="single" w:sz="4" w:space="0" w:color="auto"/>
            </w:tcBorders>
            <w:shd w:val="clear" w:color="auto" w:fill="auto"/>
            <w:noWrap/>
            <w:vAlign w:val="center"/>
          </w:tcPr>
          <w:p w14:paraId="0881EDEA" w14:textId="77777777" w:rsidR="005F565B" w:rsidRPr="007672BF" w:rsidRDefault="005F565B" w:rsidP="005F565B">
            <w:pPr>
              <w:rPr>
                <w:rFonts w:ascii="Arial Narrow" w:hAnsi="Arial Narrow"/>
                <w:bCs/>
                <w:sz w:val="20"/>
              </w:rPr>
            </w:pPr>
            <w:r w:rsidRPr="00C15A2E">
              <w:rPr>
                <w:rFonts w:ascii="Arial Narrow" w:hAnsi="Arial Narrow"/>
                <w:bCs/>
                <w:sz w:val="20"/>
              </w:rPr>
              <w:t>Franklands West</w:t>
            </w:r>
          </w:p>
        </w:tc>
        <w:tc>
          <w:tcPr>
            <w:tcW w:w="383" w:type="dxa"/>
            <w:tcBorders>
              <w:top w:val="nil"/>
              <w:left w:val="nil"/>
              <w:bottom w:val="single" w:sz="4" w:space="0" w:color="auto"/>
              <w:right w:val="single" w:sz="4" w:space="0" w:color="auto"/>
            </w:tcBorders>
            <w:shd w:val="clear" w:color="auto" w:fill="auto"/>
            <w:noWrap/>
            <w:vAlign w:val="bottom"/>
          </w:tcPr>
          <w:p w14:paraId="7B90F1F0" w14:textId="77777777" w:rsidR="005F565B" w:rsidRPr="007672BF" w:rsidRDefault="005F565B" w:rsidP="005F565B">
            <w:pPr>
              <w:jc w:val="center"/>
              <w:rPr>
                <w:rFonts w:ascii="Arial Narrow" w:hAnsi="Arial Narrow"/>
                <w:bCs/>
                <w:sz w:val="20"/>
              </w:rPr>
            </w:pPr>
            <w:r>
              <w:rPr>
                <w:rFonts w:ascii="Arial Narrow" w:hAnsi="Arial Narrow"/>
                <w:bCs/>
                <w:sz w:val="20"/>
              </w:rPr>
              <w:t>2</w:t>
            </w:r>
          </w:p>
        </w:tc>
        <w:tc>
          <w:tcPr>
            <w:tcW w:w="1034" w:type="dxa"/>
            <w:tcBorders>
              <w:top w:val="nil"/>
              <w:left w:val="nil"/>
              <w:bottom w:val="single" w:sz="4" w:space="0" w:color="auto"/>
              <w:right w:val="single" w:sz="4" w:space="0" w:color="auto"/>
            </w:tcBorders>
            <w:shd w:val="clear" w:color="auto" w:fill="auto"/>
            <w:noWrap/>
            <w:vAlign w:val="center"/>
          </w:tcPr>
          <w:p w14:paraId="029E6C6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0.81</w:t>
            </w:r>
          </w:p>
        </w:tc>
        <w:tc>
          <w:tcPr>
            <w:tcW w:w="993" w:type="dxa"/>
            <w:tcBorders>
              <w:top w:val="nil"/>
              <w:left w:val="nil"/>
              <w:bottom w:val="single" w:sz="4" w:space="0" w:color="auto"/>
              <w:right w:val="single" w:sz="4" w:space="0" w:color="auto"/>
            </w:tcBorders>
            <w:shd w:val="clear" w:color="auto" w:fill="auto"/>
            <w:noWrap/>
            <w:vAlign w:val="center"/>
          </w:tcPr>
          <w:p w14:paraId="12B1EB76"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0.43</w:t>
            </w:r>
          </w:p>
        </w:tc>
        <w:tc>
          <w:tcPr>
            <w:tcW w:w="1134" w:type="dxa"/>
            <w:tcBorders>
              <w:top w:val="nil"/>
              <w:left w:val="nil"/>
              <w:bottom w:val="single" w:sz="4" w:space="0" w:color="auto"/>
              <w:right w:val="single" w:sz="4" w:space="0" w:color="auto"/>
            </w:tcBorders>
            <w:shd w:val="clear" w:color="auto" w:fill="auto"/>
            <w:noWrap/>
            <w:vAlign w:val="center"/>
          </w:tcPr>
          <w:p w14:paraId="4EA2D640"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0.37</w:t>
            </w:r>
          </w:p>
        </w:tc>
        <w:tc>
          <w:tcPr>
            <w:tcW w:w="1134" w:type="dxa"/>
            <w:tcBorders>
              <w:top w:val="nil"/>
              <w:left w:val="nil"/>
              <w:bottom w:val="single" w:sz="4" w:space="0" w:color="auto"/>
              <w:right w:val="single" w:sz="4" w:space="0" w:color="auto"/>
            </w:tcBorders>
            <w:shd w:val="clear" w:color="auto" w:fill="auto"/>
            <w:noWrap/>
            <w:vAlign w:val="center"/>
          </w:tcPr>
          <w:p w14:paraId="5802318F"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0.55</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673432C2"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center"/>
          </w:tcPr>
          <w:p w14:paraId="588C2753"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0.53</w:t>
            </w:r>
          </w:p>
        </w:tc>
      </w:tr>
      <w:tr w:rsidR="005F565B" w:rsidRPr="00C15A2E" w14:paraId="1618EB06" w14:textId="77777777" w:rsidTr="00AE0BFC">
        <w:trPr>
          <w:trHeight w:val="185"/>
        </w:trPr>
        <w:tc>
          <w:tcPr>
            <w:tcW w:w="875" w:type="dxa"/>
            <w:vMerge/>
            <w:tcBorders>
              <w:left w:val="single" w:sz="4" w:space="0" w:color="auto"/>
              <w:right w:val="single" w:sz="4" w:space="0" w:color="auto"/>
            </w:tcBorders>
            <w:vAlign w:val="center"/>
            <w:hideMark/>
          </w:tcPr>
          <w:p w14:paraId="4C2AC4A7" w14:textId="77777777" w:rsidR="005F565B" w:rsidRPr="002710DB" w:rsidRDefault="005F565B" w:rsidP="005F565B">
            <w:pPr>
              <w:rPr>
                <w:rFonts w:ascii="Arial Narrow" w:hAnsi="Arial Narrow"/>
                <w:b/>
                <w:bCs/>
                <w:sz w:val="20"/>
              </w:rPr>
            </w:pPr>
          </w:p>
        </w:tc>
        <w:tc>
          <w:tcPr>
            <w:tcW w:w="1692" w:type="dxa"/>
            <w:gridSpan w:val="2"/>
            <w:vMerge/>
            <w:tcBorders>
              <w:top w:val="nil"/>
              <w:left w:val="single" w:sz="4" w:space="0" w:color="auto"/>
              <w:bottom w:val="single" w:sz="4" w:space="0" w:color="auto"/>
              <w:right w:val="single" w:sz="4" w:space="0" w:color="auto"/>
            </w:tcBorders>
            <w:vAlign w:val="center"/>
          </w:tcPr>
          <w:p w14:paraId="1FC71136" w14:textId="77777777" w:rsidR="005F565B" w:rsidRPr="007672BF" w:rsidRDefault="005F565B" w:rsidP="005F565B">
            <w:pPr>
              <w:rPr>
                <w:rFonts w:ascii="Arial Narrow" w:hAnsi="Arial Narrow"/>
                <w:bCs/>
                <w:sz w:val="20"/>
              </w:rPr>
            </w:pPr>
          </w:p>
        </w:tc>
        <w:tc>
          <w:tcPr>
            <w:tcW w:w="383" w:type="dxa"/>
            <w:tcBorders>
              <w:top w:val="nil"/>
              <w:left w:val="nil"/>
              <w:bottom w:val="single" w:sz="4" w:space="0" w:color="auto"/>
              <w:right w:val="single" w:sz="4" w:space="0" w:color="auto"/>
            </w:tcBorders>
            <w:shd w:val="clear" w:color="auto" w:fill="auto"/>
            <w:noWrap/>
            <w:vAlign w:val="bottom"/>
          </w:tcPr>
          <w:p w14:paraId="32EC1697" w14:textId="77777777" w:rsidR="005F565B" w:rsidRPr="007672BF" w:rsidRDefault="005F565B" w:rsidP="005F565B">
            <w:pPr>
              <w:jc w:val="center"/>
              <w:rPr>
                <w:rFonts w:ascii="Arial Narrow" w:hAnsi="Arial Narrow"/>
                <w:bCs/>
                <w:sz w:val="20"/>
              </w:rPr>
            </w:pPr>
            <w:r>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262B6DC2"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0.69</w:t>
            </w:r>
          </w:p>
        </w:tc>
        <w:tc>
          <w:tcPr>
            <w:tcW w:w="993" w:type="dxa"/>
            <w:tcBorders>
              <w:top w:val="nil"/>
              <w:left w:val="nil"/>
              <w:bottom w:val="single" w:sz="4" w:space="0" w:color="auto"/>
              <w:right w:val="single" w:sz="4" w:space="0" w:color="auto"/>
            </w:tcBorders>
            <w:shd w:val="clear" w:color="auto" w:fill="auto"/>
            <w:noWrap/>
            <w:vAlign w:val="center"/>
          </w:tcPr>
          <w:p w14:paraId="6B1E6937"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0.25</w:t>
            </w:r>
          </w:p>
        </w:tc>
        <w:tc>
          <w:tcPr>
            <w:tcW w:w="1134" w:type="dxa"/>
            <w:tcBorders>
              <w:top w:val="nil"/>
              <w:left w:val="nil"/>
              <w:bottom w:val="single" w:sz="4" w:space="0" w:color="auto"/>
              <w:right w:val="single" w:sz="4" w:space="0" w:color="auto"/>
            </w:tcBorders>
            <w:shd w:val="clear" w:color="auto" w:fill="auto"/>
            <w:noWrap/>
            <w:vAlign w:val="center"/>
          </w:tcPr>
          <w:p w14:paraId="08B75699"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0.56</w:t>
            </w:r>
          </w:p>
        </w:tc>
        <w:tc>
          <w:tcPr>
            <w:tcW w:w="1134" w:type="dxa"/>
            <w:tcBorders>
              <w:top w:val="nil"/>
              <w:left w:val="nil"/>
              <w:bottom w:val="single" w:sz="4" w:space="0" w:color="auto"/>
              <w:right w:val="single" w:sz="4" w:space="0" w:color="auto"/>
            </w:tcBorders>
            <w:shd w:val="clear" w:color="auto" w:fill="auto"/>
            <w:noWrap/>
            <w:vAlign w:val="center"/>
          </w:tcPr>
          <w:p w14:paraId="7C81E98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0.33</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1EE98205"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center"/>
          </w:tcPr>
          <w:p w14:paraId="7F2DAB7E"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0.57</w:t>
            </w:r>
          </w:p>
        </w:tc>
      </w:tr>
      <w:tr w:rsidR="005F565B" w:rsidRPr="00C15A2E" w14:paraId="5D34B987" w14:textId="77777777" w:rsidTr="00AE0BFC">
        <w:trPr>
          <w:trHeight w:val="185"/>
        </w:trPr>
        <w:tc>
          <w:tcPr>
            <w:tcW w:w="875" w:type="dxa"/>
            <w:vMerge/>
            <w:tcBorders>
              <w:left w:val="single" w:sz="4" w:space="0" w:color="auto"/>
              <w:right w:val="single" w:sz="4" w:space="0" w:color="auto"/>
            </w:tcBorders>
            <w:vAlign w:val="center"/>
          </w:tcPr>
          <w:p w14:paraId="54FD0E89" w14:textId="77777777" w:rsidR="005F565B" w:rsidRPr="002710DB" w:rsidRDefault="005F565B" w:rsidP="005F565B">
            <w:pPr>
              <w:rPr>
                <w:rFonts w:ascii="Arial Narrow" w:hAnsi="Arial Narrow"/>
                <w:b/>
                <w:bCs/>
                <w:sz w:val="20"/>
              </w:rPr>
            </w:pPr>
          </w:p>
        </w:tc>
        <w:tc>
          <w:tcPr>
            <w:tcW w:w="1692"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0B2370F2" w14:textId="77777777" w:rsidR="005F565B" w:rsidRPr="00C15A2E" w:rsidRDefault="005F565B" w:rsidP="005F565B">
            <w:pPr>
              <w:rPr>
                <w:rFonts w:ascii="Arial Narrow" w:hAnsi="Arial Narrow"/>
                <w:bCs/>
                <w:sz w:val="20"/>
              </w:rPr>
            </w:pPr>
            <w:r w:rsidRPr="002710DB">
              <w:rPr>
                <w:rFonts w:ascii="Arial Narrow" w:hAnsi="Arial Narrow"/>
                <w:bCs/>
                <w:sz w:val="20"/>
              </w:rPr>
              <w:t>Fitzroy West</w:t>
            </w:r>
          </w:p>
        </w:tc>
        <w:tc>
          <w:tcPr>
            <w:tcW w:w="383" w:type="dxa"/>
            <w:tcBorders>
              <w:top w:val="nil"/>
              <w:left w:val="nil"/>
              <w:bottom w:val="single" w:sz="4" w:space="0" w:color="auto"/>
              <w:right w:val="single" w:sz="4" w:space="0" w:color="auto"/>
            </w:tcBorders>
            <w:shd w:val="clear" w:color="auto" w:fill="auto"/>
            <w:noWrap/>
            <w:vAlign w:val="bottom"/>
          </w:tcPr>
          <w:p w14:paraId="69B098DA" w14:textId="77777777" w:rsidR="005F565B" w:rsidRDefault="005F565B" w:rsidP="005F565B">
            <w:pPr>
              <w:jc w:val="center"/>
              <w:rPr>
                <w:rFonts w:ascii="Arial Narrow" w:hAnsi="Arial Narrow"/>
                <w:bCs/>
                <w:sz w:val="20"/>
              </w:rPr>
            </w:pPr>
            <w:r>
              <w:rPr>
                <w:rFonts w:ascii="Arial Narrow" w:hAnsi="Arial Narrow"/>
                <w:bCs/>
                <w:sz w:val="20"/>
              </w:rPr>
              <w:t>2</w:t>
            </w:r>
          </w:p>
        </w:tc>
        <w:tc>
          <w:tcPr>
            <w:tcW w:w="1034" w:type="dxa"/>
            <w:tcBorders>
              <w:top w:val="nil"/>
              <w:left w:val="nil"/>
              <w:bottom w:val="single" w:sz="4" w:space="0" w:color="auto"/>
              <w:right w:val="single" w:sz="4" w:space="0" w:color="auto"/>
            </w:tcBorders>
            <w:shd w:val="clear" w:color="auto" w:fill="auto"/>
            <w:noWrap/>
            <w:vAlign w:val="center"/>
          </w:tcPr>
          <w:p w14:paraId="36E4D217"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0.86</w:t>
            </w:r>
          </w:p>
        </w:tc>
        <w:tc>
          <w:tcPr>
            <w:tcW w:w="993" w:type="dxa"/>
            <w:tcBorders>
              <w:top w:val="nil"/>
              <w:left w:val="nil"/>
              <w:bottom w:val="single" w:sz="4" w:space="0" w:color="auto"/>
              <w:right w:val="single" w:sz="4" w:space="0" w:color="auto"/>
            </w:tcBorders>
            <w:shd w:val="clear" w:color="auto" w:fill="auto"/>
            <w:noWrap/>
            <w:vAlign w:val="center"/>
          </w:tcPr>
          <w:p w14:paraId="035C8F9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1134" w:type="dxa"/>
            <w:tcBorders>
              <w:top w:val="nil"/>
              <w:left w:val="nil"/>
              <w:bottom w:val="single" w:sz="4" w:space="0" w:color="auto"/>
              <w:right w:val="single" w:sz="4" w:space="0" w:color="auto"/>
            </w:tcBorders>
            <w:shd w:val="clear" w:color="auto" w:fill="auto"/>
            <w:noWrap/>
            <w:vAlign w:val="center"/>
          </w:tcPr>
          <w:p w14:paraId="10FDD938"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7582FDC0"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0.79</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3D4DA8BC"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674F030B"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0.73</w:t>
            </w:r>
          </w:p>
        </w:tc>
      </w:tr>
      <w:tr w:rsidR="005F565B" w:rsidRPr="00C15A2E" w14:paraId="5E126AF4" w14:textId="77777777" w:rsidTr="005F565B">
        <w:trPr>
          <w:trHeight w:val="185"/>
        </w:trPr>
        <w:tc>
          <w:tcPr>
            <w:tcW w:w="875" w:type="dxa"/>
            <w:vMerge/>
            <w:tcBorders>
              <w:left w:val="single" w:sz="4" w:space="0" w:color="auto"/>
              <w:right w:val="single" w:sz="4" w:space="0" w:color="auto"/>
            </w:tcBorders>
            <w:vAlign w:val="center"/>
          </w:tcPr>
          <w:p w14:paraId="4ABE4589" w14:textId="77777777" w:rsidR="005F565B" w:rsidRPr="002710DB" w:rsidRDefault="005F565B" w:rsidP="005F565B">
            <w:pPr>
              <w:rPr>
                <w:rFonts w:ascii="Arial Narrow" w:hAnsi="Arial Narrow"/>
                <w:b/>
                <w:bCs/>
                <w:sz w:val="20"/>
              </w:rPr>
            </w:pPr>
          </w:p>
        </w:tc>
        <w:tc>
          <w:tcPr>
            <w:tcW w:w="1692" w:type="dxa"/>
            <w:gridSpan w:val="2"/>
            <w:vMerge/>
            <w:tcBorders>
              <w:top w:val="single" w:sz="4" w:space="0" w:color="auto"/>
              <w:left w:val="single" w:sz="4" w:space="0" w:color="auto"/>
              <w:bottom w:val="single" w:sz="4" w:space="0" w:color="auto"/>
              <w:right w:val="single" w:sz="4" w:space="0" w:color="auto"/>
            </w:tcBorders>
            <w:shd w:val="clear" w:color="auto" w:fill="auto"/>
            <w:noWrap/>
            <w:vAlign w:val="center"/>
          </w:tcPr>
          <w:p w14:paraId="007E7C47" w14:textId="77777777" w:rsidR="005F565B" w:rsidRPr="00C15A2E" w:rsidRDefault="005F565B" w:rsidP="005F565B">
            <w:pPr>
              <w:rPr>
                <w:rFonts w:ascii="Arial Narrow" w:hAnsi="Arial Narrow"/>
                <w:bCs/>
                <w:sz w:val="20"/>
              </w:rPr>
            </w:pPr>
          </w:p>
        </w:tc>
        <w:tc>
          <w:tcPr>
            <w:tcW w:w="383" w:type="dxa"/>
            <w:tcBorders>
              <w:top w:val="nil"/>
              <w:left w:val="nil"/>
              <w:bottom w:val="single" w:sz="4" w:space="0" w:color="auto"/>
              <w:right w:val="single" w:sz="4" w:space="0" w:color="auto"/>
            </w:tcBorders>
            <w:shd w:val="clear" w:color="auto" w:fill="auto"/>
            <w:noWrap/>
            <w:vAlign w:val="bottom"/>
          </w:tcPr>
          <w:p w14:paraId="0F726BAA" w14:textId="77777777" w:rsidR="005F565B" w:rsidRDefault="005F565B" w:rsidP="005F565B">
            <w:pPr>
              <w:jc w:val="center"/>
              <w:rPr>
                <w:rFonts w:ascii="Arial Narrow" w:hAnsi="Arial Narrow"/>
                <w:bCs/>
                <w:sz w:val="20"/>
              </w:rPr>
            </w:pPr>
            <w:r>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33991142"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0.68</w:t>
            </w:r>
          </w:p>
        </w:tc>
        <w:tc>
          <w:tcPr>
            <w:tcW w:w="993" w:type="dxa"/>
            <w:tcBorders>
              <w:top w:val="nil"/>
              <w:left w:val="nil"/>
              <w:bottom w:val="single" w:sz="4" w:space="0" w:color="auto"/>
              <w:right w:val="single" w:sz="4" w:space="0" w:color="auto"/>
            </w:tcBorders>
            <w:shd w:val="clear" w:color="auto" w:fill="auto"/>
            <w:noWrap/>
            <w:vAlign w:val="center"/>
          </w:tcPr>
          <w:p w14:paraId="1237CE4F"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0.67</w:t>
            </w:r>
          </w:p>
        </w:tc>
        <w:tc>
          <w:tcPr>
            <w:tcW w:w="1134" w:type="dxa"/>
            <w:tcBorders>
              <w:top w:val="nil"/>
              <w:left w:val="nil"/>
              <w:bottom w:val="single" w:sz="4" w:space="0" w:color="auto"/>
              <w:right w:val="single" w:sz="4" w:space="0" w:color="auto"/>
            </w:tcBorders>
            <w:shd w:val="clear" w:color="auto" w:fill="auto"/>
            <w:noWrap/>
            <w:vAlign w:val="center"/>
          </w:tcPr>
          <w:p w14:paraId="01F266CF"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4B5ED493"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0.00</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100DE489"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center"/>
          </w:tcPr>
          <w:p w14:paraId="00051565"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0.57</w:t>
            </w:r>
          </w:p>
        </w:tc>
      </w:tr>
      <w:tr w:rsidR="005F565B" w:rsidRPr="00C15A2E" w14:paraId="79D934D9" w14:textId="77777777" w:rsidTr="00AE0BFC">
        <w:trPr>
          <w:trHeight w:val="185"/>
        </w:trPr>
        <w:tc>
          <w:tcPr>
            <w:tcW w:w="875" w:type="dxa"/>
            <w:vMerge/>
            <w:tcBorders>
              <w:left w:val="single" w:sz="4" w:space="0" w:color="auto"/>
              <w:right w:val="single" w:sz="4" w:space="0" w:color="auto"/>
            </w:tcBorders>
            <w:vAlign w:val="center"/>
          </w:tcPr>
          <w:p w14:paraId="039DF361" w14:textId="77777777" w:rsidR="005F565B" w:rsidRPr="002710DB" w:rsidRDefault="005F565B" w:rsidP="005F565B">
            <w:pPr>
              <w:rPr>
                <w:rFonts w:ascii="Arial Narrow" w:hAnsi="Arial Narrow"/>
                <w:b/>
                <w:bCs/>
                <w:sz w:val="20"/>
              </w:rPr>
            </w:pPr>
          </w:p>
        </w:tc>
        <w:tc>
          <w:tcPr>
            <w:tcW w:w="16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5D8E7E51" w14:textId="77777777" w:rsidR="005F565B" w:rsidRPr="00C15A2E" w:rsidDel="005F565B" w:rsidRDefault="005F565B" w:rsidP="005F565B">
            <w:pPr>
              <w:rPr>
                <w:rFonts w:ascii="Arial Narrow" w:hAnsi="Arial Narrow"/>
                <w:bCs/>
                <w:sz w:val="20"/>
              </w:rPr>
            </w:pPr>
            <w:r>
              <w:rPr>
                <w:rFonts w:ascii="Arial Narrow" w:hAnsi="Arial Narrow"/>
                <w:bCs/>
                <w:sz w:val="20"/>
              </w:rPr>
              <w:t>Fitzroy West LTMP</w:t>
            </w:r>
          </w:p>
        </w:tc>
        <w:tc>
          <w:tcPr>
            <w:tcW w:w="383" w:type="dxa"/>
            <w:tcBorders>
              <w:top w:val="nil"/>
              <w:left w:val="nil"/>
              <w:bottom w:val="single" w:sz="4" w:space="0" w:color="auto"/>
              <w:right w:val="single" w:sz="4" w:space="0" w:color="auto"/>
            </w:tcBorders>
            <w:shd w:val="clear" w:color="auto" w:fill="auto"/>
            <w:noWrap/>
            <w:vAlign w:val="bottom"/>
          </w:tcPr>
          <w:p w14:paraId="3E90DE77" w14:textId="77777777" w:rsidR="005F565B" w:rsidDel="005F565B" w:rsidRDefault="005F565B" w:rsidP="005F565B">
            <w:pPr>
              <w:jc w:val="center"/>
              <w:rPr>
                <w:rFonts w:ascii="Arial Narrow" w:hAnsi="Arial Narrow"/>
                <w:bCs/>
                <w:sz w:val="20"/>
              </w:rPr>
            </w:pPr>
            <w:r>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56B34A6E"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0.61</w:t>
            </w:r>
          </w:p>
        </w:tc>
        <w:tc>
          <w:tcPr>
            <w:tcW w:w="993" w:type="dxa"/>
            <w:tcBorders>
              <w:top w:val="nil"/>
              <w:left w:val="nil"/>
              <w:bottom w:val="single" w:sz="4" w:space="0" w:color="auto"/>
              <w:right w:val="single" w:sz="4" w:space="0" w:color="auto"/>
            </w:tcBorders>
            <w:shd w:val="clear" w:color="auto" w:fill="auto"/>
            <w:noWrap/>
            <w:vAlign w:val="center"/>
          </w:tcPr>
          <w:p w14:paraId="373B3793" w14:textId="77777777" w:rsidR="005F565B" w:rsidRPr="006608FC" w:rsidDel="005F565B"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75CFE588" w14:textId="77777777" w:rsidR="005F565B" w:rsidRPr="006608FC" w:rsidDel="005F565B"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43A57829" w14:textId="77777777" w:rsidR="005F565B" w:rsidRPr="006608FC" w:rsidDel="005F565B" w:rsidRDefault="005F565B" w:rsidP="005F565B">
            <w:pPr>
              <w:jc w:val="center"/>
              <w:rPr>
                <w:rFonts w:ascii="Arial Narrow" w:hAnsi="Arial Narrow"/>
                <w:color w:val="000000"/>
                <w:sz w:val="20"/>
              </w:rPr>
            </w:pP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3DFF8A25" w14:textId="77777777" w:rsidR="005F565B" w:rsidRPr="006608FC" w:rsidDel="005F565B"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0F6391B3" w14:textId="77777777" w:rsidR="005F565B" w:rsidRPr="007232CE" w:rsidDel="005F565B" w:rsidRDefault="005F565B" w:rsidP="00C4187F">
            <w:pPr>
              <w:jc w:val="center"/>
              <w:rPr>
                <w:rFonts w:ascii="Arial Narrow" w:hAnsi="Arial Narrow"/>
                <w:color w:val="000000"/>
                <w:sz w:val="20"/>
              </w:rPr>
            </w:pPr>
            <w:r w:rsidRPr="007232CE">
              <w:rPr>
                <w:rFonts w:ascii="Arial Narrow" w:hAnsi="Arial Narrow"/>
                <w:color w:val="000000"/>
                <w:sz w:val="20"/>
              </w:rPr>
              <w:t>0</w:t>
            </w:r>
            <w:r w:rsidR="00C4187F">
              <w:rPr>
                <w:rFonts w:ascii="Arial Narrow" w:hAnsi="Arial Narrow"/>
                <w:color w:val="000000"/>
                <w:sz w:val="20"/>
              </w:rPr>
              <w:t>78</w:t>
            </w:r>
          </w:p>
        </w:tc>
      </w:tr>
      <w:tr w:rsidR="005F565B" w:rsidRPr="00C15A2E" w14:paraId="0FD11FDC" w14:textId="77777777" w:rsidTr="005F565B">
        <w:trPr>
          <w:trHeight w:val="185"/>
        </w:trPr>
        <w:tc>
          <w:tcPr>
            <w:tcW w:w="875" w:type="dxa"/>
            <w:vMerge/>
            <w:tcBorders>
              <w:left w:val="single" w:sz="4" w:space="0" w:color="auto"/>
              <w:right w:val="single" w:sz="4" w:space="0" w:color="auto"/>
            </w:tcBorders>
            <w:vAlign w:val="center"/>
            <w:hideMark/>
          </w:tcPr>
          <w:p w14:paraId="1CCD6B36" w14:textId="77777777" w:rsidR="005F565B" w:rsidRPr="002710DB" w:rsidRDefault="005F565B" w:rsidP="005F565B">
            <w:pPr>
              <w:rPr>
                <w:rFonts w:ascii="Arial Narrow" w:hAnsi="Arial Narrow"/>
                <w:b/>
                <w:bCs/>
                <w:sz w:val="20"/>
              </w:rPr>
            </w:pPr>
          </w:p>
        </w:tc>
        <w:tc>
          <w:tcPr>
            <w:tcW w:w="1692"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0F96AC32" w14:textId="77777777" w:rsidR="005F565B" w:rsidRPr="002710DB" w:rsidRDefault="005F565B" w:rsidP="005F565B">
            <w:pPr>
              <w:rPr>
                <w:rFonts w:ascii="Arial Narrow" w:hAnsi="Arial Narrow"/>
                <w:bCs/>
                <w:sz w:val="20"/>
              </w:rPr>
            </w:pPr>
            <w:r w:rsidRPr="00C15A2E">
              <w:rPr>
                <w:rFonts w:ascii="Arial Narrow" w:hAnsi="Arial Narrow"/>
                <w:bCs/>
                <w:sz w:val="20"/>
              </w:rPr>
              <w:t>High East</w:t>
            </w:r>
          </w:p>
        </w:tc>
        <w:tc>
          <w:tcPr>
            <w:tcW w:w="383" w:type="dxa"/>
            <w:tcBorders>
              <w:top w:val="nil"/>
              <w:left w:val="nil"/>
              <w:bottom w:val="single" w:sz="4" w:space="0" w:color="auto"/>
              <w:right w:val="single" w:sz="4" w:space="0" w:color="auto"/>
            </w:tcBorders>
            <w:shd w:val="clear" w:color="auto" w:fill="auto"/>
            <w:noWrap/>
            <w:vAlign w:val="bottom"/>
          </w:tcPr>
          <w:p w14:paraId="2258A8C6" w14:textId="77777777" w:rsidR="005F565B" w:rsidRPr="007672BF" w:rsidRDefault="005F565B" w:rsidP="005F565B">
            <w:pPr>
              <w:jc w:val="center"/>
              <w:rPr>
                <w:rFonts w:ascii="Arial Narrow" w:hAnsi="Arial Narrow"/>
                <w:bCs/>
                <w:sz w:val="20"/>
              </w:rPr>
            </w:pPr>
            <w:r>
              <w:rPr>
                <w:rFonts w:ascii="Arial Narrow" w:hAnsi="Arial Narrow"/>
                <w:bCs/>
                <w:sz w:val="20"/>
              </w:rPr>
              <w:t>2</w:t>
            </w:r>
          </w:p>
        </w:tc>
        <w:tc>
          <w:tcPr>
            <w:tcW w:w="1034" w:type="dxa"/>
            <w:tcBorders>
              <w:top w:val="nil"/>
              <w:left w:val="nil"/>
              <w:bottom w:val="single" w:sz="4" w:space="0" w:color="auto"/>
              <w:right w:val="single" w:sz="4" w:space="0" w:color="auto"/>
            </w:tcBorders>
            <w:shd w:val="clear" w:color="auto" w:fill="auto"/>
            <w:noWrap/>
            <w:vAlign w:val="center"/>
          </w:tcPr>
          <w:p w14:paraId="3E4F66A8"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0.75</w:t>
            </w:r>
          </w:p>
        </w:tc>
        <w:tc>
          <w:tcPr>
            <w:tcW w:w="993" w:type="dxa"/>
            <w:tcBorders>
              <w:top w:val="nil"/>
              <w:left w:val="nil"/>
              <w:bottom w:val="single" w:sz="4" w:space="0" w:color="auto"/>
              <w:right w:val="single" w:sz="4" w:space="0" w:color="auto"/>
            </w:tcBorders>
            <w:shd w:val="clear" w:color="auto" w:fill="auto"/>
            <w:noWrap/>
            <w:vAlign w:val="center"/>
          </w:tcPr>
          <w:p w14:paraId="072213C0"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0.37</w:t>
            </w:r>
          </w:p>
        </w:tc>
        <w:tc>
          <w:tcPr>
            <w:tcW w:w="1134" w:type="dxa"/>
            <w:tcBorders>
              <w:top w:val="nil"/>
              <w:left w:val="nil"/>
              <w:bottom w:val="single" w:sz="4" w:space="0" w:color="auto"/>
              <w:right w:val="single" w:sz="4" w:space="0" w:color="auto"/>
            </w:tcBorders>
            <w:shd w:val="clear" w:color="auto" w:fill="auto"/>
            <w:noWrap/>
            <w:vAlign w:val="center"/>
          </w:tcPr>
          <w:p w14:paraId="415C62A0"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10405E9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1.00</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107A28E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39807339"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0.72</w:t>
            </w:r>
          </w:p>
        </w:tc>
      </w:tr>
      <w:tr w:rsidR="005F565B" w:rsidRPr="00C15A2E" w14:paraId="3580D300" w14:textId="77777777" w:rsidTr="00AE0BFC">
        <w:trPr>
          <w:trHeight w:val="185"/>
        </w:trPr>
        <w:tc>
          <w:tcPr>
            <w:tcW w:w="875" w:type="dxa"/>
            <w:vMerge/>
            <w:tcBorders>
              <w:left w:val="single" w:sz="4" w:space="0" w:color="auto"/>
              <w:right w:val="single" w:sz="4" w:space="0" w:color="auto"/>
            </w:tcBorders>
            <w:vAlign w:val="center"/>
          </w:tcPr>
          <w:p w14:paraId="64BFFFB4" w14:textId="77777777" w:rsidR="005F565B" w:rsidRPr="002710DB" w:rsidRDefault="005F565B" w:rsidP="005F565B">
            <w:pPr>
              <w:rPr>
                <w:rFonts w:ascii="Arial Narrow" w:hAnsi="Arial Narrow"/>
                <w:b/>
                <w:bCs/>
                <w:sz w:val="20"/>
              </w:rPr>
            </w:pPr>
          </w:p>
        </w:tc>
        <w:tc>
          <w:tcPr>
            <w:tcW w:w="1692" w:type="dxa"/>
            <w:gridSpan w:val="2"/>
            <w:vMerge/>
            <w:tcBorders>
              <w:top w:val="single" w:sz="4" w:space="0" w:color="auto"/>
              <w:left w:val="single" w:sz="4" w:space="0" w:color="auto"/>
              <w:bottom w:val="single" w:sz="4" w:space="0" w:color="auto"/>
              <w:right w:val="single" w:sz="4" w:space="0" w:color="auto"/>
            </w:tcBorders>
            <w:shd w:val="clear" w:color="auto" w:fill="auto"/>
            <w:noWrap/>
            <w:vAlign w:val="center"/>
          </w:tcPr>
          <w:p w14:paraId="34C192DA" w14:textId="77777777" w:rsidR="005F565B" w:rsidRPr="002710DB" w:rsidRDefault="005F565B" w:rsidP="005F565B">
            <w:pPr>
              <w:rPr>
                <w:rFonts w:ascii="Arial Narrow" w:hAnsi="Arial Narrow"/>
                <w:bCs/>
                <w:sz w:val="20"/>
              </w:rPr>
            </w:pPr>
          </w:p>
        </w:tc>
        <w:tc>
          <w:tcPr>
            <w:tcW w:w="383" w:type="dxa"/>
            <w:tcBorders>
              <w:top w:val="nil"/>
              <w:left w:val="nil"/>
              <w:bottom w:val="single" w:sz="4" w:space="0" w:color="auto"/>
              <w:right w:val="single" w:sz="4" w:space="0" w:color="auto"/>
            </w:tcBorders>
            <w:shd w:val="clear" w:color="auto" w:fill="auto"/>
            <w:noWrap/>
            <w:vAlign w:val="bottom"/>
          </w:tcPr>
          <w:p w14:paraId="012B95B5" w14:textId="77777777" w:rsidR="005F565B" w:rsidRPr="007672BF" w:rsidRDefault="005F565B" w:rsidP="005F565B">
            <w:pPr>
              <w:jc w:val="center"/>
              <w:rPr>
                <w:rFonts w:ascii="Arial Narrow" w:hAnsi="Arial Narrow"/>
                <w:bCs/>
                <w:sz w:val="20"/>
              </w:rPr>
            </w:pPr>
            <w:r>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001AF270"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0.74</w:t>
            </w:r>
          </w:p>
        </w:tc>
        <w:tc>
          <w:tcPr>
            <w:tcW w:w="993" w:type="dxa"/>
            <w:tcBorders>
              <w:top w:val="nil"/>
              <w:left w:val="nil"/>
              <w:bottom w:val="single" w:sz="4" w:space="0" w:color="auto"/>
              <w:right w:val="single" w:sz="4" w:space="0" w:color="auto"/>
            </w:tcBorders>
            <w:shd w:val="clear" w:color="auto" w:fill="auto"/>
            <w:noWrap/>
            <w:vAlign w:val="center"/>
          </w:tcPr>
          <w:p w14:paraId="24D35036"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0.64</w:t>
            </w:r>
          </w:p>
        </w:tc>
        <w:tc>
          <w:tcPr>
            <w:tcW w:w="1134" w:type="dxa"/>
            <w:tcBorders>
              <w:top w:val="nil"/>
              <w:left w:val="nil"/>
              <w:bottom w:val="single" w:sz="4" w:space="0" w:color="auto"/>
              <w:right w:val="single" w:sz="4" w:space="0" w:color="auto"/>
            </w:tcBorders>
            <w:shd w:val="clear" w:color="auto" w:fill="auto"/>
            <w:noWrap/>
            <w:vAlign w:val="center"/>
          </w:tcPr>
          <w:p w14:paraId="59B8FC52"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0.95</w:t>
            </w:r>
          </w:p>
        </w:tc>
        <w:tc>
          <w:tcPr>
            <w:tcW w:w="1134" w:type="dxa"/>
            <w:tcBorders>
              <w:top w:val="nil"/>
              <w:left w:val="nil"/>
              <w:bottom w:val="single" w:sz="4" w:space="0" w:color="auto"/>
              <w:right w:val="single" w:sz="4" w:space="0" w:color="auto"/>
            </w:tcBorders>
            <w:shd w:val="clear" w:color="auto" w:fill="auto"/>
            <w:noWrap/>
            <w:vAlign w:val="center"/>
          </w:tcPr>
          <w:p w14:paraId="28B4BBEB"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0.78</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3899EFF4"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0497255B"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0.72</w:t>
            </w:r>
          </w:p>
        </w:tc>
      </w:tr>
      <w:tr w:rsidR="005F565B" w:rsidRPr="00C15A2E" w14:paraId="502AC8DC" w14:textId="77777777" w:rsidTr="007232CE">
        <w:trPr>
          <w:trHeight w:val="185"/>
        </w:trPr>
        <w:tc>
          <w:tcPr>
            <w:tcW w:w="875" w:type="dxa"/>
            <w:vMerge/>
            <w:tcBorders>
              <w:left w:val="single" w:sz="4" w:space="0" w:color="auto"/>
              <w:right w:val="single" w:sz="4" w:space="0" w:color="auto"/>
            </w:tcBorders>
            <w:vAlign w:val="center"/>
            <w:hideMark/>
          </w:tcPr>
          <w:p w14:paraId="2A2B70A8" w14:textId="77777777" w:rsidR="005F565B" w:rsidRPr="002710DB" w:rsidRDefault="005F565B" w:rsidP="005F565B">
            <w:pPr>
              <w:rPr>
                <w:rFonts w:ascii="Arial Narrow" w:hAnsi="Arial Narrow"/>
                <w:b/>
                <w:bCs/>
                <w:color w:val="0070C0"/>
                <w:sz w:val="20"/>
              </w:rPr>
            </w:pPr>
          </w:p>
        </w:tc>
        <w:tc>
          <w:tcPr>
            <w:tcW w:w="1692"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8DA5B6" w14:textId="77777777" w:rsidR="005F565B" w:rsidRPr="00C15A2E" w:rsidRDefault="005F565B" w:rsidP="005F565B">
            <w:pPr>
              <w:rPr>
                <w:rFonts w:ascii="Arial Narrow" w:hAnsi="Arial Narrow"/>
                <w:bCs/>
                <w:sz w:val="20"/>
              </w:rPr>
            </w:pPr>
            <w:r w:rsidRPr="00C15A2E">
              <w:rPr>
                <w:rFonts w:ascii="Arial Narrow" w:hAnsi="Arial Narrow"/>
                <w:bCs/>
                <w:sz w:val="20"/>
              </w:rPr>
              <w:t>High West</w:t>
            </w:r>
          </w:p>
        </w:tc>
        <w:tc>
          <w:tcPr>
            <w:tcW w:w="383" w:type="dxa"/>
            <w:tcBorders>
              <w:top w:val="nil"/>
              <w:left w:val="nil"/>
              <w:bottom w:val="single" w:sz="4" w:space="0" w:color="auto"/>
              <w:right w:val="single" w:sz="4" w:space="0" w:color="auto"/>
            </w:tcBorders>
            <w:shd w:val="clear" w:color="auto" w:fill="auto"/>
            <w:noWrap/>
            <w:vAlign w:val="bottom"/>
          </w:tcPr>
          <w:p w14:paraId="581B184C" w14:textId="77777777" w:rsidR="005F565B" w:rsidRPr="00C15A2E" w:rsidRDefault="005F565B" w:rsidP="005F565B">
            <w:pPr>
              <w:jc w:val="center"/>
              <w:rPr>
                <w:rFonts w:ascii="Arial Narrow" w:hAnsi="Arial Narrow"/>
                <w:bCs/>
                <w:sz w:val="20"/>
              </w:rPr>
            </w:pPr>
            <w:r>
              <w:rPr>
                <w:rFonts w:ascii="Arial Narrow" w:hAnsi="Arial Narrow"/>
                <w:bCs/>
                <w:sz w:val="20"/>
              </w:rPr>
              <w:t>2</w:t>
            </w:r>
          </w:p>
        </w:tc>
        <w:tc>
          <w:tcPr>
            <w:tcW w:w="1034" w:type="dxa"/>
            <w:tcBorders>
              <w:top w:val="nil"/>
              <w:left w:val="nil"/>
              <w:bottom w:val="single" w:sz="4" w:space="0" w:color="auto"/>
              <w:right w:val="single" w:sz="4" w:space="0" w:color="auto"/>
            </w:tcBorders>
            <w:shd w:val="clear" w:color="auto" w:fill="auto"/>
            <w:noWrap/>
            <w:vAlign w:val="center"/>
          </w:tcPr>
          <w:p w14:paraId="22800C01"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0.82</w:t>
            </w:r>
          </w:p>
        </w:tc>
        <w:tc>
          <w:tcPr>
            <w:tcW w:w="993" w:type="dxa"/>
            <w:tcBorders>
              <w:top w:val="nil"/>
              <w:left w:val="nil"/>
              <w:bottom w:val="single" w:sz="4" w:space="0" w:color="auto"/>
              <w:right w:val="single" w:sz="4" w:space="0" w:color="auto"/>
            </w:tcBorders>
            <w:shd w:val="clear" w:color="auto" w:fill="auto"/>
            <w:noWrap/>
            <w:vAlign w:val="center"/>
          </w:tcPr>
          <w:p w14:paraId="25594786"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0.35</w:t>
            </w:r>
          </w:p>
        </w:tc>
        <w:tc>
          <w:tcPr>
            <w:tcW w:w="1134" w:type="dxa"/>
            <w:tcBorders>
              <w:top w:val="nil"/>
              <w:left w:val="nil"/>
              <w:bottom w:val="single" w:sz="4" w:space="0" w:color="auto"/>
              <w:right w:val="single" w:sz="4" w:space="0" w:color="auto"/>
            </w:tcBorders>
            <w:shd w:val="clear" w:color="auto" w:fill="auto"/>
            <w:noWrap/>
            <w:vAlign w:val="center"/>
          </w:tcPr>
          <w:p w14:paraId="6D19AC41"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0.90</w:t>
            </w:r>
          </w:p>
        </w:tc>
        <w:tc>
          <w:tcPr>
            <w:tcW w:w="1134" w:type="dxa"/>
            <w:tcBorders>
              <w:top w:val="nil"/>
              <w:left w:val="nil"/>
              <w:bottom w:val="single" w:sz="4" w:space="0" w:color="auto"/>
              <w:right w:val="single" w:sz="4" w:space="0" w:color="auto"/>
            </w:tcBorders>
            <w:shd w:val="clear" w:color="auto" w:fill="auto"/>
            <w:noWrap/>
            <w:vAlign w:val="center"/>
          </w:tcPr>
          <w:p w14:paraId="0CF22BE2"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0.48</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418A30BA"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6D7C2F2D"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0.61</w:t>
            </w:r>
          </w:p>
        </w:tc>
      </w:tr>
      <w:tr w:rsidR="005F565B" w:rsidRPr="00C15A2E" w14:paraId="73A7B35C" w14:textId="77777777" w:rsidTr="007232CE">
        <w:trPr>
          <w:trHeight w:val="185"/>
        </w:trPr>
        <w:tc>
          <w:tcPr>
            <w:tcW w:w="875" w:type="dxa"/>
            <w:vMerge/>
            <w:tcBorders>
              <w:left w:val="single" w:sz="4" w:space="0" w:color="auto"/>
              <w:bottom w:val="single" w:sz="4" w:space="0" w:color="auto"/>
              <w:right w:val="single" w:sz="4" w:space="0" w:color="auto"/>
            </w:tcBorders>
            <w:vAlign w:val="center"/>
          </w:tcPr>
          <w:p w14:paraId="14686EF9" w14:textId="77777777" w:rsidR="005F565B" w:rsidRPr="002710DB" w:rsidRDefault="005F565B" w:rsidP="005F565B">
            <w:pPr>
              <w:rPr>
                <w:rFonts w:ascii="Arial Narrow" w:hAnsi="Arial Narrow"/>
                <w:b/>
                <w:bCs/>
                <w:color w:val="0070C0"/>
                <w:sz w:val="20"/>
              </w:rPr>
            </w:pPr>
          </w:p>
        </w:tc>
        <w:tc>
          <w:tcPr>
            <w:tcW w:w="1692" w:type="dxa"/>
            <w:gridSpan w:val="2"/>
            <w:vMerge/>
            <w:tcBorders>
              <w:top w:val="nil"/>
              <w:left w:val="single" w:sz="4" w:space="0" w:color="auto"/>
              <w:bottom w:val="single" w:sz="4" w:space="0" w:color="auto"/>
              <w:right w:val="single" w:sz="4" w:space="0" w:color="auto"/>
            </w:tcBorders>
            <w:shd w:val="clear" w:color="auto" w:fill="auto"/>
            <w:noWrap/>
            <w:vAlign w:val="center"/>
          </w:tcPr>
          <w:p w14:paraId="05761223" w14:textId="77777777" w:rsidR="005F565B" w:rsidRPr="00C15A2E" w:rsidRDefault="005F565B" w:rsidP="005F565B">
            <w:pPr>
              <w:rPr>
                <w:rFonts w:ascii="Arial Narrow" w:hAnsi="Arial Narrow"/>
                <w:bCs/>
                <w:sz w:val="20"/>
              </w:rPr>
            </w:pPr>
          </w:p>
        </w:tc>
        <w:tc>
          <w:tcPr>
            <w:tcW w:w="383" w:type="dxa"/>
            <w:tcBorders>
              <w:top w:val="nil"/>
              <w:left w:val="nil"/>
              <w:bottom w:val="single" w:sz="4" w:space="0" w:color="auto"/>
              <w:right w:val="single" w:sz="4" w:space="0" w:color="auto"/>
            </w:tcBorders>
            <w:shd w:val="clear" w:color="auto" w:fill="auto"/>
            <w:noWrap/>
            <w:vAlign w:val="bottom"/>
          </w:tcPr>
          <w:p w14:paraId="1DA28DBA" w14:textId="77777777" w:rsidR="005F565B" w:rsidRPr="00C15A2E" w:rsidRDefault="005F565B" w:rsidP="005F565B">
            <w:pPr>
              <w:jc w:val="center"/>
              <w:rPr>
                <w:rFonts w:ascii="Arial Narrow" w:hAnsi="Arial Narrow"/>
                <w:bCs/>
                <w:sz w:val="20"/>
              </w:rPr>
            </w:pPr>
            <w:r>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0023D737"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0.39</w:t>
            </w:r>
          </w:p>
        </w:tc>
        <w:tc>
          <w:tcPr>
            <w:tcW w:w="993" w:type="dxa"/>
            <w:tcBorders>
              <w:top w:val="nil"/>
              <w:left w:val="nil"/>
              <w:bottom w:val="single" w:sz="4" w:space="0" w:color="auto"/>
              <w:right w:val="single" w:sz="4" w:space="0" w:color="auto"/>
            </w:tcBorders>
            <w:shd w:val="clear" w:color="auto" w:fill="auto"/>
            <w:noWrap/>
            <w:vAlign w:val="center"/>
          </w:tcPr>
          <w:p w14:paraId="7A0406C2"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0.30</w:t>
            </w:r>
          </w:p>
        </w:tc>
        <w:tc>
          <w:tcPr>
            <w:tcW w:w="1134" w:type="dxa"/>
            <w:tcBorders>
              <w:top w:val="nil"/>
              <w:left w:val="nil"/>
              <w:bottom w:val="single" w:sz="4" w:space="0" w:color="auto"/>
              <w:right w:val="single" w:sz="4" w:space="0" w:color="auto"/>
            </w:tcBorders>
            <w:shd w:val="clear" w:color="auto" w:fill="auto"/>
            <w:noWrap/>
            <w:vAlign w:val="center"/>
          </w:tcPr>
          <w:p w14:paraId="07844002"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0.97</w:t>
            </w:r>
          </w:p>
        </w:tc>
        <w:tc>
          <w:tcPr>
            <w:tcW w:w="1134" w:type="dxa"/>
            <w:tcBorders>
              <w:top w:val="nil"/>
              <w:left w:val="nil"/>
              <w:bottom w:val="single" w:sz="4" w:space="0" w:color="auto"/>
              <w:right w:val="single" w:sz="4" w:space="0" w:color="auto"/>
            </w:tcBorders>
            <w:shd w:val="clear" w:color="auto" w:fill="auto"/>
            <w:noWrap/>
            <w:vAlign w:val="center"/>
          </w:tcPr>
          <w:p w14:paraId="7798546E"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0.59</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29EBF9A5"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nil"/>
              <w:left w:val="single" w:sz="4" w:space="0" w:color="auto"/>
              <w:bottom w:val="single" w:sz="4" w:space="0" w:color="auto"/>
              <w:right w:val="single" w:sz="4" w:space="0" w:color="auto"/>
            </w:tcBorders>
            <w:shd w:val="clear" w:color="auto" w:fill="FFFF00"/>
            <w:vAlign w:val="center"/>
          </w:tcPr>
          <w:p w14:paraId="5CD5082E"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0.55</w:t>
            </w:r>
          </w:p>
        </w:tc>
      </w:tr>
      <w:tr w:rsidR="005F565B" w:rsidRPr="00C15A2E" w14:paraId="5A2B9A8D" w14:textId="77777777" w:rsidTr="007232CE">
        <w:trPr>
          <w:trHeight w:val="232"/>
        </w:trPr>
        <w:tc>
          <w:tcPr>
            <w:tcW w:w="2950" w:type="dxa"/>
            <w:gridSpan w:val="4"/>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0398CAC9" w14:textId="77777777" w:rsidR="005F565B" w:rsidRPr="002710DB" w:rsidRDefault="005F565B" w:rsidP="005F565B">
            <w:pPr>
              <w:jc w:val="center"/>
              <w:rPr>
                <w:rFonts w:ascii="Arial Narrow" w:hAnsi="Arial Narrow"/>
                <w:b/>
                <w:bCs/>
                <w:sz w:val="20"/>
              </w:rPr>
            </w:pPr>
            <w:r w:rsidRPr="002710DB">
              <w:rPr>
                <w:rFonts w:ascii="Arial Narrow" w:hAnsi="Arial Narrow"/>
                <w:b/>
                <w:bCs/>
                <w:sz w:val="20"/>
              </w:rPr>
              <w:t>Report Card Score - Moderate</w:t>
            </w:r>
          </w:p>
        </w:tc>
        <w:tc>
          <w:tcPr>
            <w:tcW w:w="1034" w:type="dxa"/>
            <w:tcBorders>
              <w:top w:val="nil"/>
              <w:left w:val="nil"/>
              <w:bottom w:val="single" w:sz="4" w:space="0" w:color="auto"/>
              <w:right w:val="single" w:sz="4" w:space="0" w:color="auto"/>
            </w:tcBorders>
            <w:shd w:val="clear" w:color="auto" w:fill="FFFF00"/>
            <w:noWrap/>
            <w:vAlign w:val="center"/>
          </w:tcPr>
          <w:p w14:paraId="17A825F6"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0.58</w:t>
            </w:r>
          </w:p>
        </w:tc>
        <w:tc>
          <w:tcPr>
            <w:tcW w:w="993" w:type="dxa"/>
            <w:tcBorders>
              <w:top w:val="nil"/>
              <w:left w:val="nil"/>
              <w:bottom w:val="single" w:sz="4" w:space="0" w:color="auto"/>
              <w:right w:val="single" w:sz="4" w:space="0" w:color="auto"/>
            </w:tcBorders>
            <w:shd w:val="clear" w:color="auto" w:fill="FFFF00"/>
            <w:noWrap/>
            <w:vAlign w:val="center"/>
          </w:tcPr>
          <w:p w14:paraId="28C516E6"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0.52</w:t>
            </w:r>
          </w:p>
        </w:tc>
        <w:tc>
          <w:tcPr>
            <w:tcW w:w="1134" w:type="dxa"/>
            <w:tcBorders>
              <w:top w:val="nil"/>
              <w:left w:val="nil"/>
              <w:bottom w:val="single" w:sz="4" w:space="0" w:color="auto"/>
              <w:right w:val="single" w:sz="4" w:space="0" w:color="auto"/>
            </w:tcBorders>
            <w:shd w:val="clear" w:color="auto" w:fill="92D050"/>
            <w:noWrap/>
            <w:vAlign w:val="center"/>
          </w:tcPr>
          <w:p w14:paraId="2C0C48CD"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0.74</w:t>
            </w:r>
          </w:p>
        </w:tc>
        <w:tc>
          <w:tcPr>
            <w:tcW w:w="1134" w:type="dxa"/>
            <w:tcBorders>
              <w:top w:val="nil"/>
              <w:left w:val="nil"/>
              <w:bottom w:val="single" w:sz="4" w:space="0" w:color="auto"/>
              <w:right w:val="single" w:sz="4" w:space="0" w:color="auto"/>
            </w:tcBorders>
            <w:shd w:val="clear" w:color="auto" w:fill="FFFF00"/>
            <w:noWrap/>
            <w:vAlign w:val="center"/>
          </w:tcPr>
          <w:p w14:paraId="6E51B2BE" w14:textId="77777777" w:rsidR="005F565B" w:rsidRPr="006608FC" w:rsidRDefault="005F565B" w:rsidP="00D02411">
            <w:pPr>
              <w:jc w:val="center"/>
              <w:rPr>
                <w:rFonts w:ascii="Arial Narrow" w:hAnsi="Arial Narrow"/>
                <w:color w:val="000000"/>
                <w:sz w:val="20"/>
              </w:rPr>
            </w:pPr>
            <w:r w:rsidRPr="006608FC">
              <w:rPr>
                <w:rFonts w:ascii="Arial Narrow" w:hAnsi="Arial Narrow"/>
                <w:color w:val="000000"/>
                <w:sz w:val="20"/>
              </w:rPr>
              <w:t>0</w:t>
            </w:r>
            <w:r w:rsidR="00D02411">
              <w:rPr>
                <w:rFonts w:ascii="Arial Narrow" w:hAnsi="Arial Narrow"/>
                <w:color w:val="000000"/>
                <w:sz w:val="20"/>
              </w:rPr>
              <w:t>.57</w:t>
            </w:r>
          </w:p>
        </w:tc>
        <w:tc>
          <w:tcPr>
            <w:tcW w:w="1275" w:type="dxa"/>
            <w:tcBorders>
              <w:top w:val="nil"/>
              <w:left w:val="single" w:sz="4" w:space="0" w:color="auto"/>
              <w:bottom w:val="single" w:sz="4" w:space="0" w:color="auto"/>
              <w:right w:val="single" w:sz="4" w:space="0" w:color="auto"/>
            </w:tcBorders>
            <w:shd w:val="clear" w:color="auto" w:fill="FFFF00"/>
            <w:noWrap/>
            <w:vAlign w:val="center"/>
          </w:tcPr>
          <w:p w14:paraId="4F430DCC" w14:textId="77777777" w:rsidR="005F565B" w:rsidRPr="006608FC" w:rsidRDefault="005F565B" w:rsidP="005F565B">
            <w:pPr>
              <w:jc w:val="center"/>
              <w:rPr>
                <w:rFonts w:ascii="Arial Narrow" w:hAnsi="Arial Narrow"/>
                <w:color w:val="000000"/>
                <w:sz w:val="20"/>
              </w:rPr>
            </w:pPr>
            <w:r w:rsidRPr="006608FC">
              <w:rPr>
                <w:rFonts w:ascii="Arial Narrow" w:hAnsi="Arial Narrow"/>
                <w:color w:val="000000"/>
                <w:sz w:val="20"/>
              </w:rPr>
              <w:t>0.50</w:t>
            </w:r>
          </w:p>
        </w:tc>
        <w:tc>
          <w:tcPr>
            <w:tcW w:w="993" w:type="dxa"/>
            <w:tcBorders>
              <w:top w:val="nil"/>
              <w:left w:val="single" w:sz="4" w:space="0" w:color="auto"/>
              <w:bottom w:val="single" w:sz="4" w:space="0" w:color="auto"/>
              <w:right w:val="single" w:sz="4" w:space="0" w:color="auto"/>
            </w:tcBorders>
            <w:shd w:val="clear" w:color="auto" w:fill="FFFF00"/>
            <w:vAlign w:val="center"/>
          </w:tcPr>
          <w:p w14:paraId="5A751ECE" w14:textId="77777777" w:rsidR="005F565B" w:rsidRPr="006608FC" w:rsidRDefault="005F565B" w:rsidP="00D02411">
            <w:pPr>
              <w:jc w:val="center"/>
              <w:rPr>
                <w:rFonts w:ascii="Arial Narrow" w:hAnsi="Arial Narrow"/>
                <w:color w:val="000000"/>
                <w:sz w:val="20"/>
              </w:rPr>
            </w:pPr>
            <w:r>
              <w:rPr>
                <w:rFonts w:ascii="Arial Narrow" w:hAnsi="Arial Narrow"/>
                <w:color w:val="000000"/>
                <w:sz w:val="20"/>
              </w:rPr>
              <w:t>0.</w:t>
            </w:r>
            <w:r w:rsidR="00D02411">
              <w:rPr>
                <w:rFonts w:ascii="Arial Narrow" w:hAnsi="Arial Narrow"/>
                <w:color w:val="000000"/>
                <w:sz w:val="20"/>
              </w:rPr>
              <w:t>58</w:t>
            </w:r>
          </w:p>
        </w:tc>
      </w:tr>
      <w:tr w:rsidR="005F565B" w:rsidRPr="00C15A2E" w14:paraId="425A2FA4" w14:textId="77777777" w:rsidTr="007232CE">
        <w:trPr>
          <w:trHeight w:val="232"/>
        </w:trPr>
        <w:tc>
          <w:tcPr>
            <w:tcW w:w="7245" w:type="dxa"/>
            <w:gridSpan w:val="8"/>
            <w:tcBorders>
              <w:top w:val="nil"/>
              <w:left w:val="nil"/>
              <w:bottom w:val="nil"/>
              <w:right w:val="nil"/>
            </w:tcBorders>
            <w:shd w:val="clear" w:color="auto" w:fill="auto"/>
            <w:noWrap/>
            <w:vAlign w:val="center"/>
            <w:hideMark/>
          </w:tcPr>
          <w:p w14:paraId="55D50BA2" w14:textId="77777777" w:rsidR="005F565B" w:rsidRPr="002710DB" w:rsidRDefault="005F565B" w:rsidP="005F565B">
            <w:pPr>
              <w:jc w:val="center"/>
              <w:rPr>
                <w:rFonts w:ascii="Arial Narrow" w:hAnsi="Arial Narrow"/>
                <w:b/>
                <w:bCs/>
                <w:color w:val="0070C0"/>
                <w:sz w:val="20"/>
              </w:rPr>
            </w:pPr>
          </w:p>
        </w:tc>
        <w:tc>
          <w:tcPr>
            <w:tcW w:w="1275" w:type="dxa"/>
            <w:tcBorders>
              <w:top w:val="nil"/>
              <w:left w:val="nil"/>
              <w:bottom w:val="nil"/>
              <w:right w:val="nil"/>
            </w:tcBorders>
            <w:shd w:val="clear" w:color="auto" w:fill="auto"/>
            <w:noWrap/>
            <w:vAlign w:val="bottom"/>
            <w:hideMark/>
          </w:tcPr>
          <w:p w14:paraId="692C1BB8" w14:textId="77777777" w:rsidR="005F565B" w:rsidRPr="004F1187" w:rsidRDefault="005F565B" w:rsidP="005F565B">
            <w:pPr>
              <w:jc w:val="center"/>
              <w:rPr>
                <w:rFonts w:ascii="Arial Narrow" w:hAnsi="Arial Narrow"/>
                <w:bCs/>
                <w:color w:val="000000" w:themeColor="text1"/>
                <w:sz w:val="20"/>
              </w:rPr>
            </w:pPr>
          </w:p>
        </w:tc>
        <w:tc>
          <w:tcPr>
            <w:tcW w:w="993" w:type="dxa"/>
            <w:tcBorders>
              <w:top w:val="nil"/>
              <w:left w:val="nil"/>
              <w:bottom w:val="single" w:sz="4" w:space="0" w:color="auto"/>
              <w:right w:val="nil"/>
            </w:tcBorders>
          </w:tcPr>
          <w:p w14:paraId="5C3041D3" w14:textId="77777777" w:rsidR="005F565B" w:rsidRPr="004F1187" w:rsidRDefault="005F565B" w:rsidP="005F565B">
            <w:pPr>
              <w:jc w:val="center"/>
              <w:rPr>
                <w:rFonts w:ascii="Arial Narrow" w:hAnsi="Arial Narrow"/>
                <w:bCs/>
                <w:color w:val="000000" w:themeColor="text1"/>
                <w:sz w:val="20"/>
              </w:rPr>
            </w:pPr>
          </w:p>
        </w:tc>
      </w:tr>
      <w:tr w:rsidR="005F565B" w:rsidRPr="00C15A2E" w14:paraId="5BCD0CA9" w14:textId="77777777" w:rsidTr="007232CE">
        <w:trPr>
          <w:trHeight w:val="185"/>
        </w:trPr>
        <w:tc>
          <w:tcPr>
            <w:tcW w:w="875" w:type="dxa"/>
            <w:vMerge w:val="restart"/>
            <w:tcBorders>
              <w:top w:val="single" w:sz="4" w:space="0" w:color="auto"/>
              <w:left w:val="single" w:sz="4" w:space="0" w:color="auto"/>
              <w:right w:val="single" w:sz="4" w:space="0" w:color="auto"/>
            </w:tcBorders>
            <w:shd w:val="clear" w:color="auto" w:fill="auto"/>
            <w:noWrap/>
            <w:textDirection w:val="btLr"/>
            <w:vAlign w:val="center"/>
            <w:hideMark/>
          </w:tcPr>
          <w:p w14:paraId="18E28750" w14:textId="77777777" w:rsidR="005F565B" w:rsidRPr="002710DB" w:rsidRDefault="005F565B" w:rsidP="005F565B">
            <w:pPr>
              <w:jc w:val="center"/>
              <w:rPr>
                <w:rFonts w:ascii="Arial Narrow" w:hAnsi="Arial Narrow"/>
                <w:b/>
                <w:bCs/>
                <w:color w:val="0070C0"/>
                <w:sz w:val="20"/>
              </w:rPr>
            </w:pPr>
            <w:r w:rsidRPr="002710DB">
              <w:rPr>
                <w:rFonts w:ascii="Arial Narrow" w:hAnsi="Arial Narrow"/>
                <w:b/>
                <w:bCs/>
                <w:sz w:val="20"/>
              </w:rPr>
              <w:t>Herbert Tully</w:t>
            </w:r>
          </w:p>
        </w:tc>
        <w:tc>
          <w:tcPr>
            <w:tcW w:w="1692"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6DCEA5" w14:textId="77777777" w:rsidR="005F565B" w:rsidRPr="00C15A2E" w:rsidRDefault="005F565B" w:rsidP="005F565B">
            <w:pPr>
              <w:rPr>
                <w:rFonts w:ascii="Arial Narrow" w:hAnsi="Arial Narrow"/>
                <w:bCs/>
                <w:sz w:val="20"/>
              </w:rPr>
            </w:pPr>
            <w:r w:rsidRPr="00C15A2E">
              <w:rPr>
                <w:rFonts w:ascii="Arial Narrow" w:hAnsi="Arial Narrow"/>
                <w:bCs/>
                <w:sz w:val="20"/>
              </w:rPr>
              <w:t>Barnards</w:t>
            </w:r>
          </w:p>
        </w:tc>
        <w:tc>
          <w:tcPr>
            <w:tcW w:w="383" w:type="dxa"/>
            <w:tcBorders>
              <w:top w:val="single" w:sz="4" w:space="0" w:color="auto"/>
              <w:left w:val="nil"/>
              <w:bottom w:val="single" w:sz="4" w:space="0" w:color="auto"/>
              <w:right w:val="single" w:sz="4" w:space="0" w:color="auto"/>
            </w:tcBorders>
            <w:shd w:val="clear" w:color="auto" w:fill="auto"/>
            <w:noWrap/>
            <w:vAlign w:val="bottom"/>
            <w:hideMark/>
          </w:tcPr>
          <w:p w14:paraId="209D6DD4" w14:textId="77777777" w:rsidR="005F565B" w:rsidRPr="00C15A2E" w:rsidRDefault="005F565B" w:rsidP="005F565B">
            <w:pPr>
              <w:jc w:val="center"/>
              <w:rPr>
                <w:rFonts w:ascii="Arial Narrow" w:hAnsi="Arial Narrow"/>
                <w:bCs/>
                <w:sz w:val="20"/>
              </w:rPr>
            </w:pPr>
            <w:r w:rsidRPr="00C15A2E">
              <w:rPr>
                <w:rFonts w:ascii="Arial Narrow" w:hAnsi="Arial Narrow"/>
                <w:bCs/>
                <w:sz w:val="20"/>
              </w:rPr>
              <w:t>2</w:t>
            </w:r>
          </w:p>
        </w:tc>
        <w:tc>
          <w:tcPr>
            <w:tcW w:w="1034" w:type="dxa"/>
            <w:tcBorders>
              <w:top w:val="single" w:sz="4" w:space="0" w:color="auto"/>
              <w:left w:val="nil"/>
              <w:bottom w:val="single" w:sz="4" w:space="0" w:color="auto"/>
              <w:right w:val="single" w:sz="4" w:space="0" w:color="auto"/>
            </w:tcBorders>
            <w:shd w:val="clear" w:color="auto" w:fill="auto"/>
            <w:noWrap/>
            <w:vAlign w:val="center"/>
          </w:tcPr>
          <w:p w14:paraId="528B2858"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0.36</w:t>
            </w:r>
          </w:p>
        </w:tc>
        <w:tc>
          <w:tcPr>
            <w:tcW w:w="993" w:type="dxa"/>
            <w:tcBorders>
              <w:top w:val="single" w:sz="4" w:space="0" w:color="auto"/>
              <w:left w:val="nil"/>
              <w:bottom w:val="single" w:sz="4" w:space="0" w:color="auto"/>
              <w:right w:val="single" w:sz="4" w:space="0" w:color="auto"/>
            </w:tcBorders>
            <w:shd w:val="clear" w:color="auto" w:fill="auto"/>
            <w:noWrap/>
            <w:vAlign w:val="center"/>
          </w:tcPr>
          <w:p w14:paraId="3F979900"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0.97</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35D57775"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0.37</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595490E7"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0.72</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47E01C"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center"/>
          </w:tcPr>
          <w:p w14:paraId="0C6D651F"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0.58</w:t>
            </w:r>
          </w:p>
        </w:tc>
      </w:tr>
      <w:tr w:rsidR="005F565B" w:rsidRPr="00C15A2E" w14:paraId="00053F9A" w14:textId="77777777" w:rsidTr="00A85204">
        <w:trPr>
          <w:trHeight w:val="185"/>
        </w:trPr>
        <w:tc>
          <w:tcPr>
            <w:tcW w:w="875" w:type="dxa"/>
            <w:vMerge/>
            <w:tcBorders>
              <w:left w:val="single" w:sz="4" w:space="0" w:color="auto"/>
              <w:right w:val="single" w:sz="4" w:space="0" w:color="auto"/>
            </w:tcBorders>
            <w:vAlign w:val="center"/>
            <w:hideMark/>
          </w:tcPr>
          <w:p w14:paraId="646B8449" w14:textId="77777777" w:rsidR="005F565B" w:rsidRPr="002710DB" w:rsidRDefault="005F565B" w:rsidP="005F565B">
            <w:pPr>
              <w:rPr>
                <w:rFonts w:ascii="Arial Narrow" w:hAnsi="Arial Narrow"/>
                <w:b/>
                <w:bCs/>
                <w:color w:val="0070C0"/>
                <w:sz w:val="20"/>
              </w:rPr>
            </w:pPr>
          </w:p>
        </w:tc>
        <w:tc>
          <w:tcPr>
            <w:tcW w:w="1692" w:type="dxa"/>
            <w:gridSpan w:val="2"/>
            <w:vMerge/>
            <w:tcBorders>
              <w:top w:val="single" w:sz="4" w:space="0" w:color="auto"/>
              <w:left w:val="single" w:sz="4" w:space="0" w:color="auto"/>
              <w:bottom w:val="single" w:sz="4" w:space="0" w:color="auto"/>
              <w:right w:val="single" w:sz="4" w:space="0" w:color="auto"/>
            </w:tcBorders>
            <w:vAlign w:val="center"/>
            <w:hideMark/>
          </w:tcPr>
          <w:p w14:paraId="0BBEDD02" w14:textId="77777777" w:rsidR="005F565B" w:rsidRPr="00C15A2E" w:rsidRDefault="005F565B" w:rsidP="005F565B">
            <w:pPr>
              <w:rPr>
                <w:rFonts w:ascii="Arial Narrow" w:hAnsi="Arial Narrow"/>
                <w:bCs/>
                <w:sz w:val="20"/>
              </w:rPr>
            </w:pPr>
          </w:p>
        </w:tc>
        <w:tc>
          <w:tcPr>
            <w:tcW w:w="383" w:type="dxa"/>
            <w:tcBorders>
              <w:top w:val="nil"/>
              <w:left w:val="nil"/>
              <w:bottom w:val="single" w:sz="4" w:space="0" w:color="auto"/>
              <w:right w:val="single" w:sz="4" w:space="0" w:color="auto"/>
            </w:tcBorders>
            <w:shd w:val="clear" w:color="auto" w:fill="auto"/>
            <w:noWrap/>
            <w:vAlign w:val="bottom"/>
            <w:hideMark/>
          </w:tcPr>
          <w:p w14:paraId="34314C33" w14:textId="77777777" w:rsidR="005F565B" w:rsidRPr="00C15A2E" w:rsidRDefault="005F565B" w:rsidP="005F565B">
            <w:pPr>
              <w:jc w:val="center"/>
              <w:rPr>
                <w:rFonts w:ascii="Arial Narrow" w:hAnsi="Arial Narrow"/>
                <w:bCs/>
                <w:sz w:val="20"/>
              </w:rPr>
            </w:pPr>
            <w:r w:rsidRPr="00C15A2E">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62451C63"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0.40</w:t>
            </w:r>
          </w:p>
        </w:tc>
        <w:tc>
          <w:tcPr>
            <w:tcW w:w="993" w:type="dxa"/>
            <w:tcBorders>
              <w:top w:val="nil"/>
              <w:left w:val="nil"/>
              <w:bottom w:val="single" w:sz="4" w:space="0" w:color="auto"/>
              <w:right w:val="single" w:sz="4" w:space="0" w:color="auto"/>
            </w:tcBorders>
            <w:shd w:val="clear" w:color="auto" w:fill="auto"/>
            <w:noWrap/>
            <w:vAlign w:val="center"/>
          </w:tcPr>
          <w:p w14:paraId="105EF655"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261CD1BA"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0.79</w:t>
            </w:r>
          </w:p>
        </w:tc>
        <w:tc>
          <w:tcPr>
            <w:tcW w:w="1134" w:type="dxa"/>
            <w:tcBorders>
              <w:top w:val="nil"/>
              <w:left w:val="nil"/>
              <w:bottom w:val="single" w:sz="4" w:space="0" w:color="auto"/>
              <w:right w:val="single" w:sz="4" w:space="0" w:color="auto"/>
            </w:tcBorders>
            <w:shd w:val="clear" w:color="auto" w:fill="auto"/>
            <w:noWrap/>
            <w:vAlign w:val="center"/>
          </w:tcPr>
          <w:p w14:paraId="3AA6A4E9"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0.79</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26115E68" w14:textId="77777777" w:rsidR="005F565B" w:rsidRPr="000114F1" w:rsidRDefault="005F565B" w:rsidP="005F565B">
            <w:pPr>
              <w:jc w:val="center"/>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035F7482" w14:textId="77777777" w:rsidR="005F565B" w:rsidRPr="007232CE" w:rsidRDefault="005F565B" w:rsidP="005F565B">
            <w:pPr>
              <w:jc w:val="center"/>
              <w:rPr>
                <w:rFonts w:ascii="Arial Narrow" w:hAnsi="Arial Narrow"/>
                <w:color w:val="000000"/>
                <w:sz w:val="20"/>
              </w:rPr>
            </w:pPr>
            <w:r w:rsidRPr="007232CE">
              <w:rPr>
                <w:rFonts w:ascii="Arial Narrow" w:hAnsi="Arial Narrow"/>
                <w:color w:val="000000"/>
                <w:sz w:val="20"/>
              </w:rPr>
              <w:t>0.70</w:t>
            </w:r>
          </w:p>
        </w:tc>
      </w:tr>
      <w:tr w:rsidR="00C4187F" w:rsidRPr="00C15A2E" w14:paraId="656160DF" w14:textId="77777777" w:rsidTr="00811572">
        <w:trPr>
          <w:trHeight w:val="185"/>
        </w:trPr>
        <w:tc>
          <w:tcPr>
            <w:tcW w:w="875" w:type="dxa"/>
            <w:vMerge/>
            <w:tcBorders>
              <w:left w:val="single" w:sz="4" w:space="0" w:color="auto"/>
              <w:right w:val="single" w:sz="4" w:space="0" w:color="auto"/>
            </w:tcBorders>
            <w:vAlign w:val="center"/>
          </w:tcPr>
          <w:p w14:paraId="6465960A" w14:textId="77777777" w:rsidR="00C4187F" w:rsidRPr="002710DB" w:rsidRDefault="00C4187F" w:rsidP="00C4187F">
            <w:pPr>
              <w:rPr>
                <w:rFonts w:ascii="Arial Narrow" w:hAnsi="Arial Narrow"/>
                <w:b/>
                <w:bCs/>
                <w:color w:val="0070C0"/>
                <w:sz w:val="20"/>
              </w:rPr>
            </w:pPr>
          </w:p>
        </w:tc>
        <w:tc>
          <w:tcPr>
            <w:tcW w:w="1692" w:type="dxa"/>
            <w:gridSpan w:val="2"/>
            <w:vMerge w:val="restart"/>
            <w:tcBorders>
              <w:top w:val="nil"/>
              <w:left w:val="single" w:sz="4" w:space="0" w:color="auto"/>
              <w:right w:val="single" w:sz="4" w:space="0" w:color="auto"/>
            </w:tcBorders>
            <w:shd w:val="clear" w:color="auto" w:fill="auto"/>
            <w:noWrap/>
            <w:vAlign w:val="center"/>
          </w:tcPr>
          <w:p w14:paraId="2839E616" w14:textId="77777777" w:rsidR="00C4187F" w:rsidRPr="00C15A2E" w:rsidRDefault="00C4187F" w:rsidP="00C4187F">
            <w:pPr>
              <w:rPr>
                <w:rFonts w:ascii="Arial Narrow" w:hAnsi="Arial Narrow"/>
                <w:bCs/>
                <w:sz w:val="20"/>
              </w:rPr>
            </w:pPr>
            <w:r w:rsidRPr="00C15A2E">
              <w:rPr>
                <w:rFonts w:ascii="Arial Narrow" w:hAnsi="Arial Narrow"/>
                <w:bCs/>
                <w:sz w:val="20"/>
              </w:rPr>
              <w:t>Dunk North</w:t>
            </w:r>
          </w:p>
        </w:tc>
        <w:tc>
          <w:tcPr>
            <w:tcW w:w="383" w:type="dxa"/>
            <w:tcBorders>
              <w:top w:val="nil"/>
              <w:left w:val="nil"/>
              <w:bottom w:val="single" w:sz="4" w:space="0" w:color="auto"/>
              <w:right w:val="single" w:sz="4" w:space="0" w:color="auto"/>
            </w:tcBorders>
            <w:shd w:val="clear" w:color="auto" w:fill="auto"/>
            <w:noWrap/>
            <w:vAlign w:val="bottom"/>
          </w:tcPr>
          <w:p w14:paraId="503CA345" w14:textId="77777777" w:rsidR="00C4187F" w:rsidRPr="00C15A2E" w:rsidRDefault="00C4187F" w:rsidP="00C4187F">
            <w:pPr>
              <w:jc w:val="center"/>
              <w:rPr>
                <w:rFonts w:ascii="Arial Narrow" w:hAnsi="Arial Narrow"/>
                <w:bCs/>
                <w:sz w:val="20"/>
              </w:rPr>
            </w:pPr>
            <w:r w:rsidRPr="00C15A2E">
              <w:rPr>
                <w:rFonts w:ascii="Arial Narrow" w:hAnsi="Arial Narrow"/>
                <w:bCs/>
                <w:sz w:val="20"/>
              </w:rPr>
              <w:t>2</w:t>
            </w:r>
          </w:p>
        </w:tc>
        <w:tc>
          <w:tcPr>
            <w:tcW w:w="1034" w:type="dxa"/>
            <w:tcBorders>
              <w:top w:val="nil"/>
              <w:left w:val="nil"/>
              <w:bottom w:val="single" w:sz="4" w:space="0" w:color="auto"/>
              <w:right w:val="single" w:sz="4" w:space="0" w:color="auto"/>
            </w:tcBorders>
            <w:shd w:val="clear" w:color="auto" w:fill="auto"/>
            <w:noWrap/>
            <w:vAlign w:val="center"/>
          </w:tcPr>
          <w:p w14:paraId="415080A2"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0.12</w:t>
            </w:r>
          </w:p>
        </w:tc>
        <w:tc>
          <w:tcPr>
            <w:tcW w:w="993" w:type="dxa"/>
            <w:tcBorders>
              <w:top w:val="nil"/>
              <w:left w:val="nil"/>
              <w:bottom w:val="single" w:sz="4" w:space="0" w:color="auto"/>
              <w:right w:val="single" w:sz="4" w:space="0" w:color="auto"/>
            </w:tcBorders>
            <w:shd w:val="clear" w:color="auto" w:fill="auto"/>
            <w:noWrap/>
            <w:vAlign w:val="center"/>
          </w:tcPr>
          <w:p w14:paraId="48639646"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2F88E9F3"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3283E60C"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0.58</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091D1AE0"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center"/>
          </w:tcPr>
          <w:p w14:paraId="3C9CC5E9" w14:textId="77777777" w:rsidR="00C4187F" w:rsidRPr="007232CE" w:rsidRDefault="00C4187F" w:rsidP="00C4187F">
            <w:pPr>
              <w:jc w:val="center"/>
              <w:rPr>
                <w:rFonts w:ascii="Arial Narrow" w:hAnsi="Arial Narrow"/>
                <w:color w:val="000000"/>
                <w:sz w:val="20"/>
              </w:rPr>
            </w:pPr>
            <w:r w:rsidRPr="007232CE">
              <w:rPr>
                <w:rFonts w:ascii="Arial Narrow" w:hAnsi="Arial Narrow"/>
                <w:color w:val="000000"/>
                <w:sz w:val="20"/>
              </w:rPr>
              <w:t>0.34</w:t>
            </w:r>
          </w:p>
        </w:tc>
      </w:tr>
      <w:tr w:rsidR="00C4187F" w:rsidRPr="00C15A2E" w14:paraId="01D0E7A2" w14:textId="77777777" w:rsidTr="00811572">
        <w:trPr>
          <w:trHeight w:val="185"/>
        </w:trPr>
        <w:tc>
          <w:tcPr>
            <w:tcW w:w="875" w:type="dxa"/>
            <w:vMerge/>
            <w:tcBorders>
              <w:left w:val="single" w:sz="4" w:space="0" w:color="auto"/>
              <w:right w:val="single" w:sz="4" w:space="0" w:color="auto"/>
            </w:tcBorders>
            <w:vAlign w:val="center"/>
          </w:tcPr>
          <w:p w14:paraId="63CE340F" w14:textId="77777777" w:rsidR="00C4187F" w:rsidRPr="002710DB" w:rsidRDefault="00C4187F" w:rsidP="00C4187F">
            <w:pPr>
              <w:rPr>
                <w:rFonts w:ascii="Arial Narrow" w:hAnsi="Arial Narrow"/>
                <w:b/>
                <w:bCs/>
                <w:color w:val="0070C0"/>
                <w:sz w:val="20"/>
              </w:rPr>
            </w:pPr>
          </w:p>
        </w:tc>
        <w:tc>
          <w:tcPr>
            <w:tcW w:w="1692" w:type="dxa"/>
            <w:gridSpan w:val="2"/>
            <w:vMerge/>
            <w:tcBorders>
              <w:left w:val="single" w:sz="4" w:space="0" w:color="auto"/>
              <w:bottom w:val="single" w:sz="4" w:space="0" w:color="auto"/>
              <w:right w:val="single" w:sz="4" w:space="0" w:color="auto"/>
            </w:tcBorders>
            <w:shd w:val="clear" w:color="auto" w:fill="auto"/>
            <w:noWrap/>
            <w:vAlign w:val="center"/>
          </w:tcPr>
          <w:p w14:paraId="78B0169C" w14:textId="77777777" w:rsidR="00C4187F" w:rsidRPr="00C15A2E" w:rsidRDefault="00C4187F" w:rsidP="00C4187F">
            <w:pPr>
              <w:rPr>
                <w:rFonts w:ascii="Arial Narrow" w:hAnsi="Arial Narrow"/>
                <w:bCs/>
                <w:sz w:val="20"/>
              </w:rPr>
            </w:pPr>
          </w:p>
        </w:tc>
        <w:tc>
          <w:tcPr>
            <w:tcW w:w="383" w:type="dxa"/>
            <w:tcBorders>
              <w:top w:val="nil"/>
              <w:left w:val="nil"/>
              <w:bottom w:val="single" w:sz="4" w:space="0" w:color="auto"/>
              <w:right w:val="single" w:sz="4" w:space="0" w:color="auto"/>
            </w:tcBorders>
            <w:shd w:val="clear" w:color="auto" w:fill="auto"/>
            <w:noWrap/>
            <w:vAlign w:val="bottom"/>
          </w:tcPr>
          <w:p w14:paraId="166065D8" w14:textId="77777777" w:rsidR="00C4187F" w:rsidRPr="00C15A2E" w:rsidRDefault="00C4187F" w:rsidP="00C4187F">
            <w:pPr>
              <w:jc w:val="center"/>
              <w:rPr>
                <w:rFonts w:ascii="Arial Narrow" w:hAnsi="Arial Narrow"/>
                <w:bCs/>
                <w:sz w:val="20"/>
              </w:rPr>
            </w:pPr>
            <w:r w:rsidRPr="00C15A2E">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0B2FDD06"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0.15</w:t>
            </w:r>
          </w:p>
        </w:tc>
        <w:tc>
          <w:tcPr>
            <w:tcW w:w="993" w:type="dxa"/>
            <w:tcBorders>
              <w:top w:val="nil"/>
              <w:left w:val="nil"/>
              <w:bottom w:val="single" w:sz="4" w:space="0" w:color="auto"/>
              <w:right w:val="single" w:sz="4" w:space="0" w:color="auto"/>
            </w:tcBorders>
            <w:shd w:val="clear" w:color="auto" w:fill="auto"/>
            <w:noWrap/>
            <w:vAlign w:val="center"/>
          </w:tcPr>
          <w:p w14:paraId="463EE295"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758738D4"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5F9C20E3"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0.33</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03A698AF"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center"/>
          </w:tcPr>
          <w:p w14:paraId="293C1A7D" w14:textId="77777777" w:rsidR="00C4187F" w:rsidRPr="007232CE" w:rsidRDefault="00C4187F" w:rsidP="00C4187F">
            <w:pPr>
              <w:jc w:val="center"/>
              <w:rPr>
                <w:rFonts w:ascii="Arial Narrow" w:hAnsi="Arial Narrow"/>
                <w:color w:val="000000"/>
                <w:sz w:val="20"/>
              </w:rPr>
            </w:pPr>
            <w:r w:rsidRPr="007232CE">
              <w:rPr>
                <w:rFonts w:ascii="Arial Narrow" w:hAnsi="Arial Narrow"/>
                <w:color w:val="000000"/>
                <w:sz w:val="20"/>
              </w:rPr>
              <w:t>0.40</w:t>
            </w:r>
          </w:p>
        </w:tc>
      </w:tr>
      <w:tr w:rsidR="00C4187F" w:rsidRPr="00C15A2E" w14:paraId="500A3ED3" w14:textId="77777777" w:rsidTr="00A85204">
        <w:trPr>
          <w:trHeight w:val="185"/>
        </w:trPr>
        <w:tc>
          <w:tcPr>
            <w:tcW w:w="875" w:type="dxa"/>
            <w:vMerge/>
            <w:tcBorders>
              <w:left w:val="single" w:sz="4" w:space="0" w:color="auto"/>
              <w:right w:val="single" w:sz="4" w:space="0" w:color="auto"/>
            </w:tcBorders>
            <w:vAlign w:val="center"/>
            <w:hideMark/>
          </w:tcPr>
          <w:p w14:paraId="4652EA7F" w14:textId="77777777" w:rsidR="00C4187F" w:rsidRPr="002710DB" w:rsidRDefault="00C4187F" w:rsidP="00C4187F">
            <w:pPr>
              <w:rPr>
                <w:rFonts w:ascii="Arial Narrow" w:hAnsi="Arial Narrow"/>
                <w:b/>
                <w:bCs/>
                <w:color w:val="0070C0"/>
                <w:sz w:val="20"/>
              </w:rPr>
            </w:pPr>
          </w:p>
        </w:tc>
        <w:tc>
          <w:tcPr>
            <w:tcW w:w="1692" w:type="dxa"/>
            <w:gridSpan w:val="2"/>
            <w:vMerge w:val="restart"/>
            <w:tcBorders>
              <w:top w:val="nil"/>
              <w:left w:val="single" w:sz="4" w:space="0" w:color="auto"/>
              <w:bottom w:val="single" w:sz="4" w:space="0" w:color="auto"/>
              <w:right w:val="single" w:sz="4" w:space="0" w:color="auto"/>
            </w:tcBorders>
            <w:shd w:val="clear" w:color="auto" w:fill="auto"/>
            <w:noWrap/>
            <w:vAlign w:val="center"/>
            <w:hideMark/>
          </w:tcPr>
          <w:p w14:paraId="75FAF043" w14:textId="77777777" w:rsidR="00C4187F" w:rsidRPr="00C15A2E" w:rsidRDefault="00C4187F" w:rsidP="00C4187F">
            <w:pPr>
              <w:rPr>
                <w:rFonts w:ascii="Arial Narrow" w:hAnsi="Arial Narrow"/>
                <w:bCs/>
                <w:sz w:val="20"/>
              </w:rPr>
            </w:pPr>
            <w:r w:rsidRPr="00C15A2E">
              <w:rPr>
                <w:rFonts w:ascii="Arial Narrow" w:hAnsi="Arial Narrow"/>
                <w:bCs/>
                <w:sz w:val="20"/>
              </w:rPr>
              <w:t>Dunk South</w:t>
            </w:r>
          </w:p>
        </w:tc>
        <w:tc>
          <w:tcPr>
            <w:tcW w:w="383" w:type="dxa"/>
            <w:tcBorders>
              <w:top w:val="nil"/>
              <w:left w:val="nil"/>
              <w:bottom w:val="single" w:sz="4" w:space="0" w:color="auto"/>
              <w:right w:val="single" w:sz="4" w:space="0" w:color="auto"/>
            </w:tcBorders>
            <w:shd w:val="clear" w:color="auto" w:fill="auto"/>
            <w:noWrap/>
            <w:vAlign w:val="bottom"/>
            <w:hideMark/>
          </w:tcPr>
          <w:p w14:paraId="36E04149" w14:textId="77777777" w:rsidR="00C4187F" w:rsidRPr="00C15A2E" w:rsidRDefault="00C4187F" w:rsidP="00C4187F">
            <w:pPr>
              <w:jc w:val="center"/>
              <w:rPr>
                <w:rFonts w:ascii="Arial Narrow" w:hAnsi="Arial Narrow"/>
                <w:bCs/>
                <w:sz w:val="20"/>
              </w:rPr>
            </w:pPr>
            <w:r w:rsidRPr="00C15A2E">
              <w:rPr>
                <w:rFonts w:ascii="Arial Narrow" w:hAnsi="Arial Narrow"/>
                <w:bCs/>
                <w:sz w:val="20"/>
              </w:rPr>
              <w:t>2</w:t>
            </w:r>
          </w:p>
        </w:tc>
        <w:tc>
          <w:tcPr>
            <w:tcW w:w="1034" w:type="dxa"/>
            <w:tcBorders>
              <w:top w:val="nil"/>
              <w:left w:val="nil"/>
              <w:bottom w:val="single" w:sz="4" w:space="0" w:color="auto"/>
              <w:right w:val="single" w:sz="4" w:space="0" w:color="auto"/>
            </w:tcBorders>
            <w:shd w:val="clear" w:color="auto" w:fill="auto"/>
            <w:noWrap/>
            <w:vAlign w:val="center"/>
          </w:tcPr>
          <w:p w14:paraId="54356C9A"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0.15</w:t>
            </w:r>
          </w:p>
        </w:tc>
        <w:tc>
          <w:tcPr>
            <w:tcW w:w="993" w:type="dxa"/>
            <w:tcBorders>
              <w:top w:val="nil"/>
              <w:left w:val="nil"/>
              <w:bottom w:val="single" w:sz="4" w:space="0" w:color="auto"/>
              <w:right w:val="single" w:sz="4" w:space="0" w:color="auto"/>
            </w:tcBorders>
            <w:shd w:val="clear" w:color="auto" w:fill="auto"/>
            <w:noWrap/>
            <w:vAlign w:val="center"/>
          </w:tcPr>
          <w:p w14:paraId="20943D0B"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0.81</w:t>
            </w:r>
          </w:p>
        </w:tc>
        <w:tc>
          <w:tcPr>
            <w:tcW w:w="1134" w:type="dxa"/>
            <w:tcBorders>
              <w:top w:val="nil"/>
              <w:left w:val="nil"/>
              <w:bottom w:val="single" w:sz="4" w:space="0" w:color="auto"/>
              <w:right w:val="single" w:sz="4" w:space="0" w:color="auto"/>
            </w:tcBorders>
            <w:shd w:val="clear" w:color="auto" w:fill="auto"/>
            <w:noWrap/>
            <w:vAlign w:val="center"/>
          </w:tcPr>
          <w:p w14:paraId="71F69474"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1BAA0E98"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0.50</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65FE98C9"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center"/>
          </w:tcPr>
          <w:p w14:paraId="7338405E" w14:textId="77777777" w:rsidR="00C4187F" w:rsidRPr="007232CE" w:rsidRDefault="00C4187F" w:rsidP="00C4187F">
            <w:pPr>
              <w:jc w:val="center"/>
              <w:rPr>
                <w:rFonts w:ascii="Arial Narrow" w:hAnsi="Arial Narrow"/>
                <w:color w:val="000000"/>
                <w:sz w:val="20"/>
              </w:rPr>
            </w:pPr>
            <w:r w:rsidRPr="007232CE">
              <w:rPr>
                <w:rFonts w:ascii="Arial Narrow" w:hAnsi="Arial Narrow"/>
                <w:color w:val="000000"/>
                <w:sz w:val="20"/>
              </w:rPr>
              <w:t>0.39</w:t>
            </w:r>
          </w:p>
        </w:tc>
      </w:tr>
      <w:tr w:rsidR="00C4187F" w:rsidRPr="00C15A2E" w14:paraId="31C99BAB" w14:textId="77777777" w:rsidTr="007232CE">
        <w:trPr>
          <w:trHeight w:val="185"/>
        </w:trPr>
        <w:tc>
          <w:tcPr>
            <w:tcW w:w="875" w:type="dxa"/>
            <w:vMerge/>
            <w:tcBorders>
              <w:left w:val="single" w:sz="4" w:space="0" w:color="auto"/>
              <w:right w:val="single" w:sz="4" w:space="0" w:color="auto"/>
            </w:tcBorders>
            <w:vAlign w:val="center"/>
          </w:tcPr>
          <w:p w14:paraId="3418F50D" w14:textId="77777777" w:rsidR="00C4187F" w:rsidRPr="002710DB" w:rsidRDefault="00C4187F" w:rsidP="00C4187F">
            <w:pPr>
              <w:rPr>
                <w:rFonts w:ascii="Arial Narrow" w:hAnsi="Arial Narrow"/>
                <w:b/>
                <w:bCs/>
                <w:color w:val="0070C0"/>
                <w:sz w:val="20"/>
              </w:rPr>
            </w:pPr>
          </w:p>
        </w:tc>
        <w:tc>
          <w:tcPr>
            <w:tcW w:w="1692" w:type="dxa"/>
            <w:gridSpan w:val="2"/>
            <w:vMerge/>
            <w:tcBorders>
              <w:top w:val="nil"/>
              <w:left w:val="single" w:sz="4" w:space="0" w:color="auto"/>
              <w:bottom w:val="single" w:sz="4" w:space="0" w:color="auto"/>
              <w:right w:val="single" w:sz="4" w:space="0" w:color="auto"/>
            </w:tcBorders>
            <w:shd w:val="clear" w:color="auto" w:fill="auto"/>
            <w:noWrap/>
            <w:vAlign w:val="center"/>
          </w:tcPr>
          <w:p w14:paraId="3C7DC9BE" w14:textId="77777777" w:rsidR="00C4187F" w:rsidRPr="00C15A2E" w:rsidRDefault="00C4187F" w:rsidP="00C4187F">
            <w:pPr>
              <w:rPr>
                <w:rFonts w:ascii="Arial Narrow" w:hAnsi="Arial Narrow"/>
                <w:bCs/>
                <w:sz w:val="20"/>
              </w:rPr>
            </w:pPr>
          </w:p>
        </w:tc>
        <w:tc>
          <w:tcPr>
            <w:tcW w:w="383" w:type="dxa"/>
            <w:tcBorders>
              <w:top w:val="nil"/>
              <w:left w:val="nil"/>
              <w:bottom w:val="single" w:sz="4" w:space="0" w:color="auto"/>
              <w:right w:val="single" w:sz="4" w:space="0" w:color="auto"/>
            </w:tcBorders>
            <w:shd w:val="clear" w:color="auto" w:fill="auto"/>
            <w:noWrap/>
            <w:vAlign w:val="bottom"/>
          </w:tcPr>
          <w:p w14:paraId="40B14595" w14:textId="77777777" w:rsidR="00C4187F" w:rsidRPr="00C15A2E" w:rsidRDefault="00C4187F" w:rsidP="00C4187F">
            <w:pPr>
              <w:jc w:val="center"/>
              <w:rPr>
                <w:rFonts w:ascii="Arial Narrow" w:hAnsi="Arial Narrow"/>
                <w:bCs/>
                <w:sz w:val="20"/>
              </w:rPr>
            </w:pPr>
            <w:r>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6BC72A83"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0.43</w:t>
            </w:r>
          </w:p>
        </w:tc>
        <w:tc>
          <w:tcPr>
            <w:tcW w:w="993" w:type="dxa"/>
            <w:tcBorders>
              <w:top w:val="nil"/>
              <w:left w:val="nil"/>
              <w:bottom w:val="single" w:sz="4" w:space="0" w:color="auto"/>
              <w:right w:val="single" w:sz="4" w:space="0" w:color="auto"/>
            </w:tcBorders>
            <w:shd w:val="clear" w:color="auto" w:fill="auto"/>
            <w:noWrap/>
            <w:vAlign w:val="center"/>
          </w:tcPr>
          <w:p w14:paraId="52B6C512"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48B32984"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0.56</w:t>
            </w:r>
          </w:p>
        </w:tc>
        <w:tc>
          <w:tcPr>
            <w:tcW w:w="1134" w:type="dxa"/>
            <w:tcBorders>
              <w:top w:val="nil"/>
              <w:left w:val="nil"/>
              <w:bottom w:val="single" w:sz="4" w:space="0" w:color="auto"/>
              <w:right w:val="single" w:sz="4" w:space="0" w:color="auto"/>
            </w:tcBorders>
            <w:shd w:val="clear" w:color="auto" w:fill="auto"/>
            <w:noWrap/>
            <w:vAlign w:val="center"/>
          </w:tcPr>
          <w:p w14:paraId="1C4C8EF6"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0.50</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40153D52"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center"/>
          </w:tcPr>
          <w:p w14:paraId="09DE5759" w14:textId="77777777" w:rsidR="00C4187F" w:rsidRPr="007232CE" w:rsidRDefault="00C4187F" w:rsidP="00C4187F">
            <w:pPr>
              <w:jc w:val="center"/>
              <w:rPr>
                <w:rFonts w:ascii="Arial Narrow" w:hAnsi="Arial Narrow"/>
                <w:color w:val="000000"/>
                <w:sz w:val="20"/>
              </w:rPr>
            </w:pPr>
            <w:r w:rsidRPr="007232CE">
              <w:rPr>
                <w:rFonts w:ascii="Arial Narrow" w:hAnsi="Arial Narrow"/>
                <w:color w:val="000000"/>
                <w:sz w:val="20"/>
              </w:rPr>
              <w:t>0.50</w:t>
            </w:r>
          </w:p>
        </w:tc>
      </w:tr>
      <w:tr w:rsidR="00C4187F" w:rsidRPr="00C15A2E" w14:paraId="553AD5DC" w14:textId="77777777" w:rsidTr="007232CE">
        <w:trPr>
          <w:trHeight w:val="185"/>
        </w:trPr>
        <w:tc>
          <w:tcPr>
            <w:tcW w:w="875" w:type="dxa"/>
            <w:vMerge/>
            <w:tcBorders>
              <w:left w:val="single" w:sz="4" w:space="0" w:color="auto"/>
              <w:right w:val="single" w:sz="4" w:space="0" w:color="auto"/>
            </w:tcBorders>
            <w:vAlign w:val="center"/>
            <w:hideMark/>
          </w:tcPr>
          <w:p w14:paraId="1E65BAA7" w14:textId="77777777" w:rsidR="00C4187F" w:rsidRPr="002710DB" w:rsidRDefault="00C4187F" w:rsidP="00C4187F">
            <w:pPr>
              <w:rPr>
                <w:rFonts w:ascii="Arial Narrow" w:hAnsi="Arial Narrow"/>
                <w:b/>
                <w:bCs/>
                <w:color w:val="0070C0"/>
                <w:sz w:val="20"/>
              </w:rPr>
            </w:pPr>
          </w:p>
        </w:tc>
        <w:tc>
          <w:tcPr>
            <w:tcW w:w="1692" w:type="dxa"/>
            <w:gridSpan w:val="2"/>
            <w:vMerge w:val="restart"/>
            <w:tcBorders>
              <w:top w:val="single" w:sz="4" w:space="0" w:color="auto"/>
              <w:left w:val="single" w:sz="4" w:space="0" w:color="auto"/>
              <w:right w:val="single" w:sz="4" w:space="0" w:color="auto"/>
            </w:tcBorders>
            <w:vAlign w:val="center"/>
            <w:hideMark/>
          </w:tcPr>
          <w:p w14:paraId="3FB64FBE" w14:textId="77777777" w:rsidR="00C4187F" w:rsidRPr="00C15A2E" w:rsidRDefault="00C4187F" w:rsidP="00C4187F">
            <w:pPr>
              <w:rPr>
                <w:rFonts w:ascii="Arial Narrow" w:hAnsi="Arial Narrow"/>
                <w:bCs/>
                <w:sz w:val="20"/>
              </w:rPr>
            </w:pPr>
            <w:r>
              <w:rPr>
                <w:rFonts w:ascii="Arial Narrow" w:hAnsi="Arial Narrow"/>
                <w:bCs/>
                <w:sz w:val="20"/>
              </w:rPr>
              <w:t>Bedarra</w:t>
            </w:r>
          </w:p>
        </w:tc>
        <w:tc>
          <w:tcPr>
            <w:tcW w:w="383" w:type="dxa"/>
            <w:tcBorders>
              <w:top w:val="nil"/>
              <w:left w:val="nil"/>
              <w:bottom w:val="single" w:sz="4" w:space="0" w:color="auto"/>
              <w:right w:val="single" w:sz="4" w:space="0" w:color="auto"/>
            </w:tcBorders>
            <w:shd w:val="clear" w:color="auto" w:fill="auto"/>
            <w:noWrap/>
            <w:vAlign w:val="bottom"/>
            <w:hideMark/>
          </w:tcPr>
          <w:p w14:paraId="501DF2E8" w14:textId="77777777" w:rsidR="00C4187F" w:rsidRPr="00C15A2E" w:rsidRDefault="00C4187F" w:rsidP="00C4187F">
            <w:pPr>
              <w:jc w:val="center"/>
              <w:rPr>
                <w:rFonts w:ascii="Arial Narrow" w:hAnsi="Arial Narrow"/>
                <w:bCs/>
                <w:sz w:val="20"/>
              </w:rPr>
            </w:pPr>
            <w:r>
              <w:rPr>
                <w:rFonts w:ascii="Arial Narrow" w:hAnsi="Arial Narrow"/>
                <w:bCs/>
                <w:sz w:val="20"/>
              </w:rPr>
              <w:t>2</w:t>
            </w:r>
          </w:p>
        </w:tc>
        <w:tc>
          <w:tcPr>
            <w:tcW w:w="1034" w:type="dxa"/>
            <w:tcBorders>
              <w:top w:val="nil"/>
              <w:left w:val="nil"/>
              <w:bottom w:val="single" w:sz="4" w:space="0" w:color="auto"/>
              <w:right w:val="single" w:sz="4" w:space="0" w:color="auto"/>
            </w:tcBorders>
            <w:shd w:val="clear" w:color="auto" w:fill="auto"/>
            <w:noWrap/>
            <w:vAlign w:val="center"/>
          </w:tcPr>
          <w:p w14:paraId="27FC81AE"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0.17</w:t>
            </w:r>
          </w:p>
        </w:tc>
        <w:tc>
          <w:tcPr>
            <w:tcW w:w="993" w:type="dxa"/>
            <w:tcBorders>
              <w:top w:val="nil"/>
              <w:left w:val="nil"/>
              <w:bottom w:val="single" w:sz="4" w:space="0" w:color="auto"/>
              <w:right w:val="single" w:sz="4" w:space="0" w:color="auto"/>
            </w:tcBorders>
            <w:shd w:val="clear" w:color="auto" w:fill="auto"/>
            <w:noWrap/>
            <w:vAlign w:val="center"/>
          </w:tcPr>
          <w:p w14:paraId="1D07AA0F"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0.77</w:t>
            </w:r>
          </w:p>
        </w:tc>
        <w:tc>
          <w:tcPr>
            <w:tcW w:w="1134" w:type="dxa"/>
            <w:tcBorders>
              <w:top w:val="nil"/>
              <w:left w:val="nil"/>
              <w:bottom w:val="single" w:sz="4" w:space="0" w:color="auto"/>
              <w:right w:val="single" w:sz="4" w:space="0" w:color="auto"/>
            </w:tcBorders>
            <w:shd w:val="clear" w:color="auto" w:fill="auto"/>
            <w:noWrap/>
            <w:vAlign w:val="center"/>
          </w:tcPr>
          <w:p w14:paraId="4A13BD9E"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725E2AC4" w14:textId="77777777" w:rsidR="00C4187F" w:rsidRPr="000114F1" w:rsidRDefault="00C4187F" w:rsidP="00C4187F">
            <w:pPr>
              <w:jc w:val="center"/>
              <w:rPr>
                <w:rFonts w:ascii="Arial Narrow" w:hAnsi="Arial Narrow"/>
                <w:color w:val="000000"/>
                <w:sz w:val="20"/>
              </w:rPr>
            </w:pP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219B8F46" w14:textId="77777777" w:rsidR="00C4187F" w:rsidRPr="000114F1" w:rsidRDefault="00C4187F" w:rsidP="00C4187F">
            <w:pPr>
              <w:jc w:val="center"/>
              <w:rPr>
                <w:rFonts w:ascii="Arial Narrow" w:hAnsi="Arial Narrow"/>
                <w:color w:val="000000"/>
                <w:sz w:val="20"/>
              </w:rPr>
            </w:pPr>
          </w:p>
        </w:tc>
        <w:tc>
          <w:tcPr>
            <w:tcW w:w="993" w:type="dxa"/>
            <w:tcBorders>
              <w:top w:val="single" w:sz="4" w:space="0" w:color="auto"/>
              <w:left w:val="single" w:sz="4" w:space="0" w:color="auto"/>
              <w:bottom w:val="single" w:sz="4" w:space="0" w:color="auto"/>
              <w:right w:val="single" w:sz="4" w:space="0" w:color="auto"/>
            </w:tcBorders>
            <w:shd w:val="clear" w:color="auto" w:fill="FFC000"/>
            <w:vAlign w:val="center"/>
          </w:tcPr>
          <w:p w14:paraId="67D443D3" w14:textId="77777777" w:rsidR="00C4187F" w:rsidRPr="007232CE" w:rsidRDefault="00C4187F" w:rsidP="00C4187F">
            <w:pPr>
              <w:jc w:val="center"/>
              <w:rPr>
                <w:rFonts w:ascii="Arial Narrow" w:hAnsi="Arial Narrow"/>
                <w:color w:val="000000"/>
                <w:sz w:val="20"/>
              </w:rPr>
            </w:pPr>
            <w:r w:rsidRPr="007232CE">
              <w:rPr>
                <w:rFonts w:ascii="Arial Narrow" w:hAnsi="Arial Narrow"/>
                <w:color w:val="000000"/>
                <w:sz w:val="20"/>
              </w:rPr>
              <w:t>0.31</w:t>
            </w:r>
          </w:p>
        </w:tc>
      </w:tr>
      <w:tr w:rsidR="00C4187F" w:rsidRPr="00C15A2E" w14:paraId="6D938D09" w14:textId="77777777" w:rsidTr="00AE0BFC">
        <w:trPr>
          <w:trHeight w:val="185"/>
        </w:trPr>
        <w:tc>
          <w:tcPr>
            <w:tcW w:w="875" w:type="dxa"/>
            <w:vMerge/>
            <w:tcBorders>
              <w:left w:val="single" w:sz="4" w:space="0" w:color="auto"/>
              <w:bottom w:val="single" w:sz="4" w:space="0" w:color="auto"/>
              <w:right w:val="single" w:sz="4" w:space="0" w:color="auto"/>
            </w:tcBorders>
            <w:vAlign w:val="center"/>
          </w:tcPr>
          <w:p w14:paraId="4D2B3B74" w14:textId="77777777" w:rsidR="00C4187F" w:rsidRPr="002710DB" w:rsidRDefault="00C4187F" w:rsidP="00C4187F">
            <w:pPr>
              <w:rPr>
                <w:rFonts w:ascii="Arial Narrow" w:hAnsi="Arial Narrow"/>
                <w:b/>
                <w:bCs/>
                <w:color w:val="0070C0"/>
                <w:sz w:val="20"/>
              </w:rPr>
            </w:pPr>
          </w:p>
        </w:tc>
        <w:tc>
          <w:tcPr>
            <w:tcW w:w="1692" w:type="dxa"/>
            <w:gridSpan w:val="2"/>
            <w:vMerge/>
            <w:tcBorders>
              <w:left w:val="single" w:sz="4" w:space="0" w:color="auto"/>
              <w:bottom w:val="single" w:sz="4" w:space="0" w:color="auto"/>
              <w:right w:val="single" w:sz="4" w:space="0" w:color="auto"/>
            </w:tcBorders>
            <w:vAlign w:val="center"/>
          </w:tcPr>
          <w:p w14:paraId="0E94A583" w14:textId="77777777" w:rsidR="00C4187F" w:rsidRDefault="00C4187F" w:rsidP="00C4187F">
            <w:pPr>
              <w:rPr>
                <w:rFonts w:ascii="Arial Narrow" w:hAnsi="Arial Narrow"/>
                <w:bCs/>
                <w:sz w:val="20"/>
              </w:rPr>
            </w:pPr>
          </w:p>
        </w:tc>
        <w:tc>
          <w:tcPr>
            <w:tcW w:w="383" w:type="dxa"/>
            <w:tcBorders>
              <w:top w:val="nil"/>
              <w:left w:val="nil"/>
              <w:bottom w:val="single" w:sz="4" w:space="0" w:color="auto"/>
              <w:right w:val="single" w:sz="4" w:space="0" w:color="auto"/>
            </w:tcBorders>
            <w:shd w:val="clear" w:color="auto" w:fill="auto"/>
            <w:noWrap/>
            <w:vAlign w:val="bottom"/>
          </w:tcPr>
          <w:p w14:paraId="779E5A4B" w14:textId="77777777" w:rsidR="00C4187F" w:rsidRPr="00C15A2E" w:rsidRDefault="00C4187F" w:rsidP="00C4187F">
            <w:pPr>
              <w:jc w:val="center"/>
              <w:rPr>
                <w:rFonts w:ascii="Arial Narrow" w:hAnsi="Arial Narrow"/>
                <w:bCs/>
                <w:sz w:val="20"/>
              </w:rPr>
            </w:pPr>
            <w:r>
              <w:rPr>
                <w:rFonts w:ascii="Arial Narrow" w:hAnsi="Arial Narrow"/>
                <w:bCs/>
                <w:sz w:val="20"/>
              </w:rPr>
              <w:t>5</w:t>
            </w:r>
          </w:p>
        </w:tc>
        <w:tc>
          <w:tcPr>
            <w:tcW w:w="1034" w:type="dxa"/>
            <w:tcBorders>
              <w:top w:val="nil"/>
              <w:left w:val="nil"/>
              <w:bottom w:val="single" w:sz="4" w:space="0" w:color="auto"/>
              <w:right w:val="single" w:sz="4" w:space="0" w:color="auto"/>
            </w:tcBorders>
            <w:shd w:val="clear" w:color="auto" w:fill="auto"/>
            <w:noWrap/>
            <w:vAlign w:val="center"/>
          </w:tcPr>
          <w:p w14:paraId="10FAE8EF"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0.22</w:t>
            </w:r>
          </w:p>
        </w:tc>
        <w:tc>
          <w:tcPr>
            <w:tcW w:w="993" w:type="dxa"/>
            <w:tcBorders>
              <w:top w:val="nil"/>
              <w:left w:val="nil"/>
              <w:bottom w:val="single" w:sz="4" w:space="0" w:color="auto"/>
              <w:right w:val="single" w:sz="4" w:space="0" w:color="auto"/>
            </w:tcBorders>
            <w:shd w:val="clear" w:color="auto" w:fill="auto"/>
            <w:noWrap/>
            <w:vAlign w:val="center"/>
          </w:tcPr>
          <w:p w14:paraId="04C6CBB4"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center"/>
          </w:tcPr>
          <w:p w14:paraId="598178AE" w14:textId="77777777" w:rsidR="00C4187F" w:rsidRPr="000114F1" w:rsidRDefault="00C4187F" w:rsidP="00C4187F">
            <w:pPr>
              <w:jc w:val="center"/>
              <w:rPr>
                <w:rFonts w:ascii="Arial Narrow" w:hAnsi="Arial Narrow"/>
                <w:color w:val="000000"/>
                <w:sz w:val="20"/>
              </w:rPr>
            </w:pPr>
            <w:r w:rsidRPr="000114F1">
              <w:rPr>
                <w:rFonts w:ascii="Arial Narrow" w:hAnsi="Arial Narrow"/>
                <w:color w:val="000000"/>
                <w:sz w:val="20"/>
              </w:rPr>
              <w:t>0.79</w:t>
            </w:r>
          </w:p>
        </w:tc>
        <w:tc>
          <w:tcPr>
            <w:tcW w:w="1134" w:type="dxa"/>
            <w:tcBorders>
              <w:top w:val="nil"/>
              <w:left w:val="nil"/>
              <w:bottom w:val="single" w:sz="4" w:space="0" w:color="auto"/>
              <w:right w:val="single" w:sz="4" w:space="0" w:color="auto"/>
            </w:tcBorders>
            <w:shd w:val="clear" w:color="auto" w:fill="auto"/>
            <w:noWrap/>
            <w:vAlign w:val="center"/>
          </w:tcPr>
          <w:p w14:paraId="56FF7F34" w14:textId="77777777" w:rsidR="00C4187F" w:rsidRPr="000114F1" w:rsidRDefault="00C4187F" w:rsidP="00C4187F">
            <w:pPr>
              <w:jc w:val="center"/>
              <w:rPr>
                <w:rFonts w:ascii="Arial Narrow" w:hAnsi="Arial Narrow"/>
                <w:color w:val="000000"/>
                <w:sz w:val="20"/>
              </w:rPr>
            </w:pP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22BFDF7C" w14:textId="77777777" w:rsidR="00C4187F" w:rsidRPr="000114F1" w:rsidRDefault="00C4187F" w:rsidP="00C4187F">
            <w:pPr>
              <w:jc w:val="center"/>
              <w:rPr>
                <w:rFonts w:ascii="Arial Narrow" w:hAnsi="Arial Narrow"/>
                <w:color w:val="000000"/>
                <w:sz w:val="20"/>
              </w:rPr>
            </w:pPr>
          </w:p>
        </w:tc>
        <w:tc>
          <w:tcPr>
            <w:tcW w:w="993" w:type="dxa"/>
            <w:tcBorders>
              <w:top w:val="single" w:sz="4" w:space="0" w:color="auto"/>
              <w:left w:val="single" w:sz="4" w:space="0" w:color="auto"/>
              <w:bottom w:val="single" w:sz="4" w:space="0" w:color="auto"/>
              <w:right w:val="single" w:sz="4" w:space="0" w:color="auto"/>
            </w:tcBorders>
            <w:shd w:val="clear" w:color="auto" w:fill="92D050"/>
            <w:vAlign w:val="center"/>
          </w:tcPr>
          <w:p w14:paraId="35ED599C" w14:textId="77777777" w:rsidR="00C4187F" w:rsidRPr="007232CE" w:rsidRDefault="00C4187F" w:rsidP="00C4187F">
            <w:pPr>
              <w:jc w:val="center"/>
              <w:rPr>
                <w:rFonts w:ascii="Arial Narrow" w:hAnsi="Arial Narrow"/>
                <w:color w:val="000000"/>
                <w:sz w:val="20"/>
              </w:rPr>
            </w:pPr>
            <w:r w:rsidRPr="007232CE">
              <w:rPr>
                <w:rFonts w:ascii="Arial Narrow" w:hAnsi="Arial Narrow"/>
                <w:color w:val="000000"/>
                <w:sz w:val="20"/>
              </w:rPr>
              <w:t>0.</w:t>
            </w:r>
            <w:r>
              <w:rPr>
                <w:rFonts w:ascii="Arial Narrow" w:hAnsi="Arial Narrow"/>
                <w:color w:val="000000"/>
                <w:sz w:val="20"/>
              </w:rPr>
              <w:t>66</w:t>
            </w:r>
          </w:p>
        </w:tc>
      </w:tr>
      <w:tr w:rsidR="00C4187F" w:rsidRPr="00C15A2E" w14:paraId="750726EE" w14:textId="77777777" w:rsidTr="00AE0BFC">
        <w:trPr>
          <w:trHeight w:val="232"/>
        </w:trPr>
        <w:tc>
          <w:tcPr>
            <w:tcW w:w="2950" w:type="dxa"/>
            <w:gridSpan w:val="4"/>
            <w:tcBorders>
              <w:top w:val="single" w:sz="4" w:space="0" w:color="auto"/>
              <w:left w:val="single" w:sz="4" w:space="0" w:color="auto"/>
              <w:bottom w:val="single" w:sz="4" w:space="0" w:color="auto"/>
              <w:right w:val="single" w:sz="4" w:space="0" w:color="auto"/>
            </w:tcBorders>
            <w:shd w:val="clear" w:color="auto" w:fill="FFFF00"/>
            <w:noWrap/>
            <w:vAlign w:val="center"/>
            <w:hideMark/>
          </w:tcPr>
          <w:p w14:paraId="50968A87" w14:textId="77777777" w:rsidR="00C4187F" w:rsidRPr="002710DB" w:rsidRDefault="00C4187F" w:rsidP="00C4187F">
            <w:pPr>
              <w:jc w:val="center"/>
              <w:rPr>
                <w:rFonts w:ascii="Arial Narrow" w:hAnsi="Arial Narrow"/>
                <w:b/>
                <w:bCs/>
                <w:color w:val="0070C0"/>
                <w:sz w:val="20"/>
              </w:rPr>
            </w:pPr>
            <w:r w:rsidRPr="002710DB">
              <w:rPr>
                <w:rFonts w:ascii="Arial Narrow" w:hAnsi="Arial Narrow"/>
                <w:b/>
                <w:bCs/>
                <w:sz w:val="20"/>
              </w:rPr>
              <w:t xml:space="preserve">Report Card Score - </w:t>
            </w:r>
            <w:r>
              <w:rPr>
                <w:rFonts w:ascii="Arial Narrow" w:hAnsi="Arial Narrow"/>
                <w:b/>
                <w:bCs/>
                <w:sz w:val="20"/>
              </w:rPr>
              <w:t>Moderate</w:t>
            </w:r>
          </w:p>
        </w:tc>
        <w:tc>
          <w:tcPr>
            <w:tcW w:w="1034" w:type="dxa"/>
            <w:tcBorders>
              <w:top w:val="nil"/>
              <w:left w:val="nil"/>
              <w:bottom w:val="single" w:sz="4" w:space="0" w:color="auto"/>
              <w:right w:val="single" w:sz="4" w:space="0" w:color="auto"/>
            </w:tcBorders>
            <w:shd w:val="clear" w:color="auto" w:fill="FFC000"/>
            <w:noWrap/>
            <w:vAlign w:val="center"/>
          </w:tcPr>
          <w:p w14:paraId="3A4D4B6A" w14:textId="77777777" w:rsidR="00C4187F" w:rsidRPr="000114F1" w:rsidRDefault="00C4187F" w:rsidP="00084053">
            <w:pPr>
              <w:jc w:val="center"/>
              <w:rPr>
                <w:rFonts w:ascii="Arial Narrow" w:hAnsi="Arial Narrow"/>
                <w:color w:val="000000"/>
                <w:sz w:val="20"/>
              </w:rPr>
            </w:pPr>
            <w:r w:rsidRPr="000114F1">
              <w:rPr>
                <w:rFonts w:ascii="Arial Narrow" w:hAnsi="Arial Narrow"/>
                <w:color w:val="000000"/>
                <w:sz w:val="20"/>
              </w:rPr>
              <w:t>0.</w:t>
            </w:r>
            <w:r w:rsidR="00084053" w:rsidRPr="000114F1">
              <w:rPr>
                <w:rFonts w:ascii="Arial Narrow" w:hAnsi="Arial Narrow"/>
                <w:color w:val="000000"/>
                <w:sz w:val="20"/>
              </w:rPr>
              <w:t>2</w:t>
            </w:r>
            <w:r w:rsidR="00084053">
              <w:rPr>
                <w:rFonts w:ascii="Arial Narrow" w:hAnsi="Arial Narrow"/>
                <w:color w:val="000000"/>
                <w:sz w:val="20"/>
              </w:rPr>
              <w:t>5</w:t>
            </w:r>
          </w:p>
        </w:tc>
        <w:tc>
          <w:tcPr>
            <w:tcW w:w="993" w:type="dxa"/>
            <w:tcBorders>
              <w:top w:val="nil"/>
              <w:left w:val="nil"/>
              <w:bottom w:val="single" w:sz="4" w:space="0" w:color="auto"/>
              <w:right w:val="single" w:sz="4" w:space="0" w:color="auto"/>
            </w:tcBorders>
            <w:shd w:val="clear" w:color="auto" w:fill="00B050"/>
            <w:noWrap/>
            <w:vAlign w:val="center"/>
          </w:tcPr>
          <w:p w14:paraId="4252EA57" w14:textId="77777777" w:rsidR="00C4187F" w:rsidRPr="000114F1" w:rsidRDefault="00C4187F" w:rsidP="00084053">
            <w:pPr>
              <w:jc w:val="center"/>
              <w:rPr>
                <w:rFonts w:ascii="Arial Narrow" w:hAnsi="Arial Narrow"/>
                <w:color w:val="000000"/>
                <w:sz w:val="20"/>
              </w:rPr>
            </w:pPr>
            <w:r w:rsidRPr="000114F1">
              <w:rPr>
                <w:rFonts w:ascii="Arial Narrow" w:hAnsi="Arial Narrow"/>
                <w:color w:val="000000"/>
                <w:sz w:val="20"/>
              </w:rPr>
              <w:t>0.</w:t>
            </w:r>
            <w:r w:rsidR="00084053">
              <w:rPr>
                <w:rFonts w:ascii="Arial Narrow" w:hAnsi="Arial Narrow"/>
                <w:color w:val="000000"/>
                <w:sz w:val="20"/>
              </w:rPr>
              <w:t>94</w:t>
            </w:r>
          </w:p>
        </w:tc>
        <w:tc>
          <w:tcPr>
            <w:tcW w:w="1134" w:type="dxa"/>
            <w:tcBorders>
              <w:top w:val="nil"/>
              <w:left w:val="nil"/>
              <w:bottom w:val="single" w:sz="4" w:space="0" w:color="auto"/>
              <w:right w:val="single" w:sz="4" w:space="0" w:color="auto"/>
            </w:tcBorders>
            <w:shd w:val="clear" w:color="auto" w:fill="FFC000"/>
            <w:noWrap/>
            <w:vAlign w:val="center"/>
          </w:tcPr>
          <w:p w14:paraId="01F4D45D" w14:textId="77777777" w:rsidR="00C4187F" w:rsidRPr="000114F1" w:rsidRDefault="00C4187F" w:rsidP="00084053">
            <w:pPr>
              <w:jc w:val="center"/>
              <w:rPr>
                <w:rFonts w:ascii="Arial Narrow" w:hAnsi="Arial Narrow"/>
                <w:color w:val="000000"/>
                <w:sz w:val="20"/>
              </w:rPr>
            </w:pPr>
            <w:r w:rsidRPr="000114F1">
              <w:rPr>
                <w:rFonts w:ascii="Arial Narrow" w:hAnsi="Arial Narrow"/>
                <w:color w:val="000000"/>
                <w:sz w:val="20"/>
              </w:rPr>
              <w:t>0.</w:t>
            </w:r>
            <w:r w:rsidR="00084053">
              <w:rPr>
                <w:rFonts w:ascii="Arial Narrow" w:hAnsi="Arial Narrow"/>
                <w:color w:val="000000"/>
                <w:sz w:val="20"/>
              </w:rPr>
              <w:t>31</w:t>
            </w:r>
          </w:p>
        </w:tc>
        <w:tc>
          <w:tcPr>
            <w:tcW w:w="1134" w:type="dxa"/>
            <w:tcBorders>
              <w:top w:val="nil"/>
              <w:left w:val="nil"/>
              <w:bottom w:val="single" w:sz="4" w:space="0" w:color="auto"/>
              <w:right w:val="single" w:sz="4" w:space="0" w:color="auto"/>
            </w:tcBorders>
            <w:shd w:val="clear" w:color="auto" w:fill="FFFF00"/>
            <w:noWrap/>
            <w:vAlign w:val="center"/>
          </w:tcPr>
          <w:p w14:paraId="2883B593" w14:textId="77777777" w:rsidR="00C4187F" w:rsidRPr="000114F1" w:rsidRDefault="00C4187F" w:rsidP="00084053">
            <w:pPr>
              <w:jc w:val="center"/>
              <w:rPr>
                <w:rFonts w:ascii="Arial Narrow" w:hAnsi="Arial Narrow"/>
                <w:color w:val="000000"/>
                <w:sz w:val="20"/>
              </w:rPr>
            </w:pPr>
            <w:r w:rsidRPr="000114F1">
              <w:rPr>
                <w:rFonts w:ascii="Arial Narrow" w:hAnsi="Arial Narrow"/>
                <w:color w:val="000000"/>
                <w:sz w:val="20"/>
              </w:rPr>
              <w:t>0.</w:t>
            </w:r>
            <w:r w:rsidR="00084053">
              <w:rPr>
                <w:rFonts w:ascii="Arial Narrow" w:hAnsi="Arial Narrow"/>
                <w:color w:val="000000"/>
                <w:sz w:val="20"/>
              </w:rPr>
              <w:t>57</w:t>
            </w:r>
          </w:p>
        </w:tc>
        <w:tc>
          <w:tcPr>
            <w:tcW w:w="1275" w:type="dxa"/>
            <w:tcBorders>
              <w:top w:val="nil"/>
              <w:left w:val="single" w:sz="4" w:space="0" w:color="auto"/>
              <w:bottom w:val="single" w:sz="4" w:space="0" w:color="auto"/>
              <w:right w:val="single" w:sz="4" w:space="0" w:color="auto"/>
            </w:tcBorders>
            <w:shd w:val="clear" w:color="auto" w:fill="FFFF00"/>
            <w:noWrap/>
            <w:vAlign w:val="center"/>
          </w:tcPr>
          <w:p w14:paraId="5FD98E50" w14:textId="77777777" w:rsidR="00C4187F" w:rsidRPr="000114F1" w:rsidRDefault="00C4187F" w:rsidP="00084053">
            <w:pPr>
              <w:jc w:val="center"/>
              <w:rPr>
                <w:rFonts w:ascii="Arial Narrow" w:hAnsi="Arial Narrow"/>
                <w:color w:val="000000"/>
                <w:sz w:val="20"/>
              </w:rPr>
            </w:pPr>
            <w:r w:rsidRPr="000114F1">
              <w:rPr>
                <w:rFonts w:ascii="Arial Narrow" w:hAnsi="Arial Narrow"/>
                <w:color w:val="000000"/>
                <w:sz w:val="20"/>
              </w:rPr>
              <w:t>0.</w:t>
            </w:r>
            <w:r w:rsidR="00084053">
              <w:rPr>
                <w:rFonts w:ascii="Arial Narrow" w:hAnsi="Arial Narrow"/>
                <w:color w:val="000000"/>
                <w:sz w:val="20"/>
              </w:rPr>
              <w:t>33</w:t>
            </w:r>
          </w:p>
        </w:tc>
        <w:tc>
          <w:tcPr>
            <w:tcW w:w="993" w:type="dxa"/>
            <w:tcBorders>
              <w:top w:val="nil"/>
              <w:left w:val="single" w:sz="4" w:space="0" w:color="auto"/>
              <w:bottom w:val="single" w:sz="4" w:space="0" w:color="auto"/>
              <w:right w:val="single" w:sz="4" w:space="0" w:color="auto"/>
            </w:tcBorders>
            <w:shd w:val="clear" w:color="auto" w:fill="FFFF00"/>
            <w:vAlign w:val="center"/>
          </w:tcPr>
          <w:p w14:paraId="38356F9A" w14:textId="77777777" w:rsidR="00C4187F" w:rsidRPr="000114F1" w:rsidRDefault="00C4187F" w:rsidP="00084053">
            <w:pPr>
              <w:jc w:val="center"/>
              <w:rPr>
                <w:rFonts w:ascii="Arial Narrow" w:hAnsi="Arial Narrow"/>
                <w:color w:val="000000"/>
                <w:sz w:val="20"/>
              </w:rPr>
            </w:pPr>
            <w:r>
              <w:rPr>
                <w:rFonts w:ascii="Arial Narrow" w:hAnsi="Arial Narrow"/>
                <w:color w:val="000000"/>
                <w:sz w:val="20"/>
              </w:rPr>
              <w:t>0.</w:t>
            </w:r>
            <w:r w:rsidR="00084053">
              <w:rPr>
                <w:rFonts w:ascii="Arial Narrow" w:hAnsi="Arial Narrow"/>
                <w:color w:val="000000"/>
                <w:sz w:val="20"/>
              </w:rPr>
              <w:t>48</w:t>
            </w:r>
          </w:p>
        </w:tc>
      </w:tr>
    </w:tbl>
    <w:p w14:paraId="2E6D7D4F" w14:textId="77777777" w:rsidR="00370EEF" w:rsidRDefault="00370EEF"/>
    <w:p w14:paraId="396D1B7D" w14:textId="77777777" w:rsidR="007E5B6D" w:rsidRDefault="007E5B6D"/>
    <w:p w14:paraId="29C45172" w14:textId="77777777" w:rsidR="00370EEF" w:rsidRPr="007E5B6D" w:rsidRDefault="0096504D">
      <w:pPr>
        <w:jc w:val="left"/>
        <w:rPr>
          <w:rStyle w:val="IntenseReference"/>
        </w:rPr>
      </w:pPr>
      <w:r>
        <w:rPr>
          <w:rStyle w:val="IntenseReference"/>
        </w:rPr>
        <w:lastRenderedPageBreak/>
        <w:t xml:space="preserve">Table </w:t>
      </w:r>
      <w:proofErr w:type="gramStart"/>
      <w:r>
        <w:rPr>
          <w:rStyle w:val="IntenseReference"/>
        </w:rPr>
        <w:t>A</w:t>
      </w:r>
      <w:proofErr w:type="gramEnd"/>
      <w:r w:rsidR="0063376B">
        <w:rPr>
          <w:rStyle w:val="IntenseReference"/>
        </w:rPr>
        <w:t xml:space="preserve"> 3 continued</w:t>
      </w:r>
    </w:p>
    <w:tbl>
      <w:tblPr>
        <w:tblpPr w:leftFromText="180" w:rightFromText="180" w:vertAnchor="text" w:tblpY="1"/>
        <w:tblOverlap w:val="never"/>
        <w:tblW w:w="9513" w:type="dxa"/>
        <w:tblInd w:w="93" w:type="dxa"/>
        <w:tblLayout w:type="fixed"/>
        <w:tblLook w:val="04A0" w:firstRow="1" w:lastRow="0" w:firstColumn="1" w:lastColumn="0" w:noHBand="0" w:noVBand="1"/>
        <w:tblCaption w:val="Table A1 3 continued."/>
        <w:tblDescription w:val="Burdekin region"/>
      </w:tblPr>
      <w:tblGrid>
        <w:gridCol w:w="875"/>
        <w:gridCol w:w="1692"/>
        <w:gridCol w:w="425"/>
        <w:gridCol w:w="992"/>
        <w:gridCol w:w="993"/>
        <w:gridCol w:w="1134"/>
        <w:gridCol w:w="1134"/>
        <w:gridCol w:w="1275"/>
        <w:gridCol w:w="993"/>
      </w:tblGrid>
      <w:tr w:rsidR="00370EEF" w:rsidRPr="000114F1" w14:paraId="5BF8FFD4" w14:textId="77777777" w:rsidTr="001F2F84">
        <w:trPr>
          <w:trHeight w:val="185"/>
        </w:trPr>
        <w:tc>
          <w:tcPr>
            <w:tcW w:w="875" w:type="dxa"/>
            <w:tcBorders>
              <w:top w:val="single" w:sz="4" w:space="0" w:color="auto"/>
              <w:left w:val="single" w:sz="4" w:space="0" w:color="auto"/>
              <w:right w:val="single" w:sz="4" w:space="0" w:color="auto"/>
            </w:tcBorders>
            <w:shd w:val="clear" w:color="auto" w:fill="auto"/>
            <w:noWrap/>
            <w:vAlign w:val="bottom"/>
          </w:tcPr>
          <w:p w14:paraId="6B753D61" w14:textId="77777777" w:rsidR="00370EEF" w:rsidRPr="002710DB" w:rsidRDefault="00370EEF" w:rsidP="00474974">
            <w:pPr>
              <w:rPr>
                <w:rFonts w:ascii="Arial Narrow" w:hAnsi="Arial Narrow"/>
                <w:b/>
                <w:bCs/>
                <w:sz w:val="20"/>
              </w:rPr>
            </w:pPr>
            <w:r w:rsidRPr="002710DB">
              <w:rPr>
                <w:rFonts w:ascii="Arial Narrow" w:hAnsi="Arial Narrow"/>
                <w:b/>
                <w:bCs/>
                <w:sz w:val="20"/>
              </w:rPr>
              <w:t>Region</w:t>
            </w:r>
          </w:p>
          <w:p w14:paraId="0BC0B092" w14:textId="77777777" w:rsidR="00370EEF" w:rsidRPr="002710DB" w:rsidRDefault="00370EEF" w:rsidP="00474974">
            <w:pPr>
              <w:jc w:val="center"/>
              <w:rPr>
                <w:rFonts w:ascii="Arial Narrow" w:hAnsi="Arial Narrow"/>
                <w:b/>
                <w:bCs/>
                <w:sz w:val="20"/>
              </w:rPr>
            </w:pPr>
          </w:p>
        </w:tc>
        <w:tc>
          <w:tcPr>
            <w:tcW w:w="16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428E1A" w14:textId="77777777" w:rsidR="00370EEF" w:rsidRPr="00C15A2E" w:rsidRDefault="00370EEF" w:rsidP="00474974">
            <w:pPr>
              <w:rPr>
                <w:rFonts w:ascii="Arial Narrow" w:hAnsi="Arial Narrow"/>
                <w:bCs/>
                <w:sz w:val="20"/>
              </w:rPr>
            </w:pPr>
            <w:r w:rsidRPr="007672BF">
              <w:rPr>
                <w:rFonts w:ascii="Arial Narrow" w:hAnsi="Arial Narrow"/>
                <w:bCs/>
                <w:sz w:val="20"/>
              </w:rPr>
              <w:t>Reef</w:t>
            </w:r>
          </w:p>
        </w:tc>
        <w:tc>
          <w:tcPr>
            <w:tcW w:w="425" w:type="dxa"/>
            <w:tcBorders>
              <w:top w:val="single" w:sz="4" w:space="0" w:color="auto"/>
              <w:left w:val="nil"/>
              <w:bottom w:val="single" w:sz="4" w:space="0" w:color="auto"/>
              <w:right w:val="single" w:sz="4" w:space="0" w:color="auto"/>
            </w:tcBorders>
            <w:shd w:val="clear" w:color="auto" w:fill="auto"/>
            <w:noWrap/>
            <w:textDirection w:val="btLr"/>
            <w:vAlign w:val="center"/>
          </w:tcPr>
          <w:p w14:paraId="66527D12" w14:textId="77777777" w:rsidR="00370EEF" w:rsidRPr="00C15A2E" w:rsidRDefault="00370EEF" w:rsidP="00474974">
            <w:pPr>
              <w:jc w:val="center"/>
              <w:rPr>
                <w:rFonts w:ascii="Arial Narrow" w:hAnsi="Arial Narrow"/>
                <w:bCs/>
                <w:sz w:val="20"/>
              </w:rPr>
            </w:pPr>
            <w:r w:rsidRPr="007672BF">
              <w:rPr>
                <w:rFonts w:ascii="Arial Narrow" w:hAnsi="Arial Narrow"/>
                <w:bCs/>
                <w:sz w:val="20"/>
              </w:rPr>
              <w:t>depth</w:t>
            </w:r>
          </w:p>
        </w:tc>
        <w:tc>
          <w:tcPr>
            <w:tcW w:w="992" w:type="dxa"/>
            <w:tcBorders>
              <w:top w:val="single" w:sz="4" w:space="0" w:color="auto"/>
              <w:left w:val="nil"/>
              <w:bottom w:val="single" w:sz="4" w:space="0" w:color="auto"/>
              <w:right w:val="single" w:sz="4" w:space="0" w:color="auto"/>
            </w:tcBorders>
            <w:shd w:val="clear" w:color="auto" w:fill="auto"/>
            <w:noWrap/>
            <w:vAlign w:val="center"/>
          </w:tcPr>
          <w:p w14:paraId="0594FEAC" w14:textId="77777777" w:rsidR="00370EEF" w:rsidRPr="000114F1" w:rsidRDefault="00370EEF" w:rsidP="00474974">
            <w:pPr>
              <w:jc w:val="right"/>
              <w:rPr>
                <w:rFonts w:ascii="Arial Narrow" w:hAnsi="Arial Narrow"/>
                <w:color w:val="000000"/>
                <w:sz w:val="20"/>
              </w:rPr>
            </w:pPr>
            <w:r w:rsidRPr="007672BF">
              <w:rPr>
                <w:rFonts w:ascii="Arial Narrow" w:hAnsi="Arial Narrow"/>
                <w:bCs/>
                <w:sz w:val="20"/>
              </w:rPr>
              <w:t>Coral cover</w:t>
            </w:r>
          </w:p>
        </w:tc>
        <w:tc>
          <w:tcPr>
            <w:tcW w:w="993" w:type="dxa"/>
            <w:tcBorders>
              <w:top w:val="single" w:sz="4" w:space="0" w:color="auto"/>
              <w:left w:val="nil"/>
              <w:bottom w:val="single" w:sz="4" w:space="0" w:color="auto"/>
              <w:right w:val="single" w:sz="4" w:space="0" w:color="auto"/>
            </w:tcBorders>
            <w:shd w:val="clear" w:color="auto" w:fill="auto"/>
            <w:noWrap/>
            <w:vAlign w:val="center"/>
          </w:tcPr>
          <w:p w14:paraId="3FFACBE0" w14:textId="77777777" w:rsidR="00370EEF" w:rsidRPr="000114F1" w:rsidRDefault="00370EEF" w:rsidP="00474974">
            <w:pPr>
              <w:jc w:val="right"/>
              <w:rPr>
                <w:rFonts w:ascii="Arial Narrow" w:hAnsi="Arial Narrow"/>
                <w:color w:val="000000"/>
                <w:sz w:val="20"/>
              </w:rPr>
            </w:pPr>
            <w:r w:rsidRPr="007672BF">
              <w:rPr>
                <w:rFonts w:ascii="Arial Narrow" w:hAnsi="Arial Narrow"/>
                <w:bCs/>
                <w:sz w:val="20"/>
              </w:rPr>
              <w:t xml:space="preserve">Juvenile corals </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136C1D7B" w14:textId="77777777" w:rsidR="00370EEF" w:rsidRPr="000114F1" w:rsidRDefault="00370EEF" w:rsidP="00474974">
            <w:pPr>
              <w:jc w:val="right"/>
              <w:rPr>
                <w:rFonts w:ascii="Arial Narrow" w:hAnsi="Arial Narrow"/>
                <w:color w:val="000000"/>
                <w:sz w:val="20"/>
              </w:rPr>
            </w:pPr>
            <w:r w:rsidRPr="007672BF">
              <w:rPr>
                <w:rFonts w:ascii="Arial Narrow" w:hAnsi="Arial Narrow"/>
                <w:bCs/>
                <w:sz w:val="20"/>
              </w:rPr>
              <w:t>Macro- algae</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35B3A7A3" w14:textId="77777777" w:rsidR="00370EEF" w:rsidRPr="000114F1" w:rsidRDefault="00370EEF" w:rsidP="00474974">
            <w:pPr>
              <w:jc w:val="right"/>
              <w:rPr>
                <w:rFonts w:ascii="Arial Narrow" w:hAnsi="Arial Narrow"/>
                <w:color w:val="000000"/>
                <w:sz w:val="20"/>
              </w:rPr>
            </w:pPr>
            <w:r w:rsidRPr="007672BF">
              <w:rPr>
                <w:rFonts w:ascii="Arial Narrow" w:hAnsi="Arial Narrow"/>
                <w:bCs/>
                <w:sz w:val="20"/>
              </w:rPr>
              <w:t>Cover change</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32FBA5" w14:textId="77777777" w:rsidR="00370EEF" w:rsidRDefault="00370EEF" w:rsidP="00474974">
            <w:pPr>
              <w:jc w:val="center"/>
              <w:rPr>
                <w:rFonts w:ascii="Arial Narrow" w:hAnsi="Arial Narrow"/>
                <w:bCs/>
                <w:color w:val="000000" w:themeColor="text1"/>
                <w:sz w:val="20"/>
              </w:rPr>
            </w:pPr>
            <w:r>
              <w:rPr>
                <w:rFonts w:ascii="Arial Narrow" w:hAnsi="Arial Narrow"/>
                <w:bCs/>
                <w:color w:val="000000" w:themeColor="text1"/>
                <w:sz w:val="20"/>
              </w:rPr>
              <w:t>Coral</w:t>
            </w:r>
          </w:p>
          <w:p w14:paraId="66ECC434" w14:textId="77777777" w:rsidR="00370EEF" w:rsidRPr="000114F1" w:rsidRDefault="00370EEF" w:rsidP="00474974">
            <w:pPr>
              <w:jc w:val="right"/>
              <w:rPr>
                <w:rFonts w:ascii="Arial Narrow" w:hAnsi="Arial Narrow"/>
                <w:color w:val="000000"/>
                <w:sz w:val="20"/>
              </w:rPr>
            </w:pPr>
            <w:r>
              <w:rPr>
                <w:rFonts w:ascii="Arial Narrow" w:hAnsi="Arial Narrow"/>
                <w:bCs/>
                <w:color w:val="000000" w:themeColor="text1"/>
                <w:sz w:val="20"/>
              </w:rPr>
              <w:t>composition</w:t>
            </w:r>
          </w:p>
        </w:tc>
        <w:tc>
          <w:tcPr>
            <w:tcW w:w="993" w:type="dxa"/>
            <w:tcBorders>
              <w:top w:val="single" w:sz="4" w:space="0" w:color="auto"/>
              <w:left w:val="single" w:sz="4" w:space="0" w:color="auto"/>
              <w:bottom w:val="single" w:sz="4" w:space="0" w:color="auto"/>
              <w:right w:val="single" w:sz="4" w:space="0" w:color="auto"/>
            </w:tcBorders>
          </w:tcPr>
          <w:p w14:paraId="242FE1DF" w14:textId="77777777" w:rsidR="00370EEF" w:rsidRPr="000114F1" w:rsidRDefault="00370EEF" w:rsidP="00474974">
            <w:pPr>
              <w:jc w:val="right"/>
              <w:rPr>
                <w:rFonts w:ascii="Arial Narrow" w:hAnsi="Arial Narrow"/>
                <w:color w:val="000000"/>
                <w:sz w:val="20"/>
              </w:rPr>
            </w:pPr>
            <w:r>
              <w:rPr>
                <w:rFonts w:ascii="Arial Narrow" w:hAnsi="Arial Narrow"/>
                <w:bCs/>
                <w:color w:val="000000" w:themeColor="text1"/>
                <w:sz w:val="20"/>
              </w:rPr>
              <w:t>Coral index</w:t>
            </w:r>
          </w:p>
        </w:tc>
      </w:tr>
      <w:tr w:rsidR="00BE71AF" w:rsidRPr="000114F1" w14:paraId="55ABF1EE" w14:textId="77777777" w:rsidTr="001F2F84">
        <w:trPr>
          <w:trHeight w:val="185"/>
        </w:trPr>
        <w:tc>
          <w:tcPr>
            <w:tcW w:w="875" w:type="dxa"/>
            <w:vMerge w:val="restart"/>
            <w:tcBorders>
              <w:top w:val="single" w:sz="4" w:space="0" w:color="auto"/>
              <w:left w:val="single" w:sz="4" w:space="0" w:color="auto"/>
              <w:right w:val="single" w:sz="4" w:space="0" w:color="auto"/>
            </w:tcBorders>
            <w:shd w:val="clear" w:color="auto" w:fill="auto"/>
            <w:noWrap/>
            <w:textDirection w:val="btLr"/>
            <w:vAlign w:val="center"/>
            <w:hideMark/>
          </w:tcPr>
          <w:p w14:paraId="7A7B3D5B" w14:textId="77777777" w:rsidR="00BE71AF" w:rsidRPr="002710DB" w:rsidRDefault="00BE71AF" w:rsidP="00474974">
            <w:pPr>
              <w:jc w:val="center"/>
              <w:rPr>
                <w:rFonts w:ascii="Arial Narrow" w:hAnsi="Arial Narrow"/>
                <w:b/>
                <w:bCs/>
                <w:color w:val="0070C0"/>
                <w:sz w:val="20"/>
              </w:rPr>
            </w:pPr>
            <w:r w:rsidRPr="002710DB">
              <w:rPr>
                <w:rFonts w:ascii="Arial Narrow" w:hAnsi="Arial Narrow"/>
                <w:b/>
                <w:bCs/>
                <w:sz w:val="20"/>
              </w:rPr>
              <w:t>Burdekin</w:t>
            </w:r>
          </w:p>
        </w:tc>
        <w:tc>
          <w:tcPr>
            <w:tcW w:w="16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EDC7FD" w14:textId="77777777" w:rsidR="00BE71AF" w:rsidRPr="00C15A2E" w:rsidRDefault="00BE71AF" w:rsidP="00474974">
            <w:pPr>
              <w:rPr>
                <w:rFonts w:ascii="Arial Narrow" w:hAnsi="Arial Narrow"/>
                <w:bCs/>
                <w:sz w:val="20"/>
              </w:rPr>
            </w:pPr>
            <w:r w:rsidRPr="00C15A2E">
              <w:rPr>
                <w:rFonts w:ascii="Arial Narrow" w:hAnsi="Arial Narrow"/>
                <w:bCs/>
                <w:sz w:val="20"/>
              </w:rPr>
              <w:t>Palms East</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111E1F89" w14:textId="77777777" w:rsidR="00BE71AF" w:rsidRPr="00C15A2E" w:rsidRDefault="00BE71AF" w:rsidP="00474974">
            <w:pPr>
              <w:jc w:val="center"/>
              <w:rPr>
                <w:rFonts w:ascii="Arial Narrow" w:hAnsi="Arial Narrow"/>
                <w:bCs/>
                <w:sz w:val="20"/>
              </w:rPr>
            </w:pPr>
            <w:r w:rsidRPr="00C15A2E">
              <w:rPr>
                <w:rFonts w:ascii="Arial Narrow" w:hAnsi="Arial Narrow"/>
                <w:bCs/>
                <w:sz w:val="20"/>
              </w:rPr>
              <w:t>2</w:t>
            </w:r>
          </w:p>
        </w:tc>
        <w:tc>
          <w:tcPr>
            <w:tcW w:w="992" w:type="dxa"/>
            <w:tcBorders>
              <w:top w:val="single" w:sz="4" w:space="0" w:color="auto"/>
              <w:left w:val="nil"/>
              <w:bottom w:val="single" w:sz="4" w:space="0" w:color="auto"/>
              <w:right w:val="single" w:sz="4" w:space="0" w:color="auto"/>
            </w:tcBorders>
            <w:shd w:val="clear" w:color="auto" w:fill="auto"/>
            <w:noWrap/>
            <w:vAlign w:val="bottom"/>
          </w:tcPr>
          <w:p w14:paraId="4BAC9074"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0.06</w:t>
            </w: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362E8922"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0.43</w:t>
            </w:r>
          </w:p>
        </w:tc>
        <w:tc>
          <w:tcPr>
            <w:tcW w:w="1134" w:type="dxa"/>
            <w:tcBorders>
              <w:top w:val="single" w:sz="4" w:space="0" w:color="auto"/>
              <w:left w:val="nil"/>
              <w:bottom w:val="single" w:sz="4" w:space="0" w:color="auto"/>
              <w:right w:val="single" w:sz="4" w:space="0" w:color="auto"/>
            </w:tcBorders>
            <w:shd w:val="clear" w:color="auto" w:fill="auto"/>
            <w:noWrap/>
            <w:vAlign w:val="bottom"/>
          </w:tcPr>
          <w:p w14:paraId="324FB2C5"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single" w:sz="4" w:space="0" w:color="auto"/>
              <w:left w:val="nil"/>
              <w:bottom w:val="single" w:sz="4" w:space="0" w:color="auto"/>
              <w:right w:val="single" w:sz="4" w:space="0" w:color="auto"/>
            </w:tcBorders>
            <w:shd w:val="clear" w:color="auto" w:fill="auto"/>
            <w:noWrap/>
            <w:vAlign w:val="bottom"/>
          </w:tcPr>
          <w:p w14:paraId="368A0C1B"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0.40</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FF27CC"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bottom"/>
          </w:tcPr>
          <w:p w14:paraId="1FA69B99" w14:textId="77777777" w:rsidR="00BE71AF" w:rsidRPr="00BE71AF" w:rsidRDefault="00BE71AF" w:rsidP="00474974">
            <w:pPr>
              <w:jc w:val="right"/>
              <w:rPr>
                <w:rFonts w:ascii="Arial Narrow" w:hAnsi="Arial Narrow"/>
                <w:color w:val="000000"/>
                <w:sz w:val="20"/>
              </w:rPr>
            </w:pPr>
            <w:r w:rsidRPr="00BE71AF">
              <w:rPr>
                <w:rFonts w:ascii="Arial Narrow" w:hAnsi="Arial Narrow"/>
                <w:color w:val="000000"/>
                <w:sz w:val="20"/>
              </w:rPr>
              <w:t>0.38</w:t>
            </w:r>
          </w:p>
        </w:tc>
      </w:tr>
      <w:tr w:rsidR="00BE71AF" w:rsidRPr="000114F1" w14:paraId="3FD1B970" w14:textId="77777777" w:rsidTr="001F2F84">
        <w:trPr>
          <w:trHeight w:val="185"/>
        </w:trPr>
        <w:tc>
          <w:tcPr>
            <w:tcW w:w="875" w:type="dxa"/>
            <w:vMerge/>
            <w:tcBorders>
              <w:left w:val="single" w:sz="4" w:space="0" w:color="auto"/>
              <w:right w:val="single" w:sz="4" w:space="0" w:color="auto"/>
            </w:tcBorders>
            <w:vAlign w:val="center"/>
            <w:hideMark/>
          </w:tcPr>
          <w:p w14:paraId="406D1DE3" w14:textId="77777777" w:rsidR="00BE71AF" w:rsidRPr="00C15A2E" w:rsidRDefault="00BE71AF" w:rsidP="00474974">
            <w:pPr>
              <w:rPr>
                <w:rFonts w:ascii="Arial Narrow" w:hAnsi="Arial Narrow"/>
                <w:bCs/>
                <w:color w:val="0070C0"/>
                <w:sz w:val="20"/>
              </w:rPr>
            </w:pPr>
          </w:p>
        </w:tc>
        <w:tc>
          <w:tcPr>
            <w:tcW w:w="1692" w:type="dxa"/>
            <w:vMerge/>
            <w:tcBorders>
              <w:top w:val="single" w:sz="4" w:space="0" w:color="auto"/>
              <w:left w:val="single" w:sz="4" w:space="0" w:color="auto"/>
              <w:bottom w:val="single" w:sz="4" w:space="0" w:color="auto"/>
              <w:right w:val="single" w:sz="4" w:space="0" w:color="auto"/>
            </w:tcBorders>
            <w:vAlign w:val="center"/>
            <w:hideMark/>
          </w:tcPr>
          <w:p w14:paraId="352072EB" w14:textId="77777777" w:rsidR="00BE71AF" w:rsidRPr="00C15A2E" w:rsidRDefault="00BE71AF" w:rsidP="00474974">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hideMark/>
          </w:tcPr>
          <w:p w14:paraId="38E578F7" w14:textId="77777777" w:rsidR="00BE71AF" w:rsidRPr="00C15A2E" w:rsidRDefault="00BE71AF" w:rsidP="00474974">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565E5C2B"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0.05</w:t>
            </w:r>
          </w:p>
        </w:tc>
        <w:tc>
          <w:tcPr>
            <w:tcW w:w="993" w:type="dxa"/>
            <w:tcBorders>
              <w:top w:val="nil"/>
              <w:left w:val="nil"/>
              <w:bottom w:val="single" w:sz="4" w:space="0" w:color="auto"/>
              <w:right w:val="single" w:sz="4" w:space="0" w:color="auto"/>
            </w:tcBorders>
            <w:shd w:val="clear" w:color="auto" w:fill="auto"/>
            <w:noWrap/>
            <w:vAlign w:val="bottom"/>
          </w:tcPr>
          <w:p w14:paraId="7D02BF8D"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0.51</w:t>
            </w:r>
          </w:p>
        </w:tc>
        <w:tc>
          <w:tcPr>
            <w:tcW w:w="1134" w:type="dxa"/>
            <w:tcBorders>
              <w:top w:val="nil"/>
              <w:left w:val="nil"/>
              <w:bottom w:val="single" w:sz="4" w:space="0" w:color="auto"/>
              <w:right w:val="single" w:sz="4" w:space="0" w:color="auto"/>
            </w:tcBorders>
            <w:shd w:val="clear" w:color="auto" w:fill="auto"/>
            <w:noWrap/>
            <w:vAlign w:val="bottom"/>
          </w:tcPr>
          <w:p w14:paraId="6D7B6D92"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0.05</w:t>
            </w:r>
          </w:p>
        </w:tc>
        <w:tc>
          <w:tcPr>
            <w:tcW w:w="1134" w:type="dxa"/>
            <w:tcBorders>
              <w:top w:val="nil"/>
              <w:left w:val="nil"/>
              <w:bottom w:val="single" w:sz="4" w:space="0" w:color="auto"/>
              <w:right w:val="single" w:sz="4" w:space="0" w:color="auto"/>
            </w:tcBorders>
            <w:shd w:val="clear" w:color="auto" w:fill="auto"/>
            <w:noWrap/>
            <w:vAlign w:val="bottom"/>
          </w:tcPr>
          <w:p w14:paraId="332762DD"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0.33</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90896A0" w14:textId="77777777" w:rsidR="00BE71AF" w:rsidRPr="000114F1" w:rsidRDefault="00BE71AF" w:rsidP="00474974">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bottom"/>
          </w:tcPr>
          <w:p w14:paraId="29871F8A" w14:textId="77777777" w:rsidR="00BE71AF" w:rsidRPr="00BE71AF" w:rsidRDefault="00BE71AF" w:rsidP="00474974">
            <w:pPr>
              <w:jc w:val="right"/>
              <w:rPr>
                <w:rFonts w:ascii="Arial Narrow" w:hAnsi="Arial Narrow"/>
                <w:color w:val="000000"/>
                <w:sz w:val="20"/>
              </w:rPr>
            </w:pPr>
            <w:r w:rsidRPr="00BE71AF">
              <w:rPr>
                <w:rFonts w:ascii="Arial Narrow" w:hAnsi="Arial Narrow"/>
                <w:color w:val="000000"/>
                <w:sz w:val="20"/>
              </w:rPr>
              <w:t>0.29</w:t>
            </w:r>
          </w:p>
        </w:tc>
      </w:tr>
      <w:tr w:rsidR="001F2F84" w:rsidRPr="000114F1" w14:paraId="3DBD1D69" w14:textId="77777777" w:rsidTr="001F2F84">
        <w:trPr>
          <w:trHeight w:val="185"/>
        </w:trPr>
        <w:tc>
          <w:tcPr>
            <w:tcW w:w="875" w:type="dxa"/>
            <w:vMerge/>
            <w:tcBorders>
              <w:left w:val="single" w:sz="4" w:space="0" w:color="auto"/>
              <w:right w:val="single" w:sz="4" w:space="0" w:color="auto"/>
            </w:tcBorders>
            <w:vAlign w:val="center"/>
          </w:tcPr>
          <w:p w14:paraId="6BC3E264" w14:textId="77777777" w:rsidR="001F2F84" w:rsidRPr="00C15A2E" w:rsidRDefault="001F2F84" w:rsidP="001F2F84">
            <w:pPr>
              <w:rPr>
                <w:rFonts w:ascii="Arial Narrow" w:hAnsi="Arial Narrow"/>
                <w:bCs/>
                <w:color w:val="0070C0"/>
                <w:sz w:val="20"/>
              </w:rPr>
            </w:pPr>
          </w:p>
        </w:tc>
        <w:tc>
          <w:tcPr>
            <w:tcW w:w="1692" w:type="dxa"/>
            <w:tcBorders>
              <w:top w:val="nil"/>
              <w:left w:val="single" w:sz="4" w:space="0" w:color="auto"/>
              <w:bottom w:val="single" w:sz="4" w:space="0" w:color="auto"/>
              <w:right w:val="single" w:sz="4" w:space="0" w:color="auto"/>
            </w:tcBorders>
            <w:shd w:val="clear" w:color="auto" w:fill="auto"/>
            <w:noWrap/>
            <w:vAlign w:val="center"/>
          </w:tcPr>
          <w:p w14:paraId="54D0F4F6" w14:textId="77777777" w:rsidR="001F2F84" w:rsidRPr="00C15A2E" w:rsidRDefault="001F2F84" w:rsidP="001F2F84">
            <w:pPr>
              <w:rPr>
                <w:rFonts w:ascii="Arial Narrow" w:hAnsi="Arial Narrow"/>
                <w:bCs/>
                <w:sz w:val="20"/>
              </w:rPr>
            </w:pPr>
            <w:r>
              <w:rPr>
                <w:rFonts w:ascii="Arial Narrow" w:hAnsi="Arial Narrow"/>
                <w:bCs/>
                <w:sz w:val="20"/>
              </w:rPr>
              <w:t>Havannah North</w:t>
            </w:r>
          </w:p>
        </w:tc>
        <w:tc>
          <w:tcPr>
            <w:tcW w:w="425" w:type="dxa"/>
            <w:tcBorders>
              <w:top w:val="nil"/>
              <w:left w:val="nil"/>
              <w:bottom w:val="single" w:sz="4" w:space="0" w:color="auto"/>
              <w:right w:val="single" w:sz="4" w:space="0" w:color="auto"/>
            </w:tcBorders>
            <w:shd w:val="clear" w:color="auto" w:fill="auto"/>
            <w:noWrap/>
            <w:vAlign w:val="bottom"/>
          </w:tcPr>
          <w:p w14:paraId="6F526B17" w14:textId="77777777" w:rsidR="001F2F84" w:rsidRPr="00C15A2E" w:rsidRDefault="001F2F84" w:rsidP="001F2F84">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47E33682"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0.06</w:t>
            </w:r>
          </w:p>
        </w:tc>
        <w:tc>
          <w:tcPr>
            <w:tcW w:w="993" w:type="dxa"/>
            <w:tcBorders>
              <w:top w:val="nil"/>
              <w:left w:val="nil"/>
              <w:bottom w:val="single" w:sz="4" w:space="0" w:color="auto"/>
              <w:right w:val="single" w:sz="4" w:space="0" w:color="auto"/>
            </w:tcBorders>
            <w:shd w:val="clear" w:color="auto" w:fill="auto"/>
            <w:noWrap/>
            <w:vAlign w:val="bottom"/>
          </w:tcPr>
          <w:p w14:paraId="72AEFB74"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0.98</w:t>
            </w:r>
          </w:p>
        </w:tc>
        <w:tc>
          <w:tcPr>
            <w:tcW w:w="1134" w:type="dxa"/>
            <w:tcBorders>
              <w:top w:val="nil"/>
              <w:left w:val="nil"/>
              <w:bottom w:val="single" w:sz="4" w:space="0" w:color="auto"/>
              <w:right w:val="single" w:sz="4" w:space="0" w:color="auto"/>
            </w:tcBorders>
            <w:shd w:val="clear" w:color="auto" w:fill="auto"/>
            <w:noWrap/>
            <w:vAlign w:val="bottom"/>
          </w:tcPr>
          <w:p w14:paraId="3DF1965D"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7822461F"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0.31</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5E91962"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tcPr>
          <w:p w14:paraId="6A7FA3D5" w14:textId="77777777" w:rsidR="001F2F84" w:rsidRPr="00BE71AF" w:rsidRDefault="001F2F84" w:rsidP="001F2F84">
            <w:pPr>
              <w:jc w:val="right"/>
              <w:rPr>
                <w:rFonts w:ascii="Arial Narrow" w:hAnsi="Arial Narrow"/>
                <w:color w:val="000000"/>
                <w:sz w:val="20"/>
              </w:rPr>
            </w:pPr>
            <w:r w:rsidRPr="00BE71AF">
              <w:rPr>
                <w:rFonts w:ascii="Arial Narrow" w:hAnsi="Arial Narrow"/>
                <w:color w:val="000000"/>
                <w:sz w:val="20"/>
              </w:rPr>
              <w:t>0.37</w:t>
            </w:r>
          </w:p>
        </w:tc>
      </w:tr>
      <w:tr w:rsidR="001F2F84" w:rsidRPr="000114F1" w14:paraId="3A015A6B" w14:textId="77777777" w:rsidTr="001F2F84">
        <w:trPr>
          <w:trHeight w:val="185"/>
        </w:trPr>
        <w:tc>
          <w:tcPr>
            <w:tcW w:w="875" w:type="dxa"/>
            <w:vMerge/>
            <w:tcBorders>
              <w:left w:val="single" w:sz="4" w:space="0" w:color="auto"/>
              <w:right w:val="single" w:sz="4" w:space="0" w:color="auto"/>
            </w:tcBorders>
            <w:vAlign w:val="center"/>
            <w:hideMark/>
          </w:tcPr>
          <w:p w14:paraId="1B1E28BA" w14:textId="77777777" w:rsidR="001F2F84" w:rsidRPr="00C15A2E" w:rsidRDefault="001F2F84" w:rsidP="001F2F84">
            <w:pPr>
              <w:rPr>
                <w:rFonts w:ascii="Arial Narrow" w:hAnsi="Arial Narrow"/>
                <w:bCs/>
                <w:color w:val="0070C0"/>
                <w:sz w:val="20"/>
              </w:rPr>
            </w:pPr>
          </w:p>
        </w:tc>
        <w:tc>
          <w:tcPr>
            <w:tcW w:w="16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0D2A67" w14:textId="77777777" w:rsidR="001F2F84" w:rsidRPr="00C15A2E" w:rsidRDefault="001F2F84" w:rsidP="001F2F84">
            <w:pPr>
              <w:rPr>
                <w:rFonts w:ascii="Arial Narrow" w:hAnsi="Arial Narrow"/>
                <w:bCs/>
                <w:sz w:val="20"/>
              </w:rPr>
            </w:pPr>
            <w:r w:rsidRPr="00C15A2E">
              <w:rPr>
                <w:rFonts w:ascii="Arial Narrow" w:hAnsi="Arial Narrow"/>
                <w:bCs/>
                <w:sz w:val="20"/>
              </w:rPr>
              <w:t>Palms West</w:t>
            </w:r>
          </w:p>
        </w:tc>
        <w:tc>
          <w:tcPr>
            <w:tcW w:w="425" w:type="dxa"/>
            <w:tcBorders>
              <w:top w:val="nil"/>
              <w:left w:val="nil"/>
              <w:bottom w:val="single" w:sz="4" w:space="0" w:color="auto"/>
              <w:right w:val="single" w:sz="4" w:space="0" w:color="auto"/>
            </w:tcBorders>
            <w:shd w:val="clear" w:color="auto" w:fill="auto"/>
            <w:noWrap/>
            <w:vAlign w:val="bottom"/>
            <w:hideMark/>
          </w:tcPr>
          <w:p w14:paraId="6720B284" w14:textId="77777777" w:rsidR="001F2F84" w:rsidRPr="00C15A2E" w:rsidRDefault="001F2F84" w:rsidP="001F2F84">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6C6D70F4"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0.47</w:t>
            </w:r>
          </w:p>
        </w:tc>
        <w:tc>
          <w:tcPr>
            <w:tcW w:w="993" w:type="dxa"/>
            <w:tcBorders>
              <w:top w:val="nil"/>
              <w:left w:val="nil"/>
              <w:bottom w:val="single" w:sz="4" w:space="0" w:color="auto"/>
              <w:right w:val="single" w:sz="4" w:space="0" w:color="auto"/>
            </w:tcBorders>
            <w:shd w:val="clear" w:color="auto" w:fill="auto"/>
            <w:noWrap/>
            <w:vAlign w:val="bottom"/>
          </w:tcPr>
          <w:p w14:paraId="3D933C46"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0.49</w:t>
            </w:r>
          </w:p>
        </w:tc>
        <w:tc>
          <w:tcPr>
            <w:tcW w:w="1134" w:type="dxa"/>
            <w:tcBorders>
              <w:top w:val="nil"/>
              <w:left w:val="nil"/>
              <w:bottom w:val="single" w:sz="4" w:space="0" w:color="auto"/>
              <w:right w:val="single" w:sz="4" w:space="0" w:color="auto"/>
            </w:tcBorders>
            <w:shd w:val="clear" w:color="auto" w:fill="auto"/>
            <w:noWrap/>
            <w:vAlign w:val="bottom"/>
          </w:tcPr>
          <w:p w14:paraId="547C182E"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37B872E1"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0.50</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A1BF73B"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5DE875F0" w14:textId="77777777" w:rsidR="001F2F84" w:rsidRPr="00BE71AF" w:rsidRDefault="001F2F84" w:rsidP="001F2F84">
            <w:pPr>
              <w:jc w:val="right"/>
              <w:rPr>
                <w:rFonts w:ascii="Arial Narrow" w:hAnsi="Arial Narrow"/>
                <w:color w:val="000000"/>
                <w:sz w:val="20"/>
              </w:rPr>
            </w:pPr>
            <w:r w:rsidRPr="00BE71AF">
              <w:rPr>
                <w:rFonts w:ascii="Arial Narrow" w:hAnsi="Arial Narrow"/>
                <w:color w:val="000000"/>
                <w:sz w:val="20"/>
              </w:rPr>
              <w:t>0.59</w:t>
            </w:r>
          </w:p>
        </w:tc>
      </w:tr>
      <w:tr w:rsidR="001F2F84" w:rsidRPr="000114F1" w14:paraId="43AC6544" w14:textId="77777777" w:rsidTr="001F2F84">
        <w:trPr>
          <w:trHeight w:val="185"/>
        </w:trPr>
        <w:tc>
          <w:tcPr>
            <w:tcW w:w="875" w:type="dxa"/>
            <w:vMerge/>
            <w:tcBorders>
              <w:left w:val="single" w:sz="4" w:space="0" w:color="auto"/>
              <w:right w:val="single" w:sz="4" w:space="0" w:color="auto"/>
            </w:tcBorders>
            <w:vAlign w:val="center"/>
            <w:hideMark/>
          </w:tcPr>
          <w:p w14:paraId="60F699BB" w14:textId="77777777" w:rsidR="001F2F84" w:rsidRPr="00C15A2E" w:rsidRDefault="001F2F84" w:rsidP="001F2F84">
            <w:pPr>
              <w:rPr>
                <w:rFonts w:ascii="Arial Narrow" w:hAnsi="Arial Narrow"/>
                <w:bCs/>
                <w:color w:val="0070C0"/>
                <w:sz w:val="20"/>
              </w:rPr>
            </w:pPr>
          </w:p>
        </w:tc>
        <w:tc>
          <w:tcPr>
            <w:tcW w:w="1692" w:type="dxa"/>
            <w:vMerge/>
            <w:tcBorders>
              <w:top w:val="nil"/>
              <w:left w:val="single" w:sz="4" w:space="0" w:color="auto"/>
              <w:bottom w:val="single" w:sz="4" w:space="0" w:color="auto"/>
              <w:right w:val="single" w:sz="4" w:space="0" w:color="auto"/>
            </w:tcBorders>
            <w:vAlign w:val="center"/>
            <w:hideMark/>
          </w:tcPr>
          <w:p w14:paraId="6F74731F" w14:textId="77777777" w:rsidR="001F2F84" w:rsidRPr="00C15A2E" w:rsidRDefault="001F2F84" w:rsidP="001F2F84">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hideMark/>
          </w:tcPr>
          <w:p w14:paraId="61716472" w14:textId="77777777" w:rsidR="001F2F84" w:rsidRPr="00C15A2E" w:rsidRDefault="001F2F84" w:rsidP="001F2F84">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562750BD"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0.56</w:t>
            </w:r>
          </w:p>
        </w:tc>
        <w:tc>
          <w:tcPr>
            <w:tcW w:w="993" w:type="dxa"/>
            <w:tcBorders>
              <w:top w:val="nil"/>
              <w:left w:val="nil"/>
              <w:bottom w:val="single" w:sz="4" w:space="0" w:color="auto"/>
              <w:right w:val="single" w:sz="4" w:space="0" w:color="auto"/>
            </w:tcBorders>
            <w:shd w:val="clear" w:color="auto" w:fill="auto"/>
            <w:noWrap/>
            <w:vAlign w:val="bottom"/>
          </w:tcPr>
          <w:p w14:paraId="3D514F02"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0.50</w:t>
            </w:r>
          </w:p>
        </w:tc>
        <w:tc>
          <w:tcPr>
            <w:tcW w:w="1134" w:type="dxa"/>
            <w:tcBorders>
              <w:top w:val="nil"/>
              <w:left w:val="nil"/>
              <w:bottom w:val="single" w:sz="4" w:space="0" w:color="auto"/>
              <w:right w:val="single" w:sz="4" w:space="0" w:color="auto"/>
            </w:tcBorders>
            <w:shd w:val="clear" w:color="auto" w:fill="auto"/>
            <w:noWrap/>
            <w:vAlign w:val="bottom"/>
          </w:tcPr>
          <w:p w14:paraId="7350CC3A"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7DB7B85D"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0.25</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C28CC30"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142DFF6B" w14:textId="77777777" w:rsidR="001F2F84" w:rsidRPr="00BE71AF" w:rsidRDefault="001F2F84" w:rsidP="001F2F84">
            <w:pPr>
              <w:jc w:val="right"/>
              <w:rPr>
                <w:rFonts w:ascii="Arial Narrow" w:hAnsi="Arial Narrow"/>
                <w:color w:val="000000"/>
                <w:sz w:val="20"/>
              </w:rPr>
            </w:pPr>
            <w:r w:rsidRPr="00BE71AF">
              <w:rPr>
                <w:rFonts w:ascii="Arial Narrow" w:hAnsi="Arial Narrow"/>
                <w:color w:val="000000"/>
                <w:sz w:val="20"/>
              </w:rPr>
              <w:t>0.46</w:t>
            </w:r>
          </w:p>
        </w:tc>
      </w:tr>
      <w:tr w:rsidR="001F2F84" w:rsidRPr="000114F1" w14:paraId="118858D4" w14:textId="77777777" w:rsidTr="00AE0BFC">
        <w:trPr>
          <w:trHeight w:val="185"/>
        </w:trPr>
        <w:tc>
          <w:tcPr>
            <w:tcW w:w="875" w:type="dxa"/>
            <w:vMerge/>
            <w:tcBorders>
              <w:left w:val="single" w:sz="4" w:space="0" w:color="auto"/>
              <w:right w:val="single" w:sz="4" w:space="0" w:color="auto"/>
            </w:tcBorders>
            <w:vAlign w:val="center"/>
            <w:hideMark/>
          </w:tcPr>
          <w:p w14:paraId="47B5C0C9" w14:textId="77777777" w:rsidR="001F2F84" w:rsidRPr="00C15A2E" w:rsidRDefault="001F2F84" w:rsidP="001F2F84">
            <w:pPr>
              <w:rPr>
                <w:rFonts w:ascii="Arial Narrow" w:hAnsi="Arial Narrow"/>
                <w:bCs/>
                <w:color w:val="0070C0"/>
                <w:sz w:val="20"/>
              </w:rPr>
            </w:pPr>
          </w:p>
        </w:tc>
        <w:tc>
          <w:tcPr>
            <w:tcW w:w="16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B1CC1E" w14:textId="77777777" w:rsidR="001F2F84" w:rsidRPr="00C15A2E" w:rsidRDefault="001F2F84" w:rsidP="001F2F84">
            <w:pPr>
              <w:rPr>
                <w:rFonts w:ascii="Arial Narrow" w:hAnsi="Arial Narrow"/>
                <w:bCs/>
                <w:sz w:val="20"/>
              </w:rPr>
            </w:pPr>
            <w:r w:rsidRPr="00C15A2E">
              <w:rPr>
                <w:rFonts w:ascii="Arial Narrow" w:hAnsi="Arial Narrow"/>
                <w:bCs/>
                <w:sz w:val="20"/>
              </w:rPr>
              <w:t>Havannah</w:t>
            </w:r>
          </w:p>
        </w:tc>
        <w:tc>
          <w:tcPr>
            <w:tcW w:w="425" w:type="dxa"/>
            <w:tcBorders>
              <w:top w:val="nil"/>
              <w:left w:val="nil"/>
              <w:bottom w:val="single" w:sz="4" w:space="0" w:color="auto"/>
              <w:right w:val="single" w:sz="4" w:space="0" w:color="auto"/>
            </w:tcBorders>
            <w:shd w:val="clear" w:color="auto" w:fill="auto"/>
            <w:noWrap/>
            <w:vAlign w:val="bottom"/>
            <w:hideMark/>
          </w:tcPr>
          <w:p w14:paraId="19F0605C" w14:textId="77777777" w:rsidR="001F2F84" w:rsidRPr="00C15A2E" w:rsidRDefault="001F2F84" w:rsidP="001F2F84">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35AD6B82"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0.76</w:t>
            </w:r>
          </w:p>
        </w:tc>
        <w:tc>
          <w:tcPr>
            <w:tcW w:w="993" w:type="dxa"/>
            <w:tcBorders>
              <w:top w:val="nil"/>
              <w:left w:val="nil"/>
              <w:bottom w:val="single" w:sz="4" w:space="0" w:color="auto"/>
              <w:right w:val="single" w:sz="4" w:space="0" w:color="auto"/>
            </w:tcBorders>
            <w:shd w:val="clear" w:color="auto" w:fill="auto"/>
            <w:noWrap/>
            <w:vAlign w:val="bottom"/>
          </w:tcPr>
          <w:p w14:paraId="59023C02"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0.28</w:t>
            </w:r>
          </w:p>
        </w:tc>
        <w:tc>
          <w:tcPr>
            <w:tcW w:w="1134" w:type="dxa"/>
            <w:tcBorders>
              <w:top w:val="nil"/>
              <w:left w:val="nil"/>
              <w:bottom w:val="single" w:sz="4" w:space="0" w:color="auto"/>
              <w:right w:val="single" w:sz="4" w:space="0" w:color="auto"/>
            </w:tcBorders>
            <w:shd w:val="clear" w:color="auto" w:fill="auto"/>
            <w:noWrap/>
            <w:vAlign w:val="bottom"/>
          </w:tcPr>
          <w:p w14:paraId="45C4F424"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2FD6D3A2"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1.00</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F81BD6C"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1.00</w:t>
            </w:r>
          </w:p>
        </w:tc>
        <w:tc>
          <w:tcPr>
            <w:tcW w:w="993" w:type="dxa"/>
            <w:tcBorders>
              <w:top w:val="single" w:sz="4" w:space="0" w:color="auto"/>
              <w:left w:val="single" w:sz="4" w:space="0" w:color="auto"/>
              <w:bottom w:val="single" w:sz="4" w:space="0" w:color="auto"/>
              <w:right w:val="single" w:sz="4" w:space="0" w:color="auto"/>
            </w:tcBorders>
            <w:shd w:val="clear" w:color="auto" w:fill="00B050"/>
            <w:vAlign w:val="bottom"/>
          </w:tcPr>
          <w:p w14:paraId="0F4CD4B2" w14:textId="77777777" w:rsidR="001F2F84" w:rsidRPr="00BE71AF" w:rsidRDefault="001F2F84" w:rsidP="001F2F84">
            <w:pPr>
              <w:jc w:val="right"/>
              <w:rPr>
                <w:rFonts w:ascii="Arial Narrow" w:hAnsi="Arial Narrow"/>
                <w:color w:val="000000"/>
                <w:sz w:val="20"/>
              </w:rPr>
            </w:pPr>
            <w:r w:rsidRPr="00BE71AF">
              <w:rPr>
                <w:rFonts w:ascii="Arial Narrow" w:hAnsi="Arial Narrow"/>
                <w:color w:val="000000"/>
                <w:sz w:val="20"/>
              </w:rPr>
              <w:t>0.81</w:t>
            </w:r>
          </w:p>
        </w:tc>
      </w:tr>
      <w:tr w:rsidR="001F2F84" w:rsidRPr="000114F1" w14:paraId="16B909AD" w14:textId="77777777" w:rsidTr="001F2F84">
        <w:trPr>
          <w:trHeight w:val="185"/>
        </w:trPr>
        <w:tc>
          <w:tcPr>
            <w:tcW w:w="875" w:type="dxa"/>
            <w:vMerge/>
            <w:tcBorders>
              <w:left w:val="single" w:sz="4" w:space="0" w:color="auto"/>
              <w:right w:val="single" w:sz="4" w:space="0" w:color="auto"/>
            </w:tcBorders>
            <w:vAlign w:val="center"/>
          </w:tcPr>
          <w:p w14:paraId="36C47E47" w14:textId="77777777" w:rsidR="001F2F84" w:rsidRPr="00C15A2E" w:rsidRDefault="001F2F84" w:rsidP="001F2F84">
            <w:pPr>
              <w:rPr>
                <w:rFonts w:ascii="Arial Narrow" w:hAnsi="Arial Narrow"/>
                <w:bCs/>
                <w:color w:val="0070C0"/>
                <w:sz w:val="20"/>
              </w:rPr>
            </w:pPr>
          </w:p>
        </w:tc>
        <w:tc>
          <w:tcPr>
            <w:tcW w:w="1692" w:type="dxa"/>
            <w:vMerge/>
            <w:tcBorders>
              <w:top w:val="nil"/>
              <w:left w:val="single" w:sz="4" w:space="0" w:color="auto"/>
              <w:bottom w:val="single" w:sz="4" w:space="0" w:color="auto"/>
              <w:right w:val="single" w:sz="4" w:space="0" w:color="auto"/>
            </w:tcBorders>
            <w:shd w:val="clear" w:color="auto" w:fill="auto"/>
            <w:noWrap/>
            <w:vAlign w:val="center"/>
          </w:tcPr>
          <w:p w14:paraId="2B2D4BA7" w14:textId="77777777" w:rsidR="001F2F84" w:rsidRPr="00C15A2E" w:rsidRDefault="001F2F84" w:rsidP="001F2F84">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tcPr>
          <w:p w14:paraId="03BC01B1" w14:textId="77777777" w:rsidR="001F2F84" w:rsidRPr="00C15A2E" w:rsidRDefault="001F2F84" w:rsidP="001F2F84">
            <w:pPr>
              <w:jc w:val="center"/>
              <w:rPr>
                <w:rFonts w:ascii="Arial Narrow" w:hAnsi="Arial Narrow"/>
                <w:bCs/>
                <w:sz w:val="20"/>
              </w:rPr>
            </w:pPr>
            <w:r>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5E99835E"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0.38</w:t>
            </w:r>
          </w:p>
        </w:tc>
        <w:tc>
          <w:tcPr>
            <w:tcW w:w="993" w:type="dxa"/>
            <w:tcBorders>
              <w:top w:val="nil"/>
              <w:left w:val="nil"/>
              <w:bottom w:val="single" w:sz="4" w:space="0" w:color="auto"/>
              <w:right w:val="single" w:sz="4" w:space="0" w:color="auto"/>
            </w:tcBorders>
            <w:shd w:val="clear" w:color="auto" w:fill="auto"/>
            <w:noWrap/>
            <w:vAlign w:val="bottom"/>
          </w:tcPr>
          <w:p w14:paraId="4251A376"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0.51</w:t>
            </w:r>
          </w:p>
        </w:tc>
        <w:tc>
          <w:tcPr>
            <w:tcW w:w="1134" w:type="dxa"/>
            <w:tcBorders>
              <w:top w:val="nil"/>
              <w:left w:val="nil"/>
              <w:bottom w:val="single" w:sz="4" w:space="0" w:color="auto"/>
              <w:right w:val="single" w:sz="4" w:space="0" w:color="auto"/>
            </w:tcBorders>
            <w:shd w:val="clear" w:color="auto" w:fill="auto"/>
            <w:noWrap/>
            <w:vAlign w:val="bottom"/>
          </w:tcPr>
          <w:p w14:paraId="50F8B870"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70C880F8"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0.84</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7089397"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1.00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7F12FE77" w14:textId="77777777" w:rsidR="001F2F84" w:rsidRPr="00BE71AF" w:rsidRDefault="001F2F84" w:rsidP="001F2F84">
            <w:pPr>
              <w:jc w:val="right"/>
              <w:rPr>
                <w:rFonts w:ascii="Arial Narrow" w:hAnsi="Arial Narrow"/>
                <w:color w:val="000000"/>
                <w:sz w:val="20"/>
              </w:rPr>
            </w:pPr>
            <w:r w:rsidRPr="00BE71AF">
              <w:rPr>
                <w:rFonts w:ascii="Arial Narrow" w:hAnsi="Arial Narrow"/>
                <w:color w:val="000000"/>
                <w:sz w:val="20"/>
              </w:rPr>
              <w:t>0.55</w:t>
            </w:r>
          </w:p>
        </w:tc>
      </w:tr>
      <w:tr w:rsidR="004F4CA3" w:rsidRPr="000114F1" w14:paraId="03B01ADD" w14:textId="77777777" w:rsidTr="00AE0BFC">
        <w:trPr>
          <w:trHeight w:val="185"/>
        </w:trPr>
        <w:tc>
          <w:tcPr>
            <w:tcW w:w="875" w:type="dxa"/>
            <w:vMerge/>
            <w:tcBorders>
              <w:left w:val="single" w:sz="4" w:space="0" w:color="auto"/>
              <w:right w:val="single" w:sz="4" w:space="0" w:color="auto"/>
            </w:tcBorders>
            <w:vAlign w:val="center"/>
          </w:tcPr>
          <w:p w14:paraId="53B501CC" w14:textId="77777777" w:rsidR="004F4CA3" w:rsidRPr="00C15A2E" w:rsidRDefault="004F4CA3" w:rsidP="004F4CA3">
            <w:pPr>
              <w:rPr>
                <w:rFonts w:ascii="Arial Narrow" w:hAnsi="Arial Narrow"/>
                <w:bCs/>
                <w:color w:val="0070C0"/>
                <w:sz w:val="20"/>
              </w:rPr>
            </w:pPr>
          </w:p>
        </w:tc>
        <w:tc>
          <w:tcPr>
            <w:tcW w:w="16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12C1AE" w14:textId="77777777" w:rsidR="004F4CA3" w:rsidRPr="00C15A2E" w:rsidRDefault="004F4CA3" w:rsidP="004F4CA3">
            <w:pPr>
              <w:rPr>
                <w:rFonts w:ascii="Arial Narrow" w:hAnsi="Arial Narrow"/>
                <w:bCs/>
                <w:sz w:val="20"/>
              </w:rPr>
            </w:pPr>
            <w:r>
              <w:rPr>
                <w:rFonts w:ascii="Arial Narrow" w:hAnsi="Arial Narrow"/>
                <w:bCs/>
                <w:sz w:val="20"/>
              </w:rPr>
              <w:t>Pandora North</w:t>
            </w:r>
          </w:p>
        </w:tc>
        <w:tc>
          <w:tcPr>
            <w:tcW w:w="425" w:type="dxa"/>
            <w:tcBorders>
              <w:top w:val="nil"/>
              <w:left w:val="nil"/>
              <w:bottom w:val="single" w:sz="4" w:space="0" w:color="auto"/>
              <w:right w:val="single" w:sz="4" w:space="0" w:color="auto"/>
            </w:tcBorders>
            <w:shd w:val="clear" w:color="auto" w:fill="auto"/>
            <w:noWrap/>
            <w:vAlign w:val="bottom"/>
          </w:tcPr>
          <w:p w14:paraId="049D107F" w14:textId="77777777" w:rsidR="004F4CA3" w:rsidRPr="00C15A2E" w:rsidRDefault="004F4CA3" w:rsidP="004F4CA3">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188E9B46"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0.64</w:t>
            </w:r>
          </w:p>
        </w:tc>
        <w:tc>
          <w:tcPr>
            <w:tcW w:w="993" w:type="dxa"/>
            <w:tcBorders>
              <w:top w:val="nil"/>
              <w:left w:val="nil"/>
              <w:bottom w:val="single" w:sz="4" w:space="0" w:color="auto"/>
              <w:right w:val="single" w:sz="4" w:space="0" w:color="auto"/>
            </w:tcBorders>
            <w:shd w:val="clear" w:color="auto" w:fill="auto"/>
            <w:noWrap/>
            <w:vAlign w:val="bottom"/>
          </w:tcPr>
          <w:p w14:paraId="31E79CAE"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0.41</w:t>
            </w:r>
          </w:p>
        </w:tc>
        <w:tc>
          <w:tcPr>
            <w:tcW w:w="1134" w:type="dxa"/>
            <w:tcBorders>
              <w:top w:val="nil"/>
              <w:left w:val="nil"/>
              <w:bottom w:val="single" w:sz="4" w:space="0" w:color="auto"/>
              <w:right w:val="single" w:sz="4" w:space="0" w:color="auto"/>
            </w:tcBorders>
            <w:shd w:val="clear" w:color="auto" w:fill="auto"/>
            <w:noWrap/>
            <w:vAlign w:val="bottom"/>
          </w:tcPr>
          <w:p w14:paraId="1D72874B"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4DBD180B"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0.07</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A5048FE"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tcPr>
          <w:p w14:paraId="250D20CD" w14:textId="77777777" w:rsidR="004F4CA3" w:rsidRPr="00BE71AF" w:rsidRDefault="004F4CA3" w:rsidP="004F4CA3">
            <w:pPr>
              <w:jc w:val="right"/>
              <w:rPr>
                <w:rFonts w:ascii="Arial Narrow" w:hAnsi="Arial Narrow"/>
                <w:color w:val="000000"/>
                <w:sz w:val="20"/>
              </w:rPr>
            </w:pPr>
            <w:r w:rsidRPr="00BE71AF">
              <w:rPr>
                <w:rFonts w:ascii="Arial Narrow" w:hAnsi="Arial Narrow"/>
                <w:color w:val="000000"/>
                <w:sz w:val="20"/>
              </w:rPr>
              <w:t>0.32</w:t>
            </w:r>
          </w:p>
        </w:tc>
      </w:tr>
      <w:tr w:rsidR="001F2F84" w:rsidRPr="000114F1" w14:paraId="41620ABA" w14:textId="77777777" w:rsidTr="001F2F84">
        <w:trPr>
          <w:trHeight w:val="185"/>
        </w:trPr>
        <w:tc>
          <w:tcPr>
            <w:tcW w:w="875" w:type="dxa"/>
            <w:vMerge/>
            <w:tcBorders>
              <w:left w:val="single" w:sz="4" w:space="0" w:color="auto"/>
              <w:right w:val="single" w:sz="4" w:space="0" w:color="auto"/>
            </w:tcBorders>
            <w:vAlign w:val="center"/>
            <w:hideMark/>
          </w:tcPr>
          <w:p w14:paraId="16034137" w14:textId="77777777" w:rsidR="001F2F84" w:rsidRPr="00C15A2E" w:rsidRDefault="001F2F84" w:rsidP="001F2F84">
            <w:pPr>
              <w:rPr>
                <w:rFonts w:ascii="Arial Narrow" w:hAnsi="Arial Narrow"/>
                <w:bCs/>
                <w:color w:val="0070C0"/>
                <w:sz w:val="20"/>
              </w:rPr>
            </w:pPr>
          </w:p>
        </w:tc>
        <w:tc>
          <w:tcPr>
            <w:tcW w:w="16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E9A5E9" w14:textId="77777777" w:rsidR="001F2F84" w:rsidRPr="00C15A2E" w:rsidRDefault="001F2F84" w:rsidP="001F2F84">
            <w:pPr>
              <w:rPr>
                <w:rFonts w:ascii="Arial Narrow" w:hAnsi="Arial Narrow"/>
                <w:bCs/>
                <w:sz w:val="20"/>
              </w:rPr>
            </w:pPr>
            <w:r w:rsidRPr="00C15A2E">
              <w:rPr>
                <w:rFonts w:ascii="Arial Narrow" w:hAnsi="Arial Narrow"/>
                <w:bCs/>
                <w:sz w:val="20"/>
              </w:rPr>
              <w:t>Pandora</w:t>
            </w:r>
          </w:p>
        </w:tc>
        <w:tc>
          <w:tcPr>
            <w:tcW w:w="425" w:type="dxa"/>
            <w:tcBorders>
              <w:top w:val="nil"/>
              <w:left w:val="nil"/>
              <w:bottom w:val="single" w:sz="4" w:space="0" w:color="auto"/>
              <w:right w:val="single" w:sz="4" w:space="0" w:color="auto"/>
            </w:tcBorders>
            <w:shd w:val="clear" w:color="auto" w:fill="auto"/>
            <w:noWrap/>
            <w:vAlign w:val="bottom"/>
            <w:hideMark/>
          </w:tcPr>
          <w:p w14:paraId="3F8EA7B2" w14:textId="77777777" w:rsidR="001F2F84" w:rsidRPr="00C15A2E" w:rsidRDefault="001F2F84" w:rsidP="001F2F84">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5EC43F83"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0.05</w:t>
            </w:r>
          </w:p>
        </w:tc>
        <w:tc>
          <w:tcPr>
            <w:tcW w:w="993" w:type="dxa"/>
            <w:tcBorders>
              <w:top w:val="nil"/>
              <w:left w:val="nil"/>
              <w:bottom w:val="single" w:sz="4" w:space="0" w:color="auto"/>
              <w:right w:val="single" w:sz="4" w:space="0" w:color="auto"/>
            </w:tcBorders>
            <w:shd w:val="clear" w:color="auto" w:fill="auto"/>
            <w:noWrap/>
            <w:vAlign w:val="bottom"/>
          </w:tcPr>
          <w:p w14:paraId="29C57B5A"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0.23</w:t>
            </w:r>
          </w:p>
        </w:tc>
        <w:tc>
          <w:tcPr>
            <w:tcW w:w="1134" w:type="dxa"/>
            <w:tcBorders>
              <w:top w:val="nil"/>
              <w:left w:val="nil"/>
              <w:bottom w:val="single" w:sz="4" w:space="0" w:color="auto"/>
              <w:right w:val="single" w:sz="4" w:space="0" w:color="auto"/>
            </w:tcBorders>
            <w:shd w:val="clear" w:color="auto" w:fill="auto"/>
            <w:noWrap/>
            <w:vAlign w:val="bottom"/>
          </w:tcPr>
          <w:p w14:paraId="181A01B7"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38C0910A"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0.14</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E88F204"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0000"/>
            <w:vAlign w:val="bottom"/>
          </w:tcPr>
          <w:p w14:paraId="76B964EF" w14:textId="77777777" w:rsidR="001F2F84" w:rsidRPr="00BE71AF" w:rsidRDefault="001F2F84" w:rsidP="001F2F84">
            <w:pPr>
              <w:jc w:val="right"/>
              <w:rPr>
                <w:rFonts w:ascii="Arial Narrow" w:hAnsi="Arial Narrow"/>
                <w:color w:val="000000"/>
                <w:sz w:val="20"/>
              </w:rPr>
            </w:pPr>
            <w:r w:rsidRPr="00BE71AF">
              <w:rPr>
                <w:rFonts w:ascii="Arial Narrow" w:hAnsi="Arial Narrow"/>
                <w:color w:val="000000"/>
                <w:sz w:val="20"/>
              </w:rPr>
              <w:t>0.18</w:t>
            </w:r>
          </w:p>
        </w:tc>
      </w:tr>
      <w:tr w:rsidR="001F2F84" w:rsidRPr="000114F1" w14:paraId="14CB168E" w14:textId="77777777" w:rsidTr="001F2F84">
        <w:trPr>
          <w:trHeight w:val="185"/>
        </w:trPr>
        <w:tc>
          <w:tcPr>
            <w:tcW w:w="875" w:type="dxa"/>
            <w:vMerge/>
            <w:tcBorders>
              <w:left w:val="single" w:sz="4" w:space="0" w:color="auto"/>
              <w:right w:val="single" w:sz="4" w:space="0" w:color="auto"/>
            </w:tcBorders>
            <w:vAlign w:val="center"/>
          </w:tcPr>
          <w:p w14:paraId="69425C9B" w14:textId="77777777" w:rsidR="001F2F84" w:rsidRPr="00C15A2E" w:rsidRDefault="001F2F84" w:rsidP="001F2F84">
            <w:pPr>
              <w:rPr>
                <w:rFonts w:ascii="Arial Narrow" w:hAnsi="Arial Narrow"/>
                <w:bCs/>
                <w:color w:val="0070C0"/>
                <w:sz w:val="20"/>
              </w:rPr>
            </w:pPr>
          </w:p>
        </w:tc>
        <w:tc>
          <w:tcPr>
            <w:tcW w:w="1692" w:type="dxa"/>
            <w:vMerge/>
            <w:tcBorders>
              <w:top w:val="nil"/>
              <w:left w:val="single" w:sz="4" w:space="0" w:color="auto"/>
              <w:bottom w:val="single" w:sz="4" w:space="0" w:color="auto"/>
              <w:right w:val="single" w:sz="4" w:space="0" w:color="auto"/>
            </w:tcBorders>
            <w:shd w:val="clear" w:color="auto" w:fill="auto"/>
            <w:noWrap/>
            <w:vAlign w:val="center"/>
          </w:tcPr>
          <w:p w14:paraId="31E79AC0" w14:textId="77777777" w:rsidR="001F2F84" w:rsidRPr="00C15A2E" w:rsidRDefault="001F2F84" w:rsidP="001F2F84">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tcPr>
          <w:p w14:paraId="1D287591" w14:textId="77777777" w:rsidR="001F2F84" w:rsidRPr="00C15A2E" w:rsidRDefault="001F2F84" w:rsidP="001F2F84">
            <w:pPr>
              <w:jc w:val="center"/>
              <w:rPr>
                <w:rFonts w:ascii="Arial Narrow" w:hAnsi="Arial Narrow"/>
                <w:bCs/>
                <w:sz w:val="20"/>
              </w:rPr>
            </w:pPr>
            <w:r>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34330FE5"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0.09</w:t>
            </w:r>
          </w:p>
        </w:tc>
        <w:tc>
          <w:tcPr>
            <w:tcW w:w="993" w:type="dxa"/>
            <w:tcBorders>
              <w:top w:val="nil"/>
              <w:left w:val="nil"/>
              <w:bottom w:val="single" w:sz="4" w:space="0" w:color="auto"/>
              <w:right w:val="single" w:sz="4" w:space="0" w:color="auto"/>
            </w:tcBorders>
            <w:shd w:val="clear" w:color="auto" w:fill="auto"/>
            <w:noWrap/>
            <w:vAlign w:val="bottom"/>
          </w:tcPr>
          <w:p w14:paraId="25F5A454"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0.58</w:t>
            </w:r>
          </w:p>
        </w:tc>
        <w:tc>
          <w:tcPr>
            <w:tcW w:w="1134" w:type="dxa"/>
            <w:tcBorders>
              <w:top w:val="nil"/>
              <w:left w:val="nil"/>
              <w:bottom w:val="single" w:sz="4" w:space="0" w:color="auto"/>
              <w:right w:val="single" w:sz="4" w:space="0" w:color="auto"/>
            </w:tcBorders>
            <w:shd w:val="clear" w:color="auto" w:fill="auto"/>
            <w:noWrap/>
            <w:vAlign w:val="bottom"/>
          </w:tcPr>
          <w:p w14:paraId="5BADDFB7"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386C47F9"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0.35</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D11E2CA"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bottom"/>
          </w:tcPr>
          <w:p w14:paraId="2236363A" w14:textId="77777777" w:rsidR="001F2F84" w:rsidRPr="00BE71AF" w:rsidRDefault="001F2F84" w:rsidP="001F2F84">
            <w:pPr>
              <w:jc w:val="right"/>
              <w:rPr>
                <w:rFonts w:ascii="Arial Narrow" w:hAnsi="Arial Narrow"/>
                <w:color w:val="000000"/>
                <w:sz w:val="20"/>
              </w:rPr>
            </w:pPr>
            <w:r w:rsidRPr="00BE71AF">
              <w:rPr>
                <w:rFonts w:ascii="Arial Narrow" w:hAnsi="Arial Narrow"/>
                <w:color w:val="000000"/>
                <w:sz w:val="20"/>
              </w:rPr>
              <w:t>0.30</w:t>
            </w:r>
          </w:p>
        </w:tc>
      </w:tr>
      <w:tr w:rsidR="004F4CA3" w:rsidRPr="000114F1" w14:paraId="2865351E" w14:textId="77777777" w:rsidTr="00AE0BFC">
        <w:trPr>
          <w:trHeight w:val="185"/>
        </w:trPr>
        <w:tc>
          <w:tcPr>
            <w:tcW w:w="875" w:type="dxa"/>
            <w:vMerge/>
            <w:tcBorders>
              <w:left w:val="single" w:sz="4" w:space="0" w:color="auto"/>
              <w:right w:val="single" w:sz="4" w:space="0" w:color="auto"/>
            </w:tcBorders>
            <w:vAlign w:val="center"/>
            <w:hideMark/>
          </w:tcPr>
          <w:p w14:paraId="4E2D0400" w14:textId="77777777" w:rsidR="004F4CA3" w:rsidRPr="00C15A2E" w:rsidRDefault="004F4CA3" w:rsidP="004F4CA3">
            <w:pPr>
              <w:rPr>
                <w:rFonts w:ascii="Arial Narrow" w:hAnsi="Arial Narrow"/>
                <w:bCs/>
                <w:color w:val="0070C0"/>
                <w:sz w:val="20"/>
              </w:rPr>
            </w:pPr>
          </w:p>
        </w:tc>
        <w:tc>
          <w:tcPr>
            <w:tcW w:w="1692" w:type="dxa"/>
            <w:vMerge w:val="restart"/>
            <w:tcBorders>
              <w:top w:val="single" w:sz="4" w:space="0" w:color="auto"/>
              <w:left w:val="single" w:sz="4" w:space="0" w:color="auto"/>
              <w:right w:val="single" w:sz="4" w:space="0" w:color="auto"/>
            </w:tcBorders>
            <w:vAlign w:val="center"/>
          </w:tcPr>
          <w:p w14:paraId="2FFF599B" w14:textId="77777777" w:rsidR="004F4CA3" w:rsidRPr="00C15A2E" w:rsidRDefault="004F4CA3" w:rsidP="004F4CA3">
            <w:pPr>
              <w:rPr>
                <w:rFonts w:ascii="Arial Narrow" w:hAnsi="Arial Narrow"/>
                <w:bCs/>
                <w:sz w:val="20"/>
              </w:rPr>
            </w:pPr>
            <w:r w:rsidRPr="00C15A2E">
              <w:rPr>
                <w:rFonts w:ascii="Arial Narrow" w:hAnsi="Arial Narrow"/>
                <w:bCs/>
                <w:sz w:val="20"/>
              </w:rPr>
              <w:t>Lady Elliot</w:t>
            </w:r>
          </w:p>
        </w:tc>
        <w:tc>
          <w:tcPr>
            <w:tcW w:w="425" w:type="dxa"/>
            <w:tcBorders>
              <w:top w:val="nil"/>
              <w:left w:val="nil"/>
              <w:bottom w:val="single" w:sz="4" w:space="0" w:color="auto"/>
              <w:right w:val="single" w:sz="4" w:space="0" w:color="auto"/>
            </w:tcBorders>
            <w:shd w:val="clear" w:color="auto" w:fill="auto"/>
            <w:noWrap/>
            <w:vAlign w:val="bottom"/>
          </w:tcPr>
          <w:p w14:paraId="721D4E78" w14:textId="77777777" w:rsidR="004F4CA3" w:rsidRPr="00C15A2E" w:rsidRDefault="004F4CA3" w:rsidP="004F4CA3">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69585684"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0.12</w:t>
            </w:r>
          </w:p>
        </w:tc>
        <w:tc>
          <w:tcPr>
            <w:tcW w:w="993" w:type="dxa"/>
            <w:tcBorders>
              <w:top w:val="nil"/>
              <w:left w:val="nil"/>
              <w:bottom w:val="single" w:sz="4" w:space="0" w:color="auto"/>
              <w:right w:val="single" w:sz="4" w:space="0" w:color="auto"/>
            </w:tcBorders>
            <w:shd w:val="clear" w:color="auto" w:fill="auto"/>
            <w:noWrap/>
            <w:vAlign w:val="bottom"/>
          </w:tcPr>
          <w:p w14:paraId="7CFBE8C8"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671E30E6"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0.21</w:t>
            </w:r>
          </w:p>
        </w:tc>
        <w:tc>
          <w:tcPr>
            <w:tcW w:w="1134" w:type="dxa"/>
            <w:tcBorders>
              <w:top w:val="nil"/>
              <w:left w:val="nil"/>
              <w:bottom w:val="single" w:sz="4" w:space="0" w:color="auto"/>
              <w:right w:val="single" w:sz="4" w:space="0" w:color="auto"/>
            </w:tcBorders>
            <w:shd w:val="clear" w:color="auto" w:fill="auto"/>
            <w:noWrap/>
            <w:vAlign w:val="bottom"/>
          </w:tcPr>
          <w:p w14:paraId="0C46C54B" w14:textId="77777777" w:rsidR="004F4CA3" w:rsidRPr="000114F1" w:rsidRDefault="004F4CA3" w:rsidP="00AE0BFC">
            <w:pPr>
              <w:jc w:val="right"/>
              <w:rPr>
                <w:rFonts w:ascii="Arial Narrow" w:hAnsi="Arial Narrow"/>
                <w:color w:val="000000"/>
                <w:sz w:val="20"/>
              </w:rPr>
            </w:pPr>
            <w:r w:rsidRPr="000114F1">
              <w:rPr>
                <w:rFonts w:ascii="Arial Narrow" w:hAnsi="Arial Narrow"/>
                <w:color w:val="000000"/>
                <w:sz w:val="20"/>
              </w:rPr>
              <w:t>0.</w:t>
            </w:r>
            <w:r w:rsidR="00AE0BFC">
              <w:rPr>
                <w:rFonts w:ascii="Arial Narrow" w:hAnsi="Arial Narrow"/>
                <w:color w:val="000000"/>
                <w:sz w:val="20"/>
              </w:rPr>
              <w:t>57</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20B8AA4"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5FD2787D" w14:textId="77777777" w:rsidR="004F4CA3" w:rsidRPr="00BE71AF" w:rsidRDefault="004F4CA3" w:rsidP="00AE0BFC">
            <w:pPr>
              <w:jc w:val="right"/>
              <w:rPr>
                <w:rFonts w:ascii="Arial Narrow" w:hAnsi="Arial Narrow"/>
                <w:color w:val="000000"/>
                <w:sz w:val="20"/>
              </w:rPr>
            </w:pPr>
            <w:r w:rsidRPr="00BE71AF">
              <w:rPr>
                <w:rFonts w:ascii="Arial Narrow" w:hAnsi="Arial Narrow"/>
                <w:color w:val="000000"/>
                <w:sz w:val="20"/>
              </w:rPr>
              <w:t>0.</w:t>
            </w:r>
            <w:r w:rsidR="00AE0BFC" w:rsidRPr="00BE71AF">
              <w:rPr>
                <w:rFonts w:ascii="Arial Narrow" w:hAnsi="Arial Narrow"/>
                <w:color w:val="000000"/>
                <w:sz w:val="20"/>
              </w:rPr>
              <w:t>4</w:t>
            </w:r>
            <w:r w:rsidR="00AE0BFC">
              <w:rPr>
                <w:rFonts w:ascii="Arial Narrow" w:hAnsi="Arial Narrow"/>
                <w:color w:val="000000"/>
                <w:sz w:val="20"/>
              </w:rPr>
              <w:t>8</w:t>
            </w:r>
          </w:p>
        </w:tc>
      </w:tr>
      <w:tr w:rsidR="004F4CA3" w:rsidRPr="000114F1" w14:paraId="253ADBE3" w14:textId="77777777" w:rsidTr="00B32B2E">
        <w:trPr>
          <w:trHeight w:val="185"/>
        </w:trPr>
        <w:tc>
          <w:tcPr>
            <w:tcW w:w="875" w:type="dxa"/>
            <w:vMerge/>
            <w:tcBorders>
              <w:left w:val="single" w:sz="4" w:space="0" w:color="auto"/>
              <w:right w:val="single" w:sz="4" w:space="0" w:color="auto"/>
            </w:tcBorders>
            <w:vAlign w:val="center"/>
          </w:tcPr>
          <w:p w14:paraId="4DB39458" w14:textId="77777777" w:rsidR="004F4CA3" w:rsidRPr="00C15A2E" w:rsidRDefault="004F4CA3" w:rsidP="004F4CA3">
            <w:pPr>
              <w:rPr>
                <w:rFonts w:ascii="Arial Narrow" w:hAnsi="Arial Narrow"/>
                <w:bCs/>
                <w:color w:val="0070C0"/>
                <w:sz w:val="20"/>
              </w:rPr>
            </w:pPr>
          </w:p>
        </w:tc>
        <w:tc>
          <w:tcPr>
            <w:tcW w:w="1692" w:type="dxa"/>
            <w:vMerge/>
            <w:tcBorders>
              <w:left w:val="single" w:sz="4" w:space="0" w:color="auto"/>
              <w:bottom w:val="single" w:sz="4" w:space="0" w:color="auto"/>
              <w:right w:val="single" w:sz="4" w:space="0" w:color="auto"/>
            </w:tcBorders>
            <w:shd w:val="clear" w:color="auto" w:fill="auto"/>
            <w:noWrap/>
            <w:vAlign w:val="center"/>
          </w:tcPr>
          <w:p w14:paraId="7D4EC2A4" w14:textId="77777777" w:rsidR="004F4CA3" w:rsidRDefault="004F4CA3" w:rsidP="004F4CA3">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tcPr>
          <w:p w14:paraId="518E0324" w14:textId="77777777" w:rsidR="004F4CA3" w:rsidRPr="00C15A2E" w:rsidRDefault="004F4CA3" w:rsidP="004F4CA3">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501B55C4"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0.37</w:t>
            </w:r>
          </w:p>
        </w:tc>
        <w:tc>
          <w:tcPr>
            <w:tcW w:w="993" w:type="dxa"/>
            <w:tcBorders>
              <w:top w:val="nil"/>
              <w:left w:val="nil"/>
              <w:bottom w:val="single" w:sz="4" w:space="0" w:color="auto"/>
              <w:right w:val="single" w:sz="4" w:space="0" w:color="auto"/>
            </w:tcBorders>
            <w:shd w:val="clear" w:color="auto" w:fill="auto"/>
            <w:noWrap/>
            <w:vAlign w:val="bottom"/>
          </w:tcPr>
          <w:p w14:paraId="43B62A4D"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3E81AD9B"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0FEDE0CA" w14:textId="77777777" w:rsidR="004F4CA3" w:rsidRPr="000114F1" w:rsidRDefault="004F4CA3" w:rsidP="00AE0BFC">
            <w:pPr>
              <w:jc w:val="right"/>
              <w:rPr>
                <w:rFonts w:ascii="Arial Narrow" w:hAnsi="Arial Narrow"/>
                <w:color w:val="000000"/>
                <w:sz w:val="20"/>
              </w:rPr>
            </w:pPr>
            <w:r w:rsidRPr="000114F1">
              <w:rPr>
                <w:rFonts w:ascii="Arial Narrow" w:hAnsi="Arial Narrow"/>
                <w:color w:val="000000"/>
                <w:sz w:val="20"/>
              </w:rPr>
              <w:t>0.</w:t>
            </w:r>
            <w:r w:rsidR="00AE0BFC">
              <w:rPr>
                <w:rFonts w:ascii="Arial Narrow" w:hAnsi="Arial Narrow"/>
                <w:color w:val="000000"/>
                <w:sz w:val="20"/>
              </w:rPr>
              <w:t>38</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3D551D1"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19B08DC1" w14:textId="77777777" w:rsidR="004F4CA3" w:rsidRPr="00BE71AF" w:rsidRDefault="004F4CA3" w:rsidP="00AE0BFC">
            <w:pPr>
              <w:jc w:val="right"/>
              <w:rPr>
                <w:rFonts w:ascii="Arial Narrow" w:hAnsi="Arial Narrow"/>
                <w:color w:val="000000"/>
                <w:sz w:val="20"/>
              </w:rPr>
            </w:pPr>
            <w:r w:rsidRPr="00BE71AF">
              <w:rPr>
                <w:rFonts w:ascii="Arial Narrow" w:hAnsi="Arial Narrow"/>
                <w:color w:val="000000"/>
                <w:sz w:val="20"/>
              </w:rPr>
              <w:t>0.</w:t>
            </w:r>
            <w:r w:rsidR="00AE0BFC" w:rsidRPr="00BE71AF">
              <w:rPr>
                <w:rFonts w:ascii="Arial Narrow" w:hAnsi="Arial Narrow"/>
                <w:color w:val="000000"/>
                <w:sz w:val="20"/>
              </w:rPr>
              <w:t>4</w:t>
            </w:r>
            <w:r w:rsidR="00AE0BFC">
              <w:rPr>
                <w:rFonts w:ascii="Arial Narrow" w:hAnsi="Arial Narrow"/>
                <w:color w:val="000000"/>
                <w:sz w:val="20"/>
              </w:rPr>
              <w:t>5</w:t>
            </w:r>
          </w:p>
        </w:tc>
      </w:tr>
      <w:tr w:rsidR="001F2F84" w:rsidRPr="000114F1" w14:paraId="177AFE52" w14:textId="77777777" w:rsidTr="001F2F84">
        <w:trPr>
          <w:trHeight w:val="185"/>
        </w:trPr>
        <w:tc>
          <w:tcPr>
            <w:tcW w:w="875" w:type="dxa"/>
            <w:vMerge/>
            <w:tcBorders>
              <w:left w:val="single" w:sz="4" w:space="0" w:color="auto"/>
              <w:right w:val="single" w:sz="4" w:space="0" w:color="auto"/>
            </w:tcBorders>
            <w:vAlign w:val="center"/>
            <w:hideMark/>
          </w:tcPr>
          <w:p w14:paraId="5E1264D6" w14:textId="77777777" w:rsidR="001F2F84" w:rsidRPr="00C15A2E" w:rsidRDefault="001F2F84" w:rsidP="001F2F84">
            <w:pPr>
              <w:rPr>
                <w:rFonts w:ascii="Arial Narrow" w:hAnsi="Arial Narrow"/>
                <w:bCs/>
                <w:color w:val="0070C0"/>
                <w:sz w:val="20"/>
              </w:rPr>
            </w:pPr>
          </w:p>
        </w:tc>
        <w:tc>
          <w:tcPr>
            <w:tcW w:w="16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B349A0" w14:textId="77777777" w:rsidR="001F2F84" w:rsidRPr="00C15A2E" w:rsidRDefault="001F2F84" w:rsidP="001F2F84">
            <w:pPr>
              <w:rPr>
                <w:rFonts w:ascii="Arial Narrow" w:hAnsi="Arial Narrow"/>
                <w:bCs/>
                <w:sz w:val="20"/>
              </w:rPr>
            </w:pPr>
            <w:r w:rsidRPr="00C15A2E">
              <w:rPr>
                <w:rFonts w:ascii="Arial Narrow" w:hAnsi="Arial Narrow"/>
                <w:bCs/>
                <w:sz w:val="20"/>
              </w:rPr>
              <w:t>Magnetic</w:t>
            </w:r>
          </w:p>
        </w:tc>
        <w:tc>
          <w:tcPr>
            <w:tcW w:w="425" w:type="dxa"/>
            <w:tcBorders>
              <w:top w:val="nil"/>
              <w:left w:val="nil"/>
              <w:bottom w:val="single" w:sz="4" w:space="0" w:color="auto"/>
              <w:right w:val="single" w:sz="4" w:space="0" w:color="auto"/>
            </w:tcBorders>
            <w:shd w:val="clear" w:color="auto" w:fill="auto"/>
            <w:noWrap/>
            <w:vAlign w:val="bottom"/>
            <w:hideMark/>
          </w:tcPr>
          <w:p w14:paraId="331C3779" w14:textId="77777777" w:rsidR="001F2F84" w:rsidRPr="00C15A2E" w:rsidRDefault="001F2F84" w:rsidP="001F2F84">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5C88E736"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0.19</w:t>
            </w:r>
          </w:p>
        </w:tc>
        <w:tc>
          <w:tcPr>
            <w:tcW w:w="993" w:type="dxa"/>
            <w:tcBorders>
              <w:top w:val="nil"/>
              <w:left w:val="nil"/>
              <w:bottom w:val="single" w:sz="4" w:space="0" w:color="auto"/>
              <w:right w:val="single" w:sz="4" w:space="0" w:color="auto"/>
            </w:tcBorders>
            <w:shd w:val="clear" w:color="auto" w:fill="auto"/>
            <w:noWrap/>
            <w:vAlign w:val="bottom"/>
          </w:tcPr>
          <w:p w14:paraId="0B1AF3B0"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0.20</w:t>
            </w:r>
          </w:p>
        </w:tc>
        <w:tc>
          <w:tcPr>
            <w:tcW w:w="1134" w:type="dxa"/>
            <w:tcBorders>
              <w:top w:val="nil"/>
              <w:left w:val="nil"/>
              <w:bottom w:val="single" w:sz="4" w:space="0" w:color="auto"/>
              <w:right w:val="single" w:sz="4" w:space="0" w:color="auto"/>
            </w:tcBorders>
            <w:shd w:val="clear" w:color="auto" w:fill="auto"/>
            <w:noWrap/>
            <w:vAlign w:val="bottom"/>
          </w:tcPr>
          <w:p w14:paraId="24035E16"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303D3FD8" w14:textId="77777777" w:rsidR="001F2F84" w:rsidRPr="000114F1" w:rsidRDefault="001F2F84" w:rsidP="00AE0BFC">
            <w:pPr>
              <w:jc w:val="right"/>
              <w:rPr>
                <w:rFonts w:ascii="Arial Narrow" w:hAnsi="Arial Narrow"/>
                <w:color w:val="000000"/>
                <w:sz w:val="20"/>
              </w:rPr>
            </w:pPr>
            <w:r w:rsidRPr="000114F1">
              <w:rPr>
                <w:rFonts w:ascii="Arial Narrow" w:hAnsi="Arial Narrow"/>
                <w:color w:val="000000"/>
                <w:sz w:val="20"/>
              </w:rPr>
              <w:t>0.</w:t>
            </w:r>
            <w:r w:rsidR="00AE0BFC" w:rsidRPr="000114F1">
              <w:rPr>
                <w:rFonts w:ascii="Arial Narrow" w:hAnsi="Arial Narrow"/>
                <w:color w:val="000000"/>
                <w:sz w:val="20"/>
              </w:rPr>
              <w:t>2</w:t>
            </w:r>
            <w:r w:rsidR="00AE0BFC">
              <w:rPr>
                <w:rFonts w:ascii="Arial Narrow" w:hAnsi="Arial Narrow"/>
                <w:color w:val="000000"/>
                <w:sz w:val="20"/>
              </w:rPr>
              <w:t>1</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8C710BE"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0000"/>
            <w:vAlign w:val="bottom"/>
          </w:tcPr>
          <w:p w14:paraId="47DA299B" w14:textId="77777777" w:rsidR="001F2F84" w:rsidRPr="00BE71AF" w:rsidRDefault="001F2F84" w:rsidP="001F2F84">
            <w:pPr>
              <w:jc w:val="right"/>
              <w:rPr>
                <w:rFonts w:ascii="Arial Narrow" w:hAnsi="Arial Narrow"/>
                <w:color w:val="000000"/>
                <w:sz w:val="20"/>
              </w:rPr>
            </w:pPr>
            <w:r w:rsidRPr="00BE71AF">
              <w:rPr>
                <w:rFonts w:ascii="Arial Narrow" w:hAnsi="Arial Narrow"/>
                <w:color w:val="000000"/>
                <w:sz w:val="20"/>
              </w:rPr>
              <w:t>0.12</w:t>
            </w:r>
          </w:p>
        </w:tc>
      </w:tr>
      <w:tr w:rsidR="001F2F84" w:rsidRPr="000114F1" w14:paraId="61F98AD8" w14:textId="77777777" w:rsidTr="001F2F84">
        <w:trPr>
          <w:trHeight w:val="185"/>
        </w:trPr>
        <w:tc>
          <w:tcPr>
            <w:tcW w:w="875" w:type="dxa"/>
            <w:vMerge/>
            <w:tcBorders>
              <w:left w:val="single" w:sz="4" w:space="0" w:color="auto"/>
              <w:right w:val="single" w:sz="4" w:space="0" w:color="auto"/>
            </w:tcBorders>
            <w:vAlign w:val="center"/>
            <w:hideMark/>
          </w:tcPr>
          <w:p w14:paraId="647B4F8D" w14:textId="77777777" w:rsidR="001F2F84" w:rsidRPr="00C15A2E" w:rsidRDefault="001F2F84" w:rsidP="001F2F84">
            <w:pPr>
              <w:rPr>
                <w:rFonts w:ascii="Arial Narrow" w:hAnsi="Arial Narrow"/>
                <w:bCs/>
                <w:color w:val="0070C0"/>
                <w:sz w:val="20"/>
              </w:rPr>
            </w:pPr>
          </w:p>
        </w:tc>
        <w:tc>
          <w:tcPr>
            <w:tcW w:w="1692" w:type="dxa"/>
            <w:vMerge/>
            <w:tcBorders>
              <w:top w:val="nil"/>
              <w:left w:val="single" w:sz="4" w:space="0" w:color="auto"/>
              <w:bottom w:val="single" w:sz="4" w:space="0" w:color="auto"/>
              <w:right w:val="single" w:sz="4" w:space="0" w:color="auto"/>
            </w:tcBorders>
            <w:vAlign w:val="center"/>
            <w:hideMark/>
          </w:tcPr>
          <w:p w14:paraId="69A7C42A" w14:textId="77777777" w:rsidR="001F2F84" w:rsidRPr="00C15A2E" w:rsidRDefault="001F2F84" w:rsidP="001F2F84">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hideMark/>
          </w:tcPr>
          <w:p w14:paraId="641D6755" w14:textId="77777777" w:rsidR="001F2F84" w:rsidRPr="00C15A2E" w:rsidRDefault="001F2F84" w:rsidP="001F2F84">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57120D2E"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0.35</w:t>
            </w:r>
          </w:p>
        </w:tc>
        <w:tc>
          <w:tcPr>
            <w:tcW w:w="993" w:type="dxa"/>
            <w:tcBorders>
              <w:top w:val="nil"/>
              <w:left w:val="nil"/>
              <w:bottom w:val="single" w:sz="4" w:space="0" w:color="auto"/>
              <w:right w:val="single" w:sz="4" w:space="0" w:color="auto"/>
            </w:tcBorders>
            <w:shd w:val="clear" w:color="auto" w:fill="auto"/>
            <w:noWrap/>
            <w:vAlign w:val="bottom"/>
          </w:tcPr>
          <w:p w14:paraId="6A908DBA"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0.64</w:t>
            </w:r>
          </w:p>
        </w:tc>
        <w:tc>
          <w:tcPr>
            <w:tcW w:w="1134" w:type="dxa"/>
            <w:tcBorders>
              <w:top w:val="nil"/>
              <w:left w:val="nil"/>
              <w:bottom w:val="single" w:sz="4" w:space="0" w:color="auto"/>
              <w:right w:val="single" w:sz="4" w:space="0" w:color="auto"/>
            </w:tcBorders>
            <w:shd w:val="clear" w:color="auto" w:fill="auto"/>
            <w:noWrap/>
            <w:vAlign w:val="bottom"/>
          </w:tcPr>
          <w:p w14:paraId="469A079D"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1E22F338"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0.23</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DD97560" w14:textId="77777777" w:rsidR="001F2F84" w:rsidRPr="000114F1" w:rsidRDefault="001F2F84" w:rsidP="001F2F84">
            <w:pPr>
              <w:jc w:val="right"/>
              <w:rPr>
                <w:rFonts w:ascii="Arial Narrow" w:hAnsi="Arial Narrow"/>
                <w:color w:val="000000"/>
                <w:sz w:val="20"/>
              </w:rPr>
            </w:pPr>
            <w:r w:rsidRPr="000114F1">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bottom"/>
          </w:tcPr>
          <w:p w14:paraId="5A78A908" w14:textId="77777777" w:rsidR="001F2F84" w:rsidRPr="00BE71AF" w:rsidRDefault="001F2F84" w:rsidP="00AE0BFC">
            <w:pPr>
              <w:jc w:val="right"/>
              <w:rPr>
                <w:rFonts w:ascii="Arial Narrow" w:hAnsi="Arial Narrow"/>
                <w:color w:val="000000"/>
                <w:sz w:val="20"/>
              </w:rPr>
            </w:pPr>
            <w:r w:rsidRPr="00BE71AF">
              <w:rPr>
                <w:rFonts w:ascii="Arial Narrow" w:hAnsi="Arial Narrow"/>
                <w:color w:val="000000"/>
                <w:sz w:val="20"/>
              </w:rPr>
              <w:t>0.</w:t>
            </w:r>
            <w:r w:rsidR="00AE0BFC" w:rsidRPr="00BE71AF">
              <w:rPr>
                <w:rFonts w:ascii="Arial Narrow" w:hAnsi="Arial Narrow"/>
                <w:color w:val="000000"/>
                <w:sz w:val="20"/>
              </w:rPr>
              <w:t>2</w:t>
            </w:r>
            <w:r w:rsidR="00AE0BFC">
              <w:rPr>
                <w:rFonts w:ascii="Arial Narrow" w:hAnsi="Arial Narrow"/>
                <w:color w:val="000000"/>
                <w:sz w:val="20"/>
              </w:rPr>
              <w:t>5</w:t>
            </w:r>
          </w:p>
        </w:tc>
      </w:tr>
      <w:tr w:rsidR="004F4CA3" w:rsidRPr="000114F1" w14:paraId="3184B83C" w14:textId="77777777" w:rsidTr="00FA06C2">
        <w:trPr>
          <w:trHeight w:val="185"/>
        </w:trPr>
        <w:tc>
          <w:tcPr>
            <w:tcW w:w="875" w:type="dxa"/>
            <w:tcBorders>
              <w:left w:val="single" w:sz="4" w:space="0" w:color="auto"/>
              <w:right w:val="single" w:sz="4" w:space="0" w:color="auto"/>
            </w:tcBorders>
            <w:vAlign w:val="center"/>
          </w:tcPr>
          <w:p w14:paraId="3D5072BC" w14:textId="77777777" w:rsidR="004F4CA3" w:rsidRPr="00C15A2E" w:rsidRDefault="004F4CA3" w:rsidP="004F4CA3">
            <w:pPr>
              <w:rPr>
                <w:rFonts w:ascii="Arial Narrow" w:hAnsi="Arial Narrow"/>
                <w:bCs/>
                <w:color w:val="0070C0"/>
                <w:sz w:val="20"/>
              </w:rPr>
            </w:pPr>
          </w:p>
        </w:tc>
        <w:tc>
          <w:tcPr>
            <w:tcW w:w="1692" w:type="dxa"/>
            <w:tcBorders>
              <w:top w:val="nil"/>
              <w:left w:val="single" w:sz="4" w:space="0" w:color="auto"/>
              <w:bottom w:val="single" w:sz="4" w:space="0" w:color="auto"/>
              <w:right w:val="single" w:sz="4" w:space="0" w:color="auto"/>
            </w:tcBorders>
            <w:vAlign w:val="center"/>
          </w:tcPr>
          <w:p w14:paraId="524E7036" w14:textId="77777777" w:rsidR="004F4CA3" w:rsidRPr="00C15A2E" w:rsidRDefault="004F4CA3" w:rsidP="004F4CA3">
            <w:pPr>
              <w:rPr>
                <w:rFonts w:ascii="Arial Narrow" w:hAnsi="Arial Narrow"/>
                <w:bCs/>
                <w:sz w:val="20"/>
              </w:rPr>
            </w:pPr>
            <w:r>
              <w:rPr>
                <w:rFonts w:ascii="Arial Narrow" w:hAnsi="Arial Narrow"/>
                <w:bCs/>
                <w:sz w:val="20"/>
              </w:rPr>
              <w:t>Middle LTMP</w:t>
            </w:r>
          </w:p>
        </w:tc>
        <w:tc>
          <w:tcPr>
            <w:tcW w:w="425" w:type="dxa"/>
            <w:tcBorders>
              <w:top w:val="nil"/>
              <w:left w:val="nil"/>
              <w:bottom w:val="single" w:sz="4" w:space="0" w:color="auto"/>
              <w:right w:val="single" w:sz="4" w:space="0" w:color="auto"/>
            </w:tcBorders>
            <w:shd w:val="clear" w:color="auto" w:fill="auto"/>
            <w:noWrap/>
            <w:vAlign w:val="bottom"/>
          </w:tcPr>
          <w:p w14:paraId="2633A042" w14:textId="77777777" w:rsidR="004F4CA3" w:rsidRPr="00C15A2E" w:rsidRDefault="004F4CA3" w:rsidP="004F4CA3">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2597D93F"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0.52</w:t>
            </w:r>
          </w:p>
        </w:tc>
        <w:tc>
          <w:tcPr>
            <w:tcW w:w="993" w:type="dxa"/>
            <w:tcBorders>
              <w:top w:val="nil"/>
              <w:left w:val="nil"/>
              <w:bottom w:val="single" w:sz="4" w:space="0" w:color="auto"/>
              <w:right w:val="single" w:sz="4" w:space="0" w:color="auto"/>
            </w:tcBorders>
            <w:shd w:val="clear" w:color="auto" w:fill="auto"/>
            <w:noWrap/>
            <w:vAlign w:val="bottom"/>
          </w:tcPr>
          <w:p w14:paraId="4D76147C"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0.55</w:t>
            </w:r>
          </w:p>
        </w:tc>
        <w:tc>
          <w:tcPr>
            <w:tcW w:w="1134" w:type="dxa"/>
            <w:tcBorders>
              <w:top w:val="nil"/>
              <w:left w:val="nil"/>
              <w:bottom w:val="single" w:sz="4" w:space="0" w:color="auto"/>
              <w:right w:val="single" w:sz="4" w:space="0" w:color="auto"/>
            </w:tcBorders>
            <w:shd w:val="clear" w:color="auto" w:fill="auto"/>
            <w:noWrap/>
            <w:vAlign w:val="bottom"/>
          </w:tcPr>
          <w:p w14:paraId="45FCC7A4"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0D83BC51" w14:textId="77777777" w:rsidR="004F4CA3" w:rsidRPr="000114F1" w:rsidRDefault="004F4CA3" w:rsidP="004F4CA3">
            <w:pPr>
              <w:jc w:val="right"/>
              <w:rPr>
                <w:rFonts w:ascii="Arial Narrow" w:hAnsi="Arial Narrow"/>
                <w:color w:val="000000"/>
                <w:sz w:val="20"/>
              </w:rPr>
            </w:pP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1DC2BD2" w14:textId="77777777" w:rsidR="004F4CA3" w:rsidRPr="000114F1" w:rsidRDefault="004F4CA3" w:rsidP="004F4CA3">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4689DA33" w14:textId="77777777" w:rsidR="004F4CA3" w:rsidRPr="00BE71AF" w:rsidRDefault="004F4CA3" w:rsidP="004F4CA3">
            <w:pPr>
              <w:jc w:val="right"/>
              <w:rPr>
                <w:rFonts w:ascii="Arial Narrow" w:hAnsi="Arial Narrow"/>
                <w:color w:val="000000"/>
                <w:sz w:val="20"/>
              </w:rPr>
            </w:pPr>
            <w:r w:rsidRPr="00BE71AF">
              <w:rPr>
                <w:rFonts w:ascii="Arial Narrow" w:hAnsi="Arial Narrow"/>
                <w:color w:val="000000"/>
                <w:sz w:val="20"/>
              </w:rPr>
              <w:t>0.52</w:t>
            </w:r>
          </w:p>
        </w:tc>
      </w:tr>
      <w:tr w:rsidR="001F2F84" w:rsidRPr="000114F1" w14:paraId="38154050" w14:textId="77777777" w:rsidTr="00FA06C2">
        <w:trPr>
          <w:trHeight w:val="232"/>
        </w:trPr>
        <w:tc>
          <w:tcPr>
            <w:tcW w:w="2992" w:type="dxa"/>
            <w:gridSpan w:val="3"/>
            <w:tcBorders>
              <w:top w:val="single" w:sz="4" w:space="0" w:color="auto"/>
              <w:left w:val="single" w:sz="4" w:space="0" w:color="auto"/>
              <w:bottom w:val="single" w:sz="4" w:space="0" w:color="auto"/>
              <w:right w:val="single" w:sz="4" w:space="0" w:color="auto"/>
            </w:tcBorders>
            <w:shd w:val="clear" w:color="auto" w:fill="FFFF00"/>
            <w:noWrap/>
            <w:vAlign w:val="center"/>
            <w:hideMark/>
          </w:tcPr>
          <w:p w14:paraId="4B9CAA3E" w14:textId="77777777" w:rsidR="001F2F84" w:rsidRPr="000A752A" w:rsidRDefault="001F2F84" w:rsidP="001F2F84">
            <w:pPr>
              <w:jc w:val="center"/>
              <w:rPr>
                <w:rFonts w:ascii="Arial Narrow" w:hAnsi="Arial Narrow"/>
                <w:b/>
                <w:bCs/>
                <w:color w:val="0070C0"/>
                <w:sz w:val="20"/>
              </w:rPr>
            </w:pPr>
            <w:r w:rsidRPr="000A752A">
              <w:rPr>
                <w:rFonts w:ascii="Arial Narrow" w:hAnsi="Arial Narrow"/>
                <w:b/>
                <w:bCs/>
                <w:sz w:val="20"/>
              </w:rPr>
              <w:t>Report Card Score - Moderate</w:t>
            </w:r>
          </w:p>
        </w:tc>
        <w:tc>
          <w:tcPr>
            <w:tcW w:w="992" w:type="dxa"/>
            <w:tcBorders>
              <w:top w:val="single" w:sz="4" w:space="0" w:color="auto"/>
              <w:left w:val="nil"/>
              <w:bottom w:val="single" w:sz="4" w:space="0" w:color="auto"/>
              <w:right w:val="single" w:sz="4" w:space="0" w:color="auto"/>
            </w:tcBorders>
            <w:shd w:val="clear" w:color="auto" w:fill="FFC000"/>
            <w:noWrap/>
            <w:vAlign w:val="bottom"/>
          </w:tcPr>
          <w:p w14:paraId="543BDB32" w14:textId="77777777" w:rsidR="001F2F84" w:rsidRPr="000114F1" w:rsidRDefault="001F2F84" w:rsidP="00084053">
            <w:pPr>
              <w:jc w:val="right"/>
              <w:rPr>
                <w:rFonts w:ascii="Arial Narrow" w:hAnsi="Arial Narrow"/>
                <w:color w:val="000000"/>
                <w:sz w:val="20"/>
              </w:rPr>
            </w:pPr>
            <w:r w:rsidRPr="000114F1">
              <w:rPr>
                <w:rFonts w:ascii="Arial Narrow" w:hAnsi="Arial Narrow"/>
                <w:color w:val="000000"/>
                <w:sz w:val="20"/>
              </w:rPr>
              <w:t>0.</w:t>
            </w:r>
            <w:r w:rsidR="00084053" w:rsidRPr="000114F1">
              <w:rPr>
                <w:rFonts w:ascii="Arial Narrow" w:hAnsi="Arial Narrow"/>
                <w:color w:val="000000"/>
                <w:sz w:val="20"/>
              </w:rPr>
              <w:t>3</w:t>
            </w:r>
            <w:r w:rsidR="00084053">
              <w:rPr>
                <w:rFonts w:ascii="Arial Narrow" w:hAnsi="Arial Narrow"/>
                <w:color w:val="000000"/>
                <w:sz w:val="20"/>
              </w:rPr>
              <w:t>0</w:t>
            </w:r>
          </w:p>
        </w:tc>
        <w:tc>
          <w:tcPr>
            <w:tcW w:w="993" w:type="dxa"/>
            <w:tcBorders>
              <w:top w:val="single" w:sz="4" w:space="0" w:color="auto"/>
              <w:left w:val="nil"/>
              <w:bottom w:val="single" w:sz="4" w:space="0" w:color="auto"/>
              <w:right w:val="single" w:sz="4" w:space="0" w:color="auto"/>
            </w:tcBorders>
            <w:shd w:val="clear" w:color="auto" w:fill="FFFF00"/>
            <w:noWrap/>
            <w:vAlign w:val="bottom"/>
          </w:tcPr>
          <w:p w14:paraId="175502BB" w14:textId="77777777" w:rsidR="001F2F84" w:rsidRPr="000114F1" w:rsidRDefault="001F2F84" w:rsidP="00084053">
            <w:pPr>
              <w:jc w:val="right"/>
              <w:rPr>
                <w:rFonts w:ascii="Arial Narrow" w:hAnsi="Arial Narrow"/>
                <w:color w:val="000000"/>
                <w:sz w:val="20"/>
              </w:rPr>
            </w:pPr>
            <w:r w:rsidRPr="000114F1">
              <w:rPr>
                <w:rFonts w:ascii="Arial Narrow" w:hAnsi="Arial Narrow"/>
                <w:color w:val="000000"/>
                <w:sz w:val="20"/>
              </w:rPr>
              <w:t>0.</w:t>
            </w:r>
            <w:r w:rsidR="00084053" w:rsidRPr="000114F1">
              <w:rPr>
                <w:rFonts w:ascii="Arial Narrow" w:hAnsi="Arial Narrow"/>
                <w:color w:val="000000"/>
                <w:sz w:val="20"/>
              </w:rPr>
              <w:t>5</w:t>
            </w:r>
            <w:r w:rsidR="00084053">
              <w:rPr>
                <w:rFonts w:ascii="Arial Narrow" w:hAnsi="Arial Narrow"/>
                <w:color w:val="000000"/>
                <w:sz w:val="20"/>
              </w:rPr>
              <w:t>8</w:t>
            </w:r>
          </w:p>
        </w:tc>
        <w:tc>
          <w:tcPr>
            <w:tcW w:w="1134" w:type="dxa"/>
            <w:tcBorders>
              <w:top w:val="single" w:sz="4" w:space="0" w:color="auto"/>
              <w:left w:val="nil"/>
              <w:bottom w:val="single" w:sz="4" w:space="0" w:color="auto"/>
              <w:right w:val="single" w:sz="4" w:space="0" w:color="auto"/>
            </w:tcBorders>
            <w:shd w:val="clear" w:color="auto" w:fill="FFC000"/>
            <w:noWrap/>
            <w:vAlign w:val="bottom"/>
          </w:tcPr>
          <w:p w14:paraId="33567330" w14:textId="77777777" w:rsidR="001F2F84" w:rsidRPr="000114F1" w:rsidRDefault="001F2F84" w:rsidP="00084053">
            <w:pPr>
              <w:jc w:val="right"/>
              <w:rPr>
                <w:rFonts w:ascii="Arial Narrow" w:hAnsi="Arial Narrow"/>
                <w:color w:val="000000"/>
                <w:sz w:val="20"/>
              </w:rPr>
            </w:pPr>
            <w:r w:rsidRPr="000114F1">
              <w:rPr>
                <w:rFonts w:ascii="Arial Narrow" w:hAnsi="Arial Narrow"/>
                <w:color w:val="000000"/>
                <w:sz w:val="20"/>
              </w:rPr>
              <w:t>0.</w:t>
            </w:r>
            <w:r w:rsidR="00084053">
              <w:rPr>
                <w:rFonts w:ascii="Arial Narrow" w:hAnsi="Arial Narrow"/>
                <w:color w:val="000000"/>
                <w:sz w:val="20"/>
              </w:rPr>
              <w:t>32</w:t>
            </w:r>
          </w:p>
        </w:tc>
        <w:tc>
          <w:tcPr>
            <w:tcW w:w="1134" w:type="dxa"/>
            <w:tcBorders>
              <w:top w:val="single" w:sz="4" w:space="0" w:color="auto"/>
              <w:left w:val="nil"/>
              <w:bottom w:val="single" w:sz="4" w:space="0" w:color="auto"/>
              <w:right w:val="single" w:sz="4" w:space="0" w:color="auto"/>
            </w:tcBorders>
            <w:shd w:val="clear" w:color="auto" w:fill="FFC000"/>
            <w:noWrap/>
            <w:vAlign w:val="bottom"/>
          </w:tcPr>
          <w:p w14:paraId="168DB535" w14:textId="77777777" w:rsidR="001F2F84" w:rsidRPr="000114F1" w:rsidRDefault="001F2F84" w:rsidP="00084053">
            <w:pPr>
              <w:jc w:val="right"/>
              <w:rPr>
                <w:rFonts w:ascii="Arial Narrow" w:hAnsi="Arial Narrow"/>
                <w:color w:val="000000"/>
                <w:sz w:val="20"/>
              </w:rPr>
            </w:pPr>
            <w:r w:rsidRPr="000114F1">
              <w:rPr>
                <w:rFonts w:ascii="Arial Narrow" w:hAnsi="Arial Narrow"/>
                <w:color w:val="000000"/>
                <w:sz w:val="20"/>
              </w:rPr>
              <w:t>0.</w:t>
            </w:r>
            <w:r w:rsidR="00084053">
              <w:rPr>
                <w:rFonts w:ascii="Arial Narrow" w:hAnsi="Arial Narrow"/>
                <w:color w:val="000000"/>
                <w:sz w:val="20"/>
              </w:rPr>
              <w:t>40</w:t>
            </w:r>
          </w:p>
        </w:tc>
        <w:tc>
          <w:tcPr>
            <w:tcW w:w="1275" w:type="dxa"/>
            <w:tcBorders>
              <w:top w:val="single" w:sz="4" w:space="0" w:color="auto"/>
              <w:left w:val="single" w:sz="4" w:space="0" w:color="auto"/>
              <w:bottom w:val="single" w:sz="4" w:space="0" w:color="auto"/>
              <w:right w:val="single" w:sz="4" w:space="0" w:color="auto"/>
            </w:tcBorders>
            <w:shd w:val="clear" w:color="auto" w:fill="FFFF00"/>
            <w:noWrap/>
            <w:vAlign w:val="bottom"/>
          </w:tcPr>
          <w:p w14:paraId="556D71A4" w14:textId="77777777" w:rsidR="001F2F84" w:rsidRPr="000114F1" w:rsidRDefault="001F2F84" w:rsidP="00084053">
            <w:pPr>
              <w:jc w:val="right"/>
              <w:rPr>
                <w:rFonts w:ascii="Arial Narrow" w:hAnsi="Arial Narrow"/>
                <w:color w:val="000000"/>
                <w:sz w:val="20"/>
              </w:rPr>
            </w:pPr>
            <w:r w:rsidRPr="000114F1">
              <w:rPr>
                <w:rFonts w:ascii="Arial Narrow" w:hAnsi="Arial Narrow"/>
                <w:color w:val="000000"/>
                <w:sz w:val="20"/>
              </w:rPr>
              <w:t>0.</w:t>
            </w:r>
            <w:r w:rsidR="00084053" w:rsidRPr="000114F1">
              <w:rPr>
                <w:rFonts w:ascii="Arial Narrow" w:hAnsi="Arial Narrow"/>
                <w:color w:val="000000"/>
                <w:sz w:val="20"/>
              </w:rPr>
              <w:t>4</w:t>
            </w:r>
            <w:r w:rsidR="00084053">
              <w:rPr>
                <w:rFonts w:ascii="Arial Narrow" w:hAnsi="Arial Narrow"/>
                <w:color w:val="000000"/>
                <w:sz w:val="20"/>
              </w:rPr>
              <w:t>3</w:t>
            </w:r>
          </w:p>
        </w:tc>
        <w:tc>
          <w:tcPr>
            <w:tcW w:w="993" w:type="dxa"/>
            <w:tcBorders>
              <w:top w:val="single" w:sz="4" w:space="0" w:color="auto"/>
              <w:left w:val="single" w:sz="4" w:space="0" w:color="auto"/>
              <w:bottom w:val="single" w:sz="4" w:space="0" w:color="auto"/>
              <w:right w:val="single" w:sz="4" w:space="0" w:color="auto"/>
            </w:tcBorders>
            <w:shd w:val="clear" w:color="auto" w:fill="FFFF00"/>
          </w:tcPr>
          <w:p w14:paraId="62AD940A" w14:textId="77777777" w:rsidR="001F2F84" w:rsidRPr="000114F1" w:rsidRDefault="001F2F84" w:rsidP="00FF0B33">
            <w:pPr>
              <w:jc w:val="right"/>
              <w:rPr>
                <w:rFonts w:ascii="Arial Narrow" w:hAnsi="Arial Narrow"/>
                <w:color w:val="000000"/>
                <w:sz w:val="20"/>
              </w:rPr>
            </w:pPr>
            <w:r>
              <w:rPr>
                <w:rFonts w:ascii="Arial Narrow" w:hAnsi="Arial Narrow"/>
                <w:color w:val="000000"/>
                <w:sz w:val="20"/>
              </w:rPr>
              <w:t>0.</w:t>
            </w:r>
            <w:r w:rsidR="00FF0B33">
              <w:rPr>
                <w:rFonts w:ascii="Arial Narrow" w:hAnsi="Arial Narrow"/>
                <w:color w:val="000000"/>
                <w:sz w:val="20"/>
              </w:rPr>
              <w:t>41</w:t>
            </w:r>
          </w:p>
        </w:tc>
      </w:tr>
    </w:tbl>
    <w:p w14:paraId="2251207F" w14:textId="77777777" w:rsidR="00370EEF" w:rsidRDefault="00370EEF">
      <w:pPr>
        <w:jc w:val="left"/>
        <w:rPr>
          <w:color w:val="0070C0"/>
          <w:lang w:val="en-AU"/>
        </w:rPr>
      </w:pPr>
      <w:r>
        <w:rPr>
          <w:color w:val="0070C0"/>
          <w:lang w:val="en-AU"/>
        </w:rPr>
        <w:t xml:space="preserve"> </w:t>
      </w:r>
      <w:r>
        <w:rPr>
          <w:color w:val="0070C0"/>
          <w:lang w:val="en-AU"/>
        </w:rPr>
        <w:br w:type="page"/>
      </w:r>
    </w:p>
    <w:p w14:paraId="1D585D0A" w14:textId="77777777" w:rsidR="00370EEF" w:rsidRDefault="00370EEF">
      <w:pPr>
        <w:jc w:val="left"/>
        <w:rPr>
          <w:color w:val="0070C0"/>
          <w:lang w:val="en-AU"/>
        </w:rPr>
      </w:pPr>
    </w:p>
    <w:p w14:paraId="61F60540" w14:textId="77777777" w:rsidR="00973735" w:rsidRPr="007E5B6D" w:rsidRDefault="0096504D">
      <w:pPr>
        <w:jc w:val="left"/>
        <w:rPr>
          <w:rStyle w:val="IntenseReference"/>
        </w:rPr>
      </w:pPr>
      <w:r>
        <w:rPr>
          <w:rStyle w:val="IntenseReference"/>
        </w:rPr>
        <w:t xml:space="preserve">Table </w:t>
      </w:r>
      <w:proofErr w:type="gramStart"/>
      <w:r>
        <w:rPr>
          <w:rStyle w:val="IntenseReference"/>
        </w:rPr>
        <w:t>A</w:t>
      </w:r>
      <w:proofErr w:type="gramEnd"/>
      <w:r w:rsidR="0063376B">
        <w:rPr>
          <w:rStyle w:val="IntenseReference"/>
        </w:rPr>
        <w:t xml:space="preserve"> 3 continued</w:t>
      </w:r>
    </w:p>
    <w:tbl>
      <w:tblPr>
        <w:tblW w:w="9513" w:type="dxa"/>
        <w:tblInd w:w="93" w:type="dxa"/>
        <w:tblLayout w:type="fixed"/>
        <w:tblLook w:val="04A0" w:firstRow="1" w:lastRow="0" w:firstColumn="1" w:lastColumn="0" w:noHBand="0" w:noVBand="1"/>
        <w:tblCaption w:val="Table A1 3 continued."/>
        <w:tblDescription w:val="Mackay Whitsunday and Fitzroy regions"/>
      </w:tblPr>
      <w:tblGrid>
        <w:gridCol w:w="866"/>
        <w:gridCol w:w="1559"/>
        <w:gridCol w:w="142"/>
        <w:gridCol w:w="425"/>
        <w:gridCol w:w="992"/>
        <w:gridCol w:w="993"/>
        <w:gridCol w:w="1134"/>
        <w:gridCol w:w="1134"/>
        <w:gridCol w:w="1275"/>
        <w:gridCol w:w="993"/>
      </w:tblGrid>
      <w:tr w:rsidR="00973735" w:rsidRPr="00C15A2E" w14:paraId="6BEEB111" w14:textId="77777777" w:rsidTr="001F2F84">
        <w:trPr>
          <w:trHeight w:val="63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344011" w14:textId="77777777" w:rsidR="00973735" w:rsidRPr="002710DB" w:rsidRDefault="00973735" w:rsidP="0001401C">
            <w:pPr>
              <w:rPr>
                <w:rFonts w:ascii="Arial Narrow" w:hAnsi="Arial Narrow"/>
                <w:b/>
                <w:bCs/>
                <w:sz w:val="20"/>
              </w:rPr>
            </w:pPr>
            <w:r w:rsidRPr="002710DB">
              <w:rPr>
                <w:rFonts w:ascii="Arial Narrow" w:hAnsi="Arial Narrow"/>
                <w:b/>
                <w:bCs/>
                <w:sz w:val="20"/>
              </w:rPr>
              <w:t>Region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0D8AA186" w14:textId="77777777" w:rsidR="00973735" w:rsidRPr="00C15A2E" w:rsidRDefault="00973735" w:rsidP="0001401C">
            <w:pPr>
              <w:rPr>
                <w:rFonts w:ascii="Arial Narrow" w:hAnsi="Arial Narrow"/>
                <w:bCs/>
                <w:sz w:val="20"/>
              </w:rPr>
            </w:pPr>
            <w:r w:rsidRPr="00C15A2E">
              <w:rPr>
                <w:rFonts w:ascii="Arial Narrow" w:hAnsi="Arial Narrow"/>
                <w:bCs/>
                <w:sz w:val="20"/>
              </w:rPr>
              <w:t>Reef</w:t>
            </w:r>
          </w:p>
        </w:tc>
        <w:tc>
          <w:tcPr>
            <w:tcW w:w="425"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A6340E3" w14:textId="77777777" w:rsidR="00973735" w:rsidRPr="00C15A2E" w:rsidRDefault="00973735" w:rsidP="0001401C">
            <w:pPr>
              <w:jc w:val="center"/>
              <w:rPr>
                <w:rFonts w:ascii="Arial Narrow" w:hAnsi="Arial Narrow"/>
                <w:bCs/>
                <w:sz w:val="20"/>
              </w:rPr>
            </w:pPr>
            <w:r w:rsidRPr="00C15A2E">
              <w:rPr>
                <w:rFonts w:ascii="Arial Narrow" w:hAnsi="Arial Narrow"/>
                <w:bCs/>
                <w:sz w:val="20"/>
              </w:rPr>
              <w:t>depth</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6CBD0892" w14:textId="77777777" w:rsidR="00973735" w:rsidRPr="00C15A2E" w:rsidRDefault="00973735" w:rsidP="0001401C">
            <w:pPr>
              <w:jc w:val="center"/>
              <w:rPr>
                <w:rFonts w:ascii="Arial Narrow" w:hAnsi="Arial Narrow"/>
                <w:bCs/>
                <w:sz w:val="20"/>
              </w:rPr>
            </w:pPr>
            <w:r w:rsidRPr="00C15A2E">
              <w:rPr>
                <w:rFonts w:ascii="Arial Narrow" w:hAnsi="Arial Narrow"/>
                <w:bCs/>
                <w:sz w:val="20"/>
              </w:rPr>
              <w:t>Coral cover</w:t>
            </w:r>
          </w:p>
        </w:tc>
        <w:tc>
          <w:tcPr>
            <w:tcW w:w="993" w:type="dxa"/>
            <w:tcBorders>
              <w:top w:val="single" w:sz="4" w:space="0" w:color="auto"/>
              <w:left w:val="nil"/>
              <w:bottom w:val="single" w:sz="4" w:space="0" w:color="auto"/>
              <w:right w:val="single" w:sz="4" w:space="0" w:color="auto"/>
            </w:tcBorders>
            <w:shd w:val="clear" w:color="auto" w:fill="auto"/>
            <w:vAlign w:val="center"/>
            <w:hideMark/>
          </w:tcPr>
          <w:p w14:paraId="2AFECD84" w14:textId="77777777" w:rsidR="00973735" w:rsidRPr="00C15A2E" w:rsidRDefault="00973735" w:rsidP="002834D0">
            <w:pPr>
              <w:jc w:val="center"/>
              <w:rPr>
                <w:rFonts w:ascii="Arial Narrow" w:hAnsi="Arial Narrow"/>
                <w:bCs/>
                <w:sz w:val="20"/>
              </w:rPr>
            </w:pPr>
            <w:r w:rsidRPr="00C15A2E">
              <w:rPr>
                <w:rFonts w:ascii="Arial Narrow" w:hAnsi="Arial Narrow"/>
                <w:bCs/>
                <w:sz w:val="20"/>
              </w:rPr>
              <w:t xml:space="preserve">Juvenile corals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0C1EF9D4" w14:textId="77777777" w:rsidR="00973735" w:rsidRPr="00C15A2E" w:rsidRDefault="00973735" w:rsidP="0001401C">
            <w:pPr>
              <w:jc w:val="center"/>
              <w:rPr>
                <w:rFonts w:ascii="Arial Narrow" w:hAnsi="Arial Narrow"/>
                <w:bCs/>
                <w:sz w:val="20"/>
              </w:rPr>
            </w:pPr>
            <w:r w:rsidRPr="00C15A2E">
              <w:rPr>
                <w:rFonts w:ascii="Arial Narrow" w:hAnsi="Arial Narrow"/>
                <w:bCs/>
                <w:sz w:val="20"/>
              </w:rPr>
              <w:t>Macro- algae</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1B62E853" w14:textId="77777777" w:rsidR="00973735" w:rsidRPr="00C15A2E" w:rsidRDefault="00973735" w:rsidP="0001401C">
            <w:pPr>
              <w:jc w:val="center"/>
              <w:rPr>
                <w:rFonts w:ascii="Arial Narrow" w:hAnsi="Arial Narrow"/>
                <w:bCs/>
                <w:sz w:val="20"/>
              </w:rPr>
            </w:pPr>
            <w:r w:rsidRPr="00C15A2E">
              <w:rPr>
                <w:rFonts w:ascii="Arial Narrow" w:hAnsi="Arial Narrow"/>
                <w:bCs/>
                <w:sz w:val="20"/>
              </w:rPr>
              <w:t>Cover change</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77755F" w14:textId="77777777" w:rsidR="00973735" w:rsidRPr="004F1187" w:rsidRDefault="00973735" w:rsidP="0001401C">
            <w:pPr>
              <w:jc w:val="center"/>
              <w:rPr>
                <w:rFonts w:ascii="Arial Narrow" w:hAnsi="Arial Narrow"/>
                <w:bCs/>
                <w:color w:val="000000" w:themeColor="text1"/>
                <w:sz w:val="20"/>
              </w:rPr>
            </w:pPr>
            <w:r>
              <w:rPr>
                <w:rFonts w:ascii="Arial Narrow" w:hAnsi="Arial Narrow"/>
                <w:bCs/>
                <w:color w:val="000000" w:themeColor="text1"/>
                <w:sz w:val="20"/>
              </w:rPr>
              <w:t>Coral composition</w:t>
            </w:r>
          </w:p>
        </w:tc>
        <w:tc>
          <w:tcPr>
            <w:tcW w:w="993" w:type="dxa"/>
            <w:tcBorders>
              <w:top w:val="single" w:sz="4" w:space="0" w:color="auto"/>
              <w:left w:val="single" w:sz="4" w:space="0" w:color="auto"/>
              <w:bottom w:val="single" w:sz="4" w:space="0" w:color="auto"/>
              <w:right w:val="single" w:sz="4" w:space="0" w:color="auto"/>
            </w:tcBorders>
          </w:tcPr>
          <w:p w14:paraId="4DDE8059" w14:textId="77777777" w:rsidR="00973735" w:rsidRDefault="00973735" w:rsidP="0001401C">
            <w:pPr>
              <w:jc w:val="center"/>
              <w:rPr>
                <w:rFonts w:ascii="Arial Narrow" w:hAnsi="Arial Narrow"/>
                <w:bCs/>
                <w:color w:val="000000" w:themeColor="text1"/>
                <w:sz w:val="20"/>
              </w:rPr>
            </w:pPr>
            <w:r>
              <w:rPr>
                <w:rFonts w:ascii="Arial Narrow" w:hAnsi="Arial Narrow"/>
                <w:bCs/>
                <w:color w:val="000000" w:themeColor="text1"/>
                <w:sz w:val="20"/>
              </w:rPr>
              <w:t>Coral index</w:t>
            </w:r>
          </w:p>
        </w:tc>
      </w:tr>
      <w:tr w:rsidR="0070017D" w:rsidRPr="00C15A2E" w14:paraId="4805488D" w14:textId="77777777" w:rsidTr="001F2F84">
        <w:trPr>
          <w:trHeight w:val="240"/>
        </w:trPr>
        <w:tc>
          <w:tcPr>
            <w:tcW w:w="866" w:type="dxa"/>
            <w:tcBorders>
              <w:top w:val="nil"/>
              <w:left w:val="single" w:sz="4" w:space="0" w:color="auto"/>
              <w:right w:val="single" w:sz="4" w:space="0" w:color="auto"/>
            </w:tcBorders>
            <w:shd w:val="clear" w:color="auto" w:fill="auto"/>
            <w:noWrap/>
            <w:textDirection w:val="btLr"/>
            <w:vAlign w:val="center"/>
          </w:tcPr>
          <w:p w14:paraId="3F0BD81B" w14:textId="77777777" w:rsidR="0070017D" w:rsidRPr="002710DB" w:rsidRDefault="0070017D" w:rsidP="0001401C">
            <w:pPr>
              <w:jc w:val="center"/>
              <w:rPr>
                <w:rFonts w:ascii="Arial Narrow" w:hAnsi="Arial Narrow"/>
                <w:b/>
                <w:bCs/>
                <w:sz w:val="20"/>
              </w:rPr>
            </w:pPr>
          </w:p>
        </w:tc>
        <w:tc>
          <w:tcPr>
            <w:tcW w:w="1701" w:type="dxa"/>
            <w:gridSpan w:val="2"/>
            <w:tcBorders>
              <w:top w:val="nil"/>
              <w:left w:val="single" w:sz="4" w:space="0" w:color="auto"/>
              <w:bottom w:val="single" w:sz="4" w:space="0" w:color="auto"/>
              <w:right w:val="single" w:sz="4" w:space="0" w:color="auto"/>
            </w:tcBorders>
            <w:shd w:val="clear" w:color="auto" w:fill="auto"/>
            <w:noWrap/>
            <w:vAlign w:val="center"/>
          </w:tcPr>
          <w:p w14:paraId="446E5242" w14:textId="77777777" w:rsidR="0070017D" w:rsidRDefault="0070017D" w:rsidP="0001401C">
            <w:pPr>
              <w:rPr>
                <w:rFonts w:ascii="Arial Narrow" w:hAnsi="Arial Narrow"/>
                <w:bCs/>
                <w:sz w:val="20"/>
              </w:rPr>
            </w:pPr>
            <w:r>
              <w:rPr>
                <w:rFonts w:ascii="Arial Narrow" w:hAnsi="Arial Narrow"/>
                <w:bCs/>
                <w:sz w:val="20"/>
              </w:rPr>
              <w:t>Hayman</w:t>
            </w:r>
          </w:p>
        </w:tc>
        <w:tc>
          <w:tcPr>
            <w:tcW w:w="425" w:type="dxa"/>
            <w:tcBorders>
              <w:top w:val="nil"/>
              <w:left w:val="nil"/>
              <w:bottom w:val="single" w:sz="4" w:space="0" w:color="auto"/>
              <w:right w:val="single" w:sz="4" w:space="0" w:color="auto"/>
            </w:tcBorders>
            <w:shd w:val="clear" w:color="auto" w:fill="auto"/>
            <w:noWrap/>
            <w:vAlign w:val="bottom"/>
          </w:tcPr>
          <w:p w14:paraId="57568EA2" w14:textId="77777777" w:rsidR="0070017D" w:rsidRDefault="0070017D" w:rsidP="0001401C">
            <w:pPr>
              <w:jc w:val="center"/>
              <w:rPr>
                <w:rFonts w:ascii="Arial Narrow" w:hAnsi="Arial Narrow"/>
                <w:bCs/>
                <w:sz w:val="20"/>
              </w:rPr>
            </w:pPr>
            <w:r>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2EAAC2D5"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0.64</w:t>
            </w:r>
          </w:p>
        </w:tc>
        <w:tc>
          <w:tcPr>
            <w:tcW w:w="993" w:type="dxa"/>
            <w:tcBorders>
              <w:top w:val="nil"/>
              <w:left w:val="nil"/>
              <w:bottom w:val="single" w:sz="4" w:space="0" w:color="auto"/>
              <w:right w:val="single" w:sz="4" w:space="0" w:color="auto"/>
            </w:tcBorders>
            <w:shd w:val="clear" w:color="auto" w:fill="auto"/>
            <w:noWrap/>
            <w:vAlign w:val="bottom"/>
          </w:tcPr>
          <w:p w14:paraId="68012105"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0.89</w:t>
            </w:r>
          </w:p>
        </w:tc>
        <w:tc>
          <w:tcPr>
            <w:tcW w:w="1134" w:type="dxa"/>
            <w:tcBorders>
              <w:top w:val="nil"/>
              <w:left w:val="nil"/>
              <w:bottom w:val="single" w:sz="4" w:space="0" w:color="auto"/>
              <w:right w:val="single" w:sz="4" w:space="0" w:color="auto"/>
            </w:tcBorders>
            <w:shd w:val="clear" w:color="auto" w:fill="auto"/>
            <w:noWrap/>
            <w:vAlign w:val="bottom"/>
          </w:tcPr>
          <w:p w14:paraId="0E5CAD23"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146AD5E9"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0.28</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19CF5FA"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bottom"/>
          </w:tcPr>
          <w:p w14:paraId="5D9569B6" w14:textId="77777777" w:rsidR="0070017D" w:rsidRPr="00872CBA" w:rsidRDefault="0070017D" w:rsidP="0001401C">
            <w:pPr>
              <w:jc w:val="right"/>
              <w:rPr>
                <w:rFonts w:ascii="Arial Narrow" w:hAnsi="Arial Narrow"/>
                <w:color w:val="000000"/>
                <w:sz w:val="20"/>
              </w:rPr>
            </w:pPr>
            <w:r w:rsidRPr="00872CBA">
              <w:rPr>
                <w:rFonts w:ascii="Arial Narrow" w:hAnsi="Arial Narrow"/>
                <w:color w:val="000000"/>
                <w:sz w:val="20"/>
              </w:rPr>
              <w:t>0.66</w:t>
            </w:r>
          </w:p>
        </w:tc>
      </w:tr>
      <w:tr w:rsidR="0070017D" w:rsidRPr="00C15A2E" w14:paraId="5559D29E" w14:textId="77777777" w:rsidTr="001F2F84">
        <w:trPr>
          <w:trHeight w:val="240"/>
        </w:trPr>
        <w:tc>
          <w:tcPr>
            <w:tcW w:w="866" w:type="dxa"/>
            <w:vMerge w:val="restart"/>
            <w:tcBorders>
              <w:top w:val="nil"/>
              <w:left w:val="single" w:sz="4" w:space="0" w:color="auto"/>
              <w:right w:val="single" w:sz="4" w:space="0" w:color="auto"/>
            </w:tcBorders>
            <w:shd w:val="clear" w:color="auto" w:fill="auto"/>
            <w:noWrap/>
            <w:textDirection w:val="btLr"/>
            <w:vAlign w:val="center"/>
          </w:tcPr>
          <w:p w14:paraId="0DBD3679" w14:textId="77777777" w:rsidR="0070017D" w:rsidRPr="002710DB" w:rsidRDefault="0070017D" w:rsidP="0001401C">
            <w:pPr>
              <w:jc w:val="center"/>
              <w:rPr>
                <w:rFonts w:ascii="Arial Narrow" w:hAnsi="Arial Narrow"/>
                <w:b/>
                <w:bCs/>
                <w:sz w:val="20"/>
              </w:rPr>
            </w:pPr>
            <w:r w:rsidRPr="002710DB">
              <w:rPr>
                <w:rFonts w:ascii="Arial Narrow" w:hAnsi="Arial Narrow"/>
                <w:b/>
                <w:bCs/>
                <w:sz w:val="20"/>
              </w:rPr>
              <w:t>Mackay Whitsunday</w:t>
            </w:r>
          </w:p>
        </w:tc>
        <w:tc>
          <w:tcPr>
            <w:tcW w:w="1701" w:type="dxa"/>
            <w:gridSpan w:val="2"/>
            <w:tcBorders>
              <w:top w:val="nil"/>
              <w:left w:val="single" w:sz="4" w:space="0" w:color="auto"/>
              <w:bottom w:val="single" w:sz="4" w:space="0" w:color="auto"/>
              <w:right w:val="single" w:sz="4" w:space="0" w:color="auto"/>
            </w:tcBorders>
            <w:shd w:val="clear" w:color="auto" w:fill="auto"/>
            <w:noWrap/>
            <w:vAlign w:val="center"/>
          </w:tcPr>
          <w:p w14:paraId="2EDF6CFE" w14:textId="77777777" w:rsidR="0070017D" w:rsidRPr="00C15A2E" w:rsidRDefault="0070017D" w:rsidP="0001401C">
            <w:pPr>
              <w:rPr>
                <w:rFonts w:ascii="Arial Narrow" w:hAnsi="Arial Narrow"/>
                <w:bCs/>
                <w:sz w:val="20"/>
              </w:rPr>
            </w:pPr>
            <w:r>
              <w:rPr>
                <w:rFonts w:ascii="Arial Narrow" w:hAnsi="Arial Narrow"/>
                <w:bCs/>
                <w:sz w:val="20"/>
              </w:rPr>
              <w:t>Langford</w:t>
            </w:r>
          </w:p>
        </w:tc>
        <w:tc>
          <w:tcPr>
            <w:tcW w:w="425" w:type="dxa"/>
            <w:tcBorders>
              <w:top w:val="nil"/>
              <w:left w:val="nil"/>
              <w:bottom w:val="single" w:sz="4" w:space="0" w:color="auto"/>
              <w:right w:val="single" w:sz="4" w:space="0" w:color="auto"/>
            </w:tcBorders>
            <w:shd w:val="clear" w:color="auto" w:fill="auto"/>
            <w:noWrap/>
            <w:vAlign w:val="bottom"/>
          </w:tcPr>
          <w:p w14:paraId="4C65061E"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5AA88F6E"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0.59</w:t>
            </w:r>
          </w:p>
        </w:tc>
        <w:tc>
          <w:tcPr>
            <w:tcW w:w="993" w:type="dxa"/>
            <w:tcBorders>
              <w:top w:val="nil"/>
              <w:left w:val="nil"/>
              <w:bottom w:val="single" w:sz="4" w:space="0" w:color="auto"/>
              <w:right w:val="single" w:sz="4" w:space="0" w:color="auto"/>
            </w:tcBorders>
            <w:shd w:val="clear" w:color="auto" w:fill="auto"/>
            <w:noWrap/>
            <w:vAlign w:val="bottom"/>
          </w:tcPr>
          <w:p w14:paraId="0F934355"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0.89</w:t>
            </w:r>
          </w:p>
        </w:tc>
        <w:tc>
          <w:tcPr>
            <w:tcW w:w="1134" w:type="dxa"/>
            <w:tcBorders>
              <w:top w:val="nil"/>
              <w:left w:val="nil"/>
              <w:bottom w:val="single" w:sz="4" w:space="0" w:color="auto"/>
              <w:right w:val="single" w:sz="4" w:space="0" w:color="auto"/>
            </w:tcBorders>
            <w:shd w:val="clear" w:color="auto" w:fill="auto"/>
            <w:noWrap/>
            <w:vAlign w:val="bottom"/>
          </w:tcPr>
          <w:p w14:paraId="1F8ADB96"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2D16DCD0"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0.08</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121F0CD"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bottom"/>
          </w:tcPr>
          <w:p w14:paraId="6E1FCF1F" w14:textId="77777777" w:rsidR="0070017D" w:rsidRPr="00872CBA" w:rsidRDefault="0070017D" w:rsidP="0001401C">
            <w:pPr>
              <w:jc w:val="right"/>
              <w:rPr>
                <w:rFonts w:ascii="Arial Narrow" w:hAnsi="Arial Narrow"/>
                <w:color w:val="000000"/>
                <w:sz w:val="20"/>
              </w:rPr>
            </w:pPr>
            <w:r w:rsidRPr="00872CBA">
              <w:rPr>
                <w:rFonts w:ascii="Arial Narrow" w:hAnsi="Arial Narrow"/>
                <w:color w:val="000000"/>
                <w:sz w:val="20"/>
              </w:rPr>
              <w:t>0.61</w:t>
            </w:r>
          </w:p>
        </w:tc>
      </w:tr>
      <w:tr w:rsidR="004F4CA3" w:rsidRPr="00C15A2E" w14:paraId="70DA7675" w14:textId="77777777" w:rsidTr="00AE0BFC">
        <w:trPr>
          <w:trHeight w:val="240"/>
        </w:trPr>
        <w:tc>
          <w:tcPr>
            <w:tcW w:w="866" w:type="dxa"/>
            <w:vMerge/>
            <w:tcBorders>
              <w:left w:val="single" w:sz="4" w:space="0" w:color="auto"/>
              <w:right w:val="single" w:sz="4" w:space="0" w:color="auto"/>
            </w:tcBorders>
            <w:shd w:val="clear" w:color="auto" w:fill="auto"/>
            <w:noWrap/>
            <w:textDirection w:val="btLr"/>
            <w:vAlign w:val="center"/>
          </w:tcPr>
          <w:p w14:paraId="71F1E910" w14:textId="77777777" w:rsidR="004F4CA3" w:rsidRPr="002710DB" w:rsidRDefault="004F4CA3" w:rsidP="0001401C">
            <w:pPr>
              <w:jc w:val="center"/>
              <w:rPr>
                <w:rFonts w:ascii="Arial Narrow" w:hAnsi="Arial Narrow"/>
                <w:b/>
                <w:bCs/>
                <w:sz w:val="20"/>
              </w:rPr>
            </w:pPr>
          </w:p>
        </w:tc>
        <w:tc>
          <w:tcPr>
            <w:tcW w:w="1701" w:type="dxa"/>
            <w:gridSpan w:val="2"/>
            <w:vMerge w:val="restart"/>
            <w:tcBorders>
              <w:top w:val="nil"/>
              <w:left w:val="single" w:sz="4" w:space="0" w:color="auto"/>
              <w:right w:val="single" w:sz="4" w:space="0" w:color="auto"/>
            </w:tcBorders>
            <w:shd w:val="clear" w:color="auto" w:fill="auto"/>
            <w:noWrap/>
            <w:vAlign w:val="center"/>
          </w:tcPr>
          <w:p w14:paraId="6886F9B4" w14:textId="77777777" w:rsidR="004F4CA3" w:rsidRDefault="004F4CA3" w:rsidP="0001401C">
            <w:pPr>
              <w:rPr>
                <w:rFonts w:ascii="Arial Narrow" w:hAnsi="Arial Narrow"/>
                <w:bCs/>
                <w:sz w:val="20"/>
              </w:rPr>
            </w:pPr>
            <w:r w:rsidRPr="00C15A2E">
              <w:rPr>
                <w:rFonts w:ascii="Arial Narrow" w:hAnsi="Arial Narrow"/>
                <w:bCs/>
                <w:sz w:val="20"/>
              </w:rPr>
              <w:t>Hook</w:t>
            </w:r>
          </w:p>
        </w:tc>
        <w:tc>
          <w:tcPr>
            <w:tcW w:w="425" w:type="dxa"/>
            <w:tcBorders>
              <w:top w:val="nil"/>
              <w:left w:val="nil"/>
              <w:bottom w:val="single" w:sz="4" w:space="0" w:color="auto"/>
              <w:right w:val="single" w:sz="4" w:space="0" w:color="auto"/>
            </w:tcBorders>
            <w:shd w:val="clear" w:color="auto" w:fill="auto"/>
            <w:noWrap/>
            <w:vAlign w:val="bottom"/>
          </w:tcPr>
          <w:p w14:paraId="1D266800" w14:textId="77777777" w:rsidR="004F4CA3" w:rsidRDefault="004F4CA3"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65709A45"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0.58</w:t>
            </w:r>
          </w:p>
        </w:tc>
        <w:tc>
          <w:tcPr>
            <w:tcW w:w="993" w:type="dxa"/>
            <w:tcBorders>
              <w:top w:val="nil"/>
              <w:left w:val="nil"/>
              <w:bottom w:val="single" w:sz="4" w:space="0" w:color="auto"/>
              <w:right w:val="single" w:sz="4" w:space="0" w:color="auto"/>
            </w:tcBorders>
            <w:shd w:val="clear" w:color="auto" w:fill="auto"/>
            <w:noWrap/>
            <w:vAlign w:val="bottom"/>
          </w:tcPr>
          <w:p w14:paraId="2BDB33D7"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0.47</w:t>
            </w:r>
          </w:p>
        </w:tc>
        <w:tc>
          <w:tcPr>
            <w:tcW w:w="1134" w:type="dxa"/>
            <w:tcBorders>
              <w:top w:val="nil"/>
              <w:left w:val="nil"/>
              <w:bottom w:val="single" w:sz="4" w:space="0" w:color="auto"/>
              <w:right w:val="single" w:sz="4" w:space="0" w:color="auto"/>
            </w:tcBorders>
            <w:shd w:val="clear" w:color="auto" w:fill="auto"/>
            <w:noWrap/>
            <w:vAlign w:val="bottom"/>
          </w:tcPr>
          <w:p w14:paraId="136092BA"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7AE9B851"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0.20</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350F7F4"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044547A7" w14:textId="77777777" w:rsidR="004F4CA3" w:rsidRPr="00872CBA" w:rsidRDefault="004F4CA3" w:rsidP="0001401C">
            <w:pPr>
              <w:jc w:val="right"/>
              <w:rPr>
                <w:rFonts w:ascii="Arial Narrow" w:hAnsi="Arial Narrow"/>
                <w:color w:val="000000"/>
                <w:sz w:val="20"/>
              </w:rPr>
            </w:pPr>
            <w:r w:rsidRPr="00872CBA">
              <w:rPr>
                <w:rFonts w:ascii="Arial Narrow" w:hAnsi="Arial Narrow"/>
                <w:color w:val="000000"/>
                <w:sz w:val="20"/>
              </w:rPr>
              <w:t>0.55</w:t>
            </w:r>
          </w:p>
        </w:tc>
      </w:tr>
      <w:tr w:rsidR="004F4CA3" w:rsidRPr="00C15A2E" w14:paraId="4107AC68" w14:textId="77777777" w:rsidTr="00AE0BFC">
        <w:trPr>
          <w:trHeight w:val="240"/>
        </w:trPr>
        <w:tc>
          <w:tcPr>
            <w:tcW w:w="866" w:type="dxa"/>
            <w:vMerge/>
            <w:tcBorders>
              <w:left w:val="single" w:sz="4" w:space="0" w:color="auto"/>
              <w:right w:val="single" w:sz="4" w:space="0" w:color="auto"/>
            </w:tcBorders>
            <w:shd w:val="clear" w:color="auto" w:fill="auto"/>
            <w:noWrap/>
            <w:textDirection w:val="btLr"/>
            <w:vAlign w:val="center"/>
          </w:tcPr>
          <w:p w14:paraId="07FF4777" w14:textId="77777777" w:rsidR="004F4CA3" w:rsidRPr="002710DB" w:rsidRDefault="004F4CA3" w:rsidP="0001401C">
            <w:pPr>
              <w:jc w:val="center"/>
              <w:rPr>
                <w:rFonts w:ascii="Arial Narrow" w:hAnsi="Arial Narrow"/>
                <w:b/>
                <w:bCs/>
                <w:sz w:val="20"/>
              </w:rPr>
            </w:pPr>
          </w:p>
        </w:tc>
        <w:tc>
          <w:tcPr>
            <w:tcW w:w="1701" w:type="dxa"/>
            <w:gridSpan w:val="2"/>
            <w:vMerge/>
            <w:tcBorders>
              <w:left w:val="single" w:sz="4" w:space="0" w:color="auto"/>
              <w:bottom w:val="single" w:sz="4" w:space="0" w:color="auto"/>
              <w:right w:val="single" w:sz="4" w:space="0" w:color="auto"/>
            </w:tcBorders>
            <w:shd w:val="clear" w:color="auto" w:fill="auto"/>
            <w:noWrap/>
            <w:vAlign w:val="center"/>
          </w:tcPr>
          <w:p w14:paraId="67655581" w14:textId="77777777" w:rsidR="004F4CA3" w:rsidRDefault="004F4CA3" w:rsidP="0001401C">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tcPr>
          <w:p w14:paraId="358E1553" w14:textId="77777777" w:rsidR="004F4CA3" w:rsidRDefault="004F4CA3"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26D4D45D"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0.56</w:t>
            </w:r>
          </w:p>
        </w:tc>
        <w:tc>
          <w:tcPr>
            <w:tcW w:w="993" w:type="dxa"/>
            <w:tcBorders>
              <w:top w:val="nil"/>
              <w:left w:val="nil"/>
              <w:bottom w:val="single" w:sz="4" w:space="0" w:color="auto"/>
              <w:right w:val="single" w:sz="4" w:space="0" w:color="auto"/>
            </w:tcBorders>
            <w:shd w:val="clear" w:color="auto" w:fill="auto"/>
            <w:noWrap/>
            <w:vAlign w:val="bottom"/>
          </w:tcPr>
          <w:p w14:paraId="4DE3CB00"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0.39</w:t>
            </w:r>
          </w:p>
        </w:tc>
        <w:tc>
          <w:tcPr>
            <w:tcW w:w="1134" w:type="dxa"/>
            <w:tcBorders>
              <w:top w:val="nil"/>
              <w:left w:val="nil"/>
              <w:bottom w:val="single" w:sz="4" w:space="0" w:color="auto"/>
              <w:right w:val="single" w:sz="4" w:space="0" w:color="auto"/>
            </w:tcBorders>
            <w:shd w:val="clear" w:color="auto" w:fill="auto"/>
            <w:noWrap/>
            <w:vAlign w:val="bottom"/>
          </w:tcPr>
          <w:p w14:paraId="36EFA953"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233FA554"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0.22</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BB648A0"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7B0D1C68" w14:textId="77777777" w:rsidR="004F4CA3" w:rsidRPr="00872CBA" w:rsidRDefault="004F4CA3" w:rsidP="0001401C">
            <w:pPr>
              <w:jc w:val="right"/>
              <w:rPr>
                <w:rFonts w:ascii="Arial Narrow" w:hAnsi="Arial Narrow"/>
                <w:color w:val="000000"/>
                <w:sz w:val="20"/>
              </w:rPr>
            </w:pPr>
            <w:r w:rsidRPr="00872CBA">
              <w:rPr>
                <w:rFonts w:ascii="Arial Narrow" w:hAnsi="Arial Narrow"/>
                <w:color w:val="000000"/>
                <w:sz w:val="20"/>
              </w:rPr>
              <w:t>0.53</w:t>
            </w:r>
          </w:p>
        </w:tc>
      </w:tr>
      <w:tr w:rsidR="0070017D" w:rsidRPr="00C15A2E" w14:paraId="41ABB9E7" w14:textId="77777777" w:rsidTr="001F2F84">
        <w:trPr>
          <w:trHeight w:val="240"/>
        </w:trPr>
        <w:tc>
          <w:tcPr>
            <w:tcW w:w="866" w:type="dxa"/>
            <w:vMerge/>
            <w:tcBorders>
              <w:left w:val="single" w:sz="4" w:space="0" w:color="auto"/>
              <w:right w:val="single" w:sz="4" w:space="0" w:color="auto"/>
            </w:tcBorders>
            <w:shd w:val="clear" w:color="auto" w:fill="auto"/>
            <w:noWrap/>
            <w:textDirection w:val="btLr"/>
            <w:vAlign w:val="center"/>
          </w:tcPr>
          <w:p w14:paraId="5E6DD78A" w14:textId="77777777" w:rsidR="0070017D" w:rsidRPr="002710DB" w:rsidRDefault="0070017D" w:rsidP="0001401C">
            <w:pPr>
              <w:jc w:val="center"/>
              <w:rPr>
                <w:rFonts w:ascii="Arial Narrow" w:hAnsi="Arial Narrow"/>
                <w:b/>
                <w:bCs/>
                <w:sz w:val="20"/>
              </w:rPr>
            </w:pPr>
          </w:p>
        </w:tc>
        <w:tc>
          <w:tcPr>
            <w:tcW w:w="1701" w:type="dxa"/>
            <w:gridSpan w:val="2"/>
            <w:tcBorders>
              <w:top w:val="nil"/>
              <w:left w:val="single" w:sz="4" w:space="0" w:color="auto"/>
              <w:bottom w:val="single" w:sz="4" w:space="0" w:color="auto"/>
              <w:right w:val="single" w:sz="4" w:space="0" w:color="auto"/>
            </w:tcBorders>
            <w:shd w:val="clear" w:color="auto" w:fill="auto"/>
            <w:noWrap/>
            <w:vAlign w:val="center"/>
          </w:tcPr>
          <w:p w14:paraId="36F2A718" w14:textId="77777777" w:rsidR="0070017D" w:rsidRPr="00C15A2E" w:rsidRDefault="0070017D" w:rsidP="0001401C">
            <w:pPr>
              <w:rPr>
                <w:rFonts w:ascii="Arial Narrow" w:hAnsi="Arial Narrow"/>
                <w:bCs/>
                <w:sz w:val="20"/>
              </w:rPr>
            </w:pPr>
            <w:r>
              <w:rPr>
                <w:rFonts w:ascii="Arial Narrow" w:hAnsi="Arial Narrow"/>
                <w:bCs/>
                <w:sz w:val="20"/>
              </w:rPr>
              <w:t>Border</w:t>
            </w:r>
          </w:p>
        </w:tc>
        <w:tc>
          <w:tcPr>
            <w:tcW w:w="425" w:type="dxa"/>
            <w:tcBorders>
              <w:top w:val="nil"/>
              <w:left w:val="nil"/>
              <w:bottom w:val="single" w:sz="4" w:space="0" w:color="auto"/>
              <w:right w:val="single" w:sz="4" w:space="0" w:color="auto"/>
            </w:tcBorders>
            <w:shd w:val="clear" w:color="auto" w:fill="auto"/>
            <w:noWrap/>
            <w:vAlign w:val="bottom"/>
          </w:tcPr>
          <w:p w14:paraId="16011505" w14:textId="77777777" w:rsidR="0070017D" w:rsidRPr="00C15A2E" w:rsidRDefault="0070017D" w:rsidP="0001401C">
            <w:pPr>
              <w:jc w:val="center"/>
              <w:rPr>
                <w:rFonts w:ascii="Arial Narrow" w:hAnsi="Arial Narrow"/>
                <w:bCs/>
                <w:sz w:val="20"/>
              </w:rPr>
            </w:pPr>
            <w:r>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4290175D"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0.78</w:t>
            </w:r>
          </w:p>
        </w:tc>
        <w:tc>
          <w:tcPr>
            <w:tcW w:w="993" w:type="dxa"/>
            <w:tcBorders>
              <w:top w:val="nil"/>
              <w:left w:val="nil"/>
              <w:bottom w:val="single" w:sz="4" w:space="0" w:color="auto"/>
              <w:right w:val="single" w:sz="4" w:space="0" w:color="auto"/>
            </w:tcBorders>
            <w:shd w:val="clear" w:color="auto" w:fill="auto"/>
            <w:noWrap/>
            <w:vAlign w:val="bottom"/>
          </w:tcPr>
          <w:p w14:paraId="2CDD2D9E"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3C2BD047"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77E21160"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0.27</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6C18B0F"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bottom"/>
          </w:tcPr>
          <w:p w14:paraId="3A00899A" w14:textId="77777777" w:rsidR="0070017D" w:rsidRPr="00872CBA" w:rsidRDefault="0070017D" w:rsidP="0001401C">
            <w:pPr>
              <w:jc w:val="right"/>
              <w:rPr>
                <w:rFonts w:ascii="Arial Narrow" w:hAnsi="Arial Narrow"/>
                <w:color w:val="000000"/>
                <w:sz w:val="20"/>
              </w:rPr>
            </w:pPr>
            <w:r w:rsidRPr="00872CBA">
              <w:rPr>
                <w:rFonts w:ascii="Arial Narrow" w:hAnsi="Arial Narrow"/>
                <w:color w:val="000000"/>
                <w:sz w:val="20"/>
              </w:rPr>
              <w:t>0.71</w:t>
            </w:r>
          </w:p>
        </w:tc>
      </w:tr>
      <w:tr w:rsidR="004F4CA3" w:rsidRPr="00C15A2E" w14:paraId="292A71DD" w14:textId="77777777" w:rsidTr="00AE0BFC">
        <w:trPr>
          <w:trHeight w:val="240"/>
        </w:trPr>
        <w:tc>
          <w:tcPr>
            <w:tcW w:w="866" w:type="dxa"/>
            <w:vMerge/>
            <w:tcBorders>
              <w:left w:val="single" w:sz="4" w:space="0" w:color="auto"/>
              <w:right w:val="single" w:sz="4" w:space="0" w:color="auto"/>
            </w:tcBorders>
            <w:shd w:val="clear" w:color="auto" w:fill="auto"/>
            <w:noWrap/>
            <w:textDirection w:val="btLr"/>
            <w:vAlign w:val="center"/>
          </w:tcPr>
          <w:p w14:paraId="7407AE67" w14:textId="77777777" w:rsidR="004F4CA3" w:rsidRPr="002710DB" w:rsidRDefault="004F4CA3" w:rsidP="0001401C">
            <w:pPr>
              <w:jc w:val="center"/>
              <w:rPr>
                <w:rFonts w:ascii="Arial Narrow" w:hAnsi="Arial Narrow"/>
                <w:b/>
                <w:bCs/>
                <w:sz w:val="20"/>
              </w:rPr>
            </w:pPr>
          </w:p>
        </w:tc>
        <w:tc>
          <w:tcPr>
            <w:tcW w:w="1701" w:type="dxa"/>
            <w:gridSpan w:val="2"/>
            <w:vMerge w:val="restart"/>
            <w:tcBorders>
              <w:top w:val="nil"/>
              <w:left w:val="single" w:sz="4" w:space="0" w:color="auto"/>
              <w:right w:val="single" w:sz="4" w:space="0" w:color="auto"/>
            </w:tcBorders>
            <w:shd w:val="clear" w:color="auto" w:fill="auto"/>
            <w:noWrap/>
            <w:vAlign w:val="center"/>
          </w:tcPr>
          <w:p w14:paraId="65BA9D4D" w14:textId="77777777" w:rsidR="004F4CA3" w:rsidRPr="00C15A2E" w:rsidRDefault="004F4CA3" w:rsidP="0001401C">
            <w:pPr>
              <w:rPr>
                <w:rFonts w:ascii="Arial Narrow" w:hAnsi="Arial Narrow"/>
                <w:bCs/>
                <w:sz w:val="20"/>
              </w:rPr>
            </w:pPr>
            <w:r w:rsidRPr="00C15A2E">
              <w:rPr>
                <w:rFonts w:ascii="Arial Narrow" w:hAnsi="Arial Narrow"/>
                <w:bCs/>
                <w:sz w:val="20"/>
              </w:rPr>
              <w:t>Double Cone</w:t>
            </w:r>
          </w:p>
        </w:tc>
        <w:tc>
          <w:tcPr>
            <w:tcW w:w="425" w:type="dxa"/>
            <w:tcBorders>
              <w:top w:val="nil"/>
              <w:left w:val="nil"/>
              <w:bottom w:val="single" w:sz="4" w:space="0" w:color="auto"/>
              <w:right w:val="single" w:sz="4" w:space="0" w:color="auto"/>
            </w:tcBorders>
            <w:shd w:val="clear" w:color="auto" w:fill="auto"/>
            <w:noWrap/>
            <w:vAlign w:val="bottom"/>
          </w:tcPr>
          <w:p w14:paraId="433184CA" w14:textId="77777777" w:rsidR="004F4CA3" w:rsidRPr="00C15A2E" w:rsidRDefault="004F4CA3"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5DC00FD9"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0.97</w:t>
            </w:r>
          </w:p>
        </w:tc>
        <w:tc>
          <w:tcPr>
            <w:tcW w:w="993" w:type="dxa"/>
            <w:tcBorders>
              <w:top w:val="nil"/>
              <w:left w:val="nil"/>
              <w:bottom w:val="single" w:sz="4" w:space="0" w:color="auto"/>
              <w:right w:val="single" w:sz="4" w:space="0" w:color="auto"/>
            </w:tcBorders>
            <w:shd w:val="clear" w:color="auto" w:fill="auto"/>
            <w:noWrap/>
            <w:vAlign w:val="bottom"/>
          </w:tcPr>
          <w:p w14:paraId="2C2CE933"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0.39</w:t>
            </w:r>
          </w:p>
        </w:tc>
        <w:tc>
          <w:tcPr>
            <w:tcW w:w="1134" w:type="dxa"/>
            <w:tcBorders>
              <w:top w:val="nil"/>
              <w:left w:val="nil"/>
              <w:bottom w:val="single" w:sz="4" w:space="0" w:color="auto"/>
              <w:right w:val="single" w:sz="4" w:space="0" w:color="auto"/>
            </w:tcBorders>
            <w:shd w:val="clear" w:color="auto" w:fill="auto"/>
            <w:noWrap/>
            <w:vAlign w:val="bottom"/>
          </w:tcPr>
          <w:p w14:paraId="51FB1C8C"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29830A97" w14:textId="77777777" w:rsidR="004F4CA3" w:rsidRPr="000114F1" w:rsidRDefault="004F4CA3" w:rsidP="00911870">
            <w:pPr>
              <w:jc w:val="right"/>
              <w:rPr>
                <w:rFonts w:ascii="Arial Narrow" w:hAnsi="Arial Narrow"/>
                <w:color w:val="000000"/>
                <w:sz w:val="20"/>
              </w:rPr>
            </w:pPr>
            <w:r w:rsidRPr="000114F1">
              <w:rPr>
                <w:rFonts w:ascii="Arial Narrow" w:hAnsi="Arial Narrow"/>
                <w:color w:val="000000"/>
                <w:sz w:val="20"/>
              </w:rPr>
              <w:t>0.</w:t>
            </w:r>
            <w:r w:rsidR="00911870" w:rsidRPr="000114F1">
              <w:rPr>
                <w:rFonts w:ascii="Arial Narrow" w:hAnsi="Arial Narrow"/>
                <w:color w:val="000000"/>
                <w:sz w:val="20"/>
              </w:rPr>
              <w:t>8</w:t>
            </w:r>
            <w:r w:rsidR="00911870">
              <w:rPr>
                <w:rFonts w:ascii="Arial Narrow" w:hAnsi="Arial Narrow"/>
                <w:color w:val="000000"/>
                <w:sz w:val="20"/>
              </w:rPr>
              <w:t>9</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33A13A1"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1.00</w:t>
            </w:r>
          </w:p>
        </w:tc>
        <w:tc>
          <w:tcPr>
            <w:tcW w:w="993" w:type="dxa"/>
            <w:tcBorders>
              <w:top w:val="single" w:sz="4" w:space="0" w:color="auto"/>
              <w:left w:val="single" w:sz="4" w:space="0" w:color="auto"/>
              <w:bottom w:val="single" w:sz="4" w:space="0" w:color="auto"/>
              <w:right w:val="single" w:sz="4" w:space="0" w:color="auto"/>
            </w:tcBorders>
            <w:shd w:val="clear" w:color="auto" w:fill="00B050"/>
            <w:vAlign w:val="bottom"/>
          </w:tcPr>
          <w:p w14:paraId="060FD9FD" w14:textId="77777777" w:rsidR="004F4CA3" w:rsidRPr="00872CBA" w:rsidRDefault="004F4CA3" w:rsidP="0001401C">
            <w:pPr>
              <w:jc w:val="right"/>
              <w:rPr>
                <w:rFonts w:ascii="Arial Narrow" w:hAnsi="Arial Narrow"/>
                <w:color w:val="000000"/>
                <w:sz w:val="20"/>
              </w:rPr>
            </w:pPr>
            <w:r w:rsidRPr="00872CBA">
              <w:rPr>
                <w:rFonts w:ascii="Arial Narrow" w:hAnsi="Arial Narrow"/>
                <w:color w:val="000000"/>
                <w:sz w:val="20"/>
              </w:rPr>
              <w:t>0.85</w:t>
            </w:r>
          </w:p>
        </w:tc>
      </w:tr>
      <w:tr w:rsidR="004F4CA3" w:rsidRPr="00C15A2E" w14:paraId="2700BF67" w14:textId="77777777" w:rsidTr="00FA06C2">
        <w:trPr>
          <w:trHeight w:val="240"/>
        </w:trPr>
        <w:tc>
          <w:tcPr>
            <w:tcW w:w="866" w:type="dxa"/>
            <w:vMerge/>
            <w:tcBorders>
              <w:left w:val="single" w:sz="4" w:space="0" w:color="auto"/>
              <w:right w:val="single" w:sz="4" w:space="0" w:color="auto"/>
            </w:tcBorders>
            <w:shd w:val="clear" w:color="auto" w:fill="auto"/>
            <w:noWrap/>
            <w:textDirection w:val="btLr"/>
            <w:vAlign w:val="center"/>
          </w:tcPr>
          <w:p w14:paraId="5C5EF28A" w14:textId="77777777" w:rsidR="004F4CA3" w:rsidRPr="002710DB" w:rsidRDefault="004F4CA3" w:rsidP="0001401C">
            <w:pPr>
              <w:jc w:val="center"/>
              <w:rPr>
                <w:rFonts w:ascii="Arial Narrow" w:hAnsi="Arial Narrow"/>
                <w:b/>
                <w:bCs/>
                <w:sz w:val="20"/>
              </w:rPr>
            </w:pPr>
          </w:p>
        </w:tc>
        <w:tc>
          <w:tcPr>
            <w:tcW w:w="1701" w:type="dxa"/>
            <w:gridSpan w:val="2"/>
            <w:vMerge/>
            <w:tcBorders>
              <w:left w:val="single" w:sz="4" w:space="0" w:color="auto"/>
              <w:bottom w:val="single" w:sz="4" w:space="0" w:color="auto"/>
              <w:right w:val="single" w:sz="4" w:space="0" w:color="auto"/>
            </w:tcBorders>
            <w:shd w:val="clear" w:color="auto" w:fill="auto"/>
            <w:noWrap/>
            <w:vAlign w:val="center"/>
          </w:tcPr>
          <w:p w14:paraId="418B8E5F" w14:textId="77777777" w:rsidR="004F4CA3" w:rsidRPr="00C15A2E" w:rsidRDefault="004F4CA3" w:rsidP="0001401C">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tcPr>
          <w:p w14:paraId="21E19E1E" w14:textId="77777777" w:rsidR="004F4CA3" w:rsidRPr="00C15A2E" w:rsidRDefault="004F4CA3"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677BA2F0"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0.97</w:t>
            </w:r>
          </w:p>
        </w:tc>
        <w:tc>
          <w:tcPr>
            <w:tcW w:w="993" w:type="dxa"/>
            <w:tcBorders>
              <w:top w:val="nil"/>
              <w:left w:val="nil"/>
              <w:bottom w:val="single" w:sz="4" w:space="0" w:color="auto"/>
              <w:right w:val="single" w:sz="4" w:space="0" w:color="auto"/>
            </w:tcBorders>
            <w:shd w:val="clear" w:color="auto" w:fill="auto"/>
            <w:noWrap/>
            <w:vAlign w:val="bottom"/>
          </w:tcPr>
          <w:p w14:paraId="0D26BA51"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0.48</w:t>
            </w:r>
          </w:p>
        </w:tc>
        <w:tc>
          <w:tcPr>
            <w:tcW w:w="1134" w:type="dxa"/>
            <w:tcBorders>
              <w:top w:val="nil"/>
              <w:left w:val="nil"/>
              <w:bottom w:val="single" w:sz="4" w:space="0" w:color="auto"/>
              <w:right w:val="single" w:sz="4" w:space="0" w:color="auto"/>
            </w:tcBorders>
            <w:shd w:val="clear" w:color="auto" w:fill="auto"/>
            <w:noWrap/>
            <w:vAlign w:val="bottom"/>
          </w:tcPr>
          <w:p w14:paraId="21C662D6"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52CA6210"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0.33</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920F41A"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bottom"/>
          </w:tcPr>
          <w:p w14:paraId="40415FB0" w14:textId="77777777" w:rsidR="004F4CA3" w:rsidRPr="00872CBA" w:rsidRDefault="004F4CA3" w:rsidP="0001401C">
            <w:pPr>
              <w:jc w:val="right"/>
              <w:rPr>
                <w:rFonts w:ascii="Arial Narrow" w:hAnsi="Arial Narrow"/>
                <w:color w:val="000000"/>
                <w:sz w:val="20"/>
              </w:rPr>
            </w:pPr>
            <w:r w:rsidRPr="00872CBA">
              <w:rPr>
                <w:rFonts w:ascii="Arial Narrow" w:hAnsi="Arial Narrow"/>
                <w:color w:val="000000"/>
                <w:sz w:val="20"/>
              </w:rPr>
              <w:t>0.66</w:t>
            </w:r>
          </w:p>
        </w:tc>
      </w:tr>
      <w:tr w:rsidR="004F4CA3" w:rsidRPr="00C15A2E" w14:paraId="424EC8AC" w14:textId="77777777" w:rsidTr="00FA06C2">
        <w:trPr>
          <w:trHeight w:val="240"/>
        </w:trPr>
        <w:tc>
          <w:tcPr>
            <w:tcW w:w="866" w:type="dxa"/>
            <w:vMerge/>
            <w:tcBorders>
              <w:left w:val="single" w:sz="4" w:space="0" w:color="auto"/>
              <w:right w:val="single" w:sz="4" w:space="0" w:color="auto"/>
            </w:tcBorders>
            <w:shd w:val="clear" w:color="auto" w:fill="auto"/>
            <w:noWrap/>
            <w:textDirection w:val="btLr"/>
            <w:vAlign w:val="center"/>
            <w:hideMark/>
          </w:tcPr>
          <w:p w14:paraId="62BB8B70" w14:textId="77777777" w:rsidR="004F4CA3" w:rsidRPr="002710DB" w:rsidRDefault="004F4CA3" w:rsidP="0001401C">
            <w:pPr>
              <w:jc w:val="center"/>
              <w:rPr>
                <w:rFonts w:ascii="Arial Narrow" w:hAnsi="Arial Narrow"/>
                <w:b/>
                <w:bCs/>
                <w:sz w:val="20"/>
              </w:rPr>
            </w:pPr>
          </w:p>
        </w:tc>
        <w:tc>
          <w:tcPr>
            <w:tcW w:w="1701" w:type="dxa"/>
            <w:gridSpan w:val="2"/>
            <w:vMerge w:val="restart"/>
            <w:tcBorders>
              <w:top w:val="nil"/>
              <w:left w:val="single" w:sz="4" w:space="0" w:color="auto"/>
              <w:bottom w:val="single" w:sz="4" w:space="0" w:color="auto"/>
              <w:right w:val="single" w:sz="4" w:space="0" w:color="auto"/>
            </w:tcBorders>
            <w:shd w:val="clear" w:color="auto" w:fill="auto"/>
            <w:noWrap/>
            <w:vAlign w:val="center"/>
          </w:tcPr>
          <w:p w14:paraId="4FE12A4B" w14:textId="77777777" w:rsidR="004F4CA3" w:rsidRPr="00C15A2E" w:rsidRDefault="004F4CA3" w:rsidP="0001401C">
            <w:pPr>
              <w:rPr>
                <w:rFonts w:ascii="Arial Narrow" w:hAnsi="Arial Narrow"/>
                <w:bCs/>
                <w:sz w:val="20"/>
              </w:rPr>
            </w:pPr>
            <w:r w:rsidRPr="00C15A2E">
              <w:rPr>
                <w:rFonts w:ascii="Arial Narrow" w:hAnsi="Arial Narrow"/>
                <w:bCs/>
                <w:sz w:val="20"/>
              </w:rPr>
              <w:t>Seaforth</w:t>
            </w:r>
          </w:p>
        </w:tc>
        <w:tc>
          <w:tcPr>
            <w:tcW w:w="425" w:type="dxa"/>
            <w:tcBorders>
              <w:top w:val="nil"/>
              <w:left w:val="nil"/>
              <w:bottom w:val="single" w:sz="4" w:space="0" w:color="auto"/>
              <w:right w:val="single" w:sz="4" w:space="0" w:color="auto"/>
            </w:tcBorders>
            <w:shd w:val="clear" w:color="auto" w:fill="auto"/>
            <w:noWrap/>
            <w:vAlign w:val="bottom"/>
          </w:tcPr>
          <w:p w14:paraId="0C205A96" w14:textId="77777777" w:rsidR="004F4CA3" w:rsidRPr="00C15A2E" w:rsidRDefault="004F4CA3"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503FF014"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0.38</w:t>
            </w:r>
          </w:p>
        </w:tc>
        <w:tc>
          <w:tcPr>
            <w:tcW w:w="993" w:type="dxa"/>
            <w:tcBorders>
              <w:top w:val="nil"/>
              <w:left w:val="nil"/>
              <w:bottom w:val="single" w:sz="4" w:space="0" w:color="auto"/>
              <w:right w:val="single" w:sz="4" w:space="0" w:color="auto"/>
            </w:tcBorders>
            <w:shd w:val="clear" w:color="auto" w:fill="auto"/>
            <w:noWrap/>
            <w:vAlign w:val="bottom"/>
          </w:tcPr>
          <w:p w14:paraId="3FEA02F6"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0.47</w:t>
            </w:r>
          </w:p>
        </w:tc>
        <w:tc>
          <w:tcPr>
            <w:tcW w:w="1134" w:type="dxa"/>
            <w:tcBorders>
              <w:top w:val="nil"/>
              <w:left w:val="nil"/>
              <w:bottom w:val="single" w:sz="4" w:space="0" w:color="auto"/>
              <w:right w:val="single" w:sz="4" w:space="0" w:color="auto"/>
            </w:tcBorders>
            <w:shd w:val="clear" w:color="auto" w:fill="auto"/>
            <w:noWrap/>
            <w:vAlign w:val="bottom"/>
          </w:tcPr>
          <w:p w14:paraId="0F806D17"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4CE5B70A"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0.40</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3ABD081"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bottom"/>
          </w:tcPr>
          <w:p w14:paraId="116A9E7C" w14:textId="77777777" w:rsidR="004F4CA3" w:rsidRPr="00872CBA" w:rsidRDefault="004F4CA3" w:rsidP="0001401C">
            <w:pPr>
              <w:jc w:val="right"/>
              <w:rPr>
                <w:rFonts w:ascii="Arial Narrow" w:hAnsi="Arial Narrow"/>
                <w:color w:val="000000"/>
                <w:sz w:val="20"/>
              </w:rPr>
            </w:pPr>
            <w:r w:rsidRPr="00872CBA">
              <w:rPr>
                <w:rFonts w:ascii="Arial Narrow" w:hAnsi="Arial Narrow"/>
                <w:color w:val="000000"/>
                <w:sz w:val="20"/>
              </w:rPr>
              <w:t>0.35</w:t>
            </w:r>
          </w:p>
        </w:tc>
      </w:tr>
      <w:tr w:rsidR="004F4CA3" w:rsidRPr="00C15A2E" w14:paraId="192268F2" w14:textId="77777777" w:rsidTr="00FA06C2">
        <w:trPr>
          <w:trHeight w:val="240"/>
        </w:trPr>
        <w:tc>
          <w:tcPr>
            <w:tcW w:w="866" w:type="dxa"/>
            <w:vMerge/>
            <w:tcBorders>
              <w:left w:val="single" w:sz="4" w:space="0" w:color="auto"/>
              <w:right w:val="single" w:sz="4" w:space="0" w:color="auto"/>
            </w:tcBorders>
            <w:vAlign w:val="center"/>
            <w:hideMark/>
          </w:tcPr>
          <w:p w14:paraId="63754F37" w14:textId="77777777" w:rsidR="004F4CA3" w:rsidRPr="00C27327" w:rsidRDefault="004F4CA3" w:rsidP="0001401C">
            <w:pPr>
              <w:rPr>
                <w:rFonts w:ascii="Arial Narrow" w:hAnsi="Arial Narrow"/>
                <w:b/>
                <w:bCs/>
                <w:sz w:val="20"/>
              </w:rPr>
            </w:pPr>
          </w:p>
        </w:tc>
        <w:tc>
          <w:tcPr>
            <w:tcW w:w="1701" w:type="dxa"/>
            <w:gridSpan w:val="2"/>
            <w:vMerge/>
            <w:tcBorders>
              <w:top w:val="nil"/>
              <w:left w:val="single" w:sz="4" w:space="0" w:color="auto"/>
              <w:bottom w:val="single" w:sz="4" w:space="0" w:color="auto"/>
              <w:right w:val="single" w:sz="4" w:space="0" w:color="auto"/>
            </w:tcBorders>
            <w:vAlign w:val="center"/>
          </w:tcPr>
          <w:p w14:paraId="266CDDEE" w14:textId="77777777" w:rsidR="004F4CA3" w:rsidRPr="00C15A2E" w:rsidRDefault="004F4CA3" w:rsidP="0001401C">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tcPr>
          <w:p w14:paraId="398AAAFC" w14:textId="77777777" w:rsidR="004F4CA3" w:rsidRPr="00C15A2E" w:rsidRDefault="004F4CA3" w:rsidP="0001401C">
            <w:pPr>
              <w:jc w:val="center"/>
              <w:rPr>
                <w:rFonts w:ascii="Arial Narrow" w:hAnsi="Arial Narrow"/>
                <w:bCs/>
                <w:sz w:val="20"/>
              </w:rPr>
            </w:pPr>
            <w:r>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17CE4FE1"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0.23</w:t>
            </w:r>
          </w:p>
        </w:tc>
        <w:tc>
          <w:tcPr>
            <w:tcW w:w="993" w:type="dxa"/>
            <w:tcBorders>
              <w:top w:val="nil"/>
              <w:left w:val="nil"/>
              <w:bottom w:val="single" w:sz="4" w:space="0" w:color="auto"/>
              <w:right w:val="single" w:sz="4" w:space="0" w:color="auto"/>
            </w:tcBorders>
            <w:shd w:val="clear" w:color="auto" w:fill="auto"/>
            <w:noWrap/>
            <w:vAlign w:val="bottom"/>
          </w:tcPr>
          <w:p w14:paraId="60DB2568"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0.70</w:t>
            </w:r>
          </w:p>
        </w:tc>
        <w:tc>
          <w:tcPr>
            <w:tcW w:w="1134" w:type="dxa"/>
            <w:tcBorders>
              <w:top w:val="nil"/>
              <w:left w:val="nil"/>
              <w:bottom w:val="single" w:sz="4" w:space="0" w:color="auto"/>
              <w:right w:val="single" w:sz="4" w:space="0" w:color="auto"/>
            </w:tcBorders>
            <w:shd w:val="clear" w:color="auto" w:fill="auto"/>
            <w:noWrap/>
            <w:vAlign w:val="bottom"/>
          </w:tcPr>
          <w:p w14:paraId="5236E93C"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1F9E9690"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0.00</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202DE24"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1.00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bottom"/>
          </w:tcPr>
          <w:p w14:paraId="6310DE06" w14:textId="77777777" w:rsidR="004F4CA3" w:rsidRPr="00872CBA" w:rsidRDefault="004F4CA3" w:rsidP="0001401C">
            <w:pPr>
              <w:jc w:val="right"/>
              <w:rPr>
                <w:rFonts w:ascii="Arial Narrow" w:hAnsi="Arial Narrow"/>
                <w:color w:val="000000"/>
                <w:sz w:val="20"/>
              </w:rPr>
            </w:pPr>
            <w:r w:rsidRPr="00872CBA">
              <w:rPr>
                <w:rFonts w:ascii="Arial Narrow" w:hAnsi="Arial Narrow"/>
                <w:color w:val="000000"/>
                <w:sz w:val="20"/>
              </w:rPr>
              <w:t>0.39</w:t>
            </w:r>
          </w:p>
        </w:tc>
      </w:tr>
      <w:tr w:rsidR="004F4CA3" w:rsidRPr="00C15A2E" w14:paraId="6C753147" w14:textId="77777777" w:rsidTr="00AE0BFC">
        <w:trPr>
          <w:trHeight w:val="240"/>
        </w:trPr>
        <w:tc>
          <w:tcPr>
            <w:tcW w:w="866" w:type="dxa"/>
            <w:vMerge/>
            <w:tcBorders>
              <w:left w:val="single" w:sz="4" w:space="0" w:color="auto"/>
              <w:right w:val="single" w:sz="4" w:space="0" w:color="auto"/>
            </w:tcBorders>
            <w:vAlign w:val="center"/>
            <w:hideMark/>
          </w:tcPr>
          <w:p w14:paraId="5820BA72" w14:textId="77777777" w:rsidR="004F4CA3" w:rsidRPr="00C27327" w:rsidRDefault="004F4CA3" w:rsidP="0001401C">
            <w:pPr>
              <w:rPr>
                <w:rFonts w:ascii="Arial Narrow" w:hAnsi="Arial Narrow"/>
                <w:b/>
                <w:bCs/>
                <w:sz w:val="20"/>
              </w:rPr>
            </w:pPr>
          </w:p>
        </w:tc>
        <w:tc>
          <w:tcPr>
            <w:tcW w:w="1701" w:type="dxa"/>
            <w:gridSpan w:val="2"/>
            <w:vMerge w:val="restart"/>
            <w:tcBorders>
              <w:top w:val="nil"/>
              <w:left w:val="single" w:sz="4" w:space="0" w:color="auto"/>
              <w:bottom w:val="single" w:sz="4" w:space="0" w:color="auto"/>
              <w:right w:val="single" w:sz="4" w:space="0" w:color="auto"/>
            </w:tcBorders>
            <w:shd w:val="clear" w:color="auto" w:fill="auto"/>
            <w:noWrap/>
            <w:vAlign w:val="center"/>
          </w:tcPr>
          <w:p w14:paraId="7A9D7988" w14:textId="77777777" w:rsidR="004F4CA3" w:rsidRPr="00C15A2E" w:rsidRDefault="004F4CA3" w:rsidP="0001401C">
            <w:pPr>
              <w:rPr>
                <w:rFonts w:ascii="Arial Narrow" w:hAnsi="Arial Narrow"/>
                <w:bCs/>
                <w:sz w:val="20"/>
              </w:rPr>
            </w:pPr>
            <w:r w:rsidRPr="00C15A2E">
              <w:rPr>
                <w:rFonts w:ascii="Arial Narrow" w:hAnsi="Arial Narrow"/>
                <w:bCs/>
                <w:sz w:val="20"/>
              </w:rPr>
              <w:t>Dent</w:t>
            </w:r>
          </w:p>
        </w:tc>
        <w:tc>
          <w:tcPr>
            <w:tcW w:w="425" w:type="dxa"/>
            <w:tcBorders>
              <w:top w:val="nil"/>
              <w:left w:val="nil"/>
              <w:bottom w:val="single" w:sz="4" w:space="0" w:color="auto"/>
              <w:right w:val="single" w:sz="4" w:space="0" w:color="auto"/>
            </w:tcBorders>
            <w:shd w:val="clear" w:color="auto" w:fill="auto"/>
            <w:noWrap/>
            <w:vAlign w:val="bottom"/>
          </w:tcPr>
          <w:p w14:paraId="064C599C" w14:textId="77777777" w:rsidR="004F4CA3" w:rsidRPr="00C15A2E" w:rsidRDefault="004F4CA3"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3A166B3F"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0.90</w:t>
            </w:r>
          </w:p>
        </w:tc>
        <w:tc>
          <w:tcPr>
            <w:tcW w:w="993" w:type="dxa"/>
            <w:tcBorders>
              <w:top w:val="nil"/>
              <w:left w:val="nil"/>
              <w:bottom w:val="single" w:sz="4" w:space="0" w:color="auto"/>
              <w:right w:val="single" w:sz="4" w:space="0" w:color="auto"/>
            </w:tcBorders>
            <w:shd w:val="clear" w:color="auto" w:fill="auto"/>
            <w:noWrap/>
            <w:vAlign w:val="bottom"/>
          </w:tcPr>
          <w:p w14:paraId="091D24DC"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0.38</w:t>
            </w:r>
          </w:p>
        </w:tc>
        <w:tc>
          <w:tcPr>
            <w:tcW w:w="1134" w:type="dxa"/>
            <w:tcBorders>
              <w:top w:val="nil"/>
              <w:left w:val="nil"/>
              <w:bottom w:val="single" w:sz="4" w:space="0" w:color="auto"/>
              <w:right w:val="single" w:sz="4" w:space="0" w:color="auto"/>
            </w:tcBorders>
            <w:shd w:val="clear" w:color="auto" w:fill="auto"/>
            <w:noWrap/>
            <w:vAlign w:val="bottom"/>
          </w:tcPr>
          <w:p w14:paraId="3E1BBEA6"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496DBF05" w14:textId="77777777" w:rsidR="004F4CA3" w:rsidRPr="000114F1" w:rsidRDefault="004F4CA3" w:rsidP="00097F55">
            <w:pPr>
              <w:jc w:val="right"/>
              <w:rPr>
                <w:rFonts w:ascii="Arial Narrow" w:hAnsi="Arial Narrow"/>
                <w:color w:val="000000"/>
                <w:sz w:val="20"/>
              </w:rPr>
            </w:pPr>
            <w:r w:rsidRPr="000114F1">
              <w:rPr>
                <w:rFonts w:ascii="Arial Narrow" w:hAnsi="Arial Narrow"/>
                <w:color w:val="000000"/>
                <w:sz w:val="20"/>
              </w:rPr>
              <w:t>0.</w:t>
            </w:r>
            <w:r w:rsidR="00097F55">
              <w:rPr>
                <w:rFonts w:ascii="Arial Narrow" w:hAnsi="Arial Narrow"/>
                <w:color w:val="000000"/>
                <w:sz w:val="20"/>
              </w:rPr>
              <w:t>80</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245FF0E"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1.00</w:t>
            </w:r>
          </w:p>
        </w:tc>
        <w:tc>
          <w:tcPr>
            <w:tcW w:w="993" w:type="dxa"/>
            <w:tcBorders>
              <w:top w:val="single" w:sz="4" w:space="0" w:color="auto"/>
              <w:left w:val="single" w:sz="4" w:space="0" w:color="auto"/>
              <w:bottom w:val="single" w:sz="4" w:space="0" w:color="auto"/>
              <w:right w:val="single" w:sz="4" w:space="0" w:color="auto"/>
            </w:tcBorders>
            <w:shd w:val="clear" w:color="auto" w:fill="00B050"/>
            <w:vAlign w:val="bottom"/>
          </w:tcPr>
          <w:p w14:paraId="22568691" w14:textId="77777777" w:rsidR="004F4CA3" w:rsidRPr="00872CBA" w:rsidRDefault="004F4CA3" w:rsidP="0001401C">
            <w:pPr>
              <w:jc w:val="right"/>
              <w:rPr>
                <w:rFonts w:ascii="Arial Narrow" w:hAnsi="Arial Narrow"/>
                <w:color w:val="000000"/>
                <w:sz w:val="20"/>
              </w:rPr>
            </w:pPr>
            <w:r w:rsidRPr="00872CBA">
              <w:rPr>
                <w:rFonts w:ascii="Arial Narrow" w:hAnsi="Arial Narrow"/>
                <w:color w:val="000000"/>
                <w:sz w:val="20"/>
              </w:rPr>
              <w:t>0.8</w:t>
            </w:r>
            <w:r w:rsidR="00097F55">
              <w:rPr>
                <w:rFonts w:ascii="Arial Narrow" w:hAnsi="Arial Narrow"/>
                <w:color w:val="000000"/>
                <w:sz w:val="20"/>
              </w:rPr>
              <w:t>2</w:t>
            </w:r>
          </w:p>
        </w:tc>
      </w:tr>
      <w:tr w:rsidR="004F4CA3" w:rsidRPr="00C15A2E" w14:paraId="491CE790" w14:textId="77777777" w:rsidTr="00AE0BFC">
        <w:trPr>
          <w:trHeight w:val="240"/>
        </w:trPr>
        <w:tc>
          <w:tcPr>
            <w:tcW w:w="866" w:type="dxa"/>
            <w:vMerge/>
            <w:tcBorders>
              <w:left w:val="single" w:sz="4" w:space="0" w:color="auto"/>
              <w:right w:val="single" w:sz="4" w:space="0" w:color="auto"/>
            </w:tcBorders>
            <w:vAlign w:val="center"/>
            <w:hideMark/>
          </w:tcPr>
          <w:p w14:paraId="66F0715E" w14:textId="77777777" w:rsidR="004F4CA3" w:rsidRPr="00C27327" w:rsidRDefault="004F4CA3" w:rsidP="0001401C">
            <w:pPr>
              <w:rPr>
                <w:rFonts w:ascii="Arial Narrow" w:hAnsi="Arial Narrow"/>
                <w:b/>
                <w:bCs/>
                <w:sz w:val="20"/>
              </w:rPr>
            </w:pPr>
          </w:p>
        </w:tc>
        <w:tc>
          <w:tcPr>
            <w:tcW w:w="1701" w:type="dxa"/>
            <w:gridSpan w:val="2"/>
            <w:vMerge/>
            <w:tcBorders>
              <w:top w:val="nil"/>
              <w:left w:val="single" w:sz="4" w:space="0" w:color="auto"/>
              <w:bottom w:val="single" w:sz="4" w:space="0" w:color="auto"/>
              <w:right w:val="single" w:sz="4" w:space="0" w:color="auto"/>
            </w:tcBorders>
            <w:vAlign w:val="center"/>
          </w:tcPr>
          <w:p w14:paraId="313A17AA" w14:textId="77777777" w:rsidR="004F4CA3" w:rsidRPr="00C15A2E" w:rsidRDefault="004F4CA3" w:rsidP="0001401C">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tcPr>
          <w:p w14:paraId="1CAA998B" w14:textId="77777777" w:rsidR="004F4CA3" w:rsidRPr="00C15A2E" w:rsidRDefault="004F4CA3"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57D13998"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0.74</w:t>
            </w:r>
          </w:p>
        </w:tc>
        <w:tc>
          <w:tcPr>
            <w:tcW w:w="993" w:type="dxa"/>
            <w:tcBorders>
              <w:top w:val="nil"/>
              <w:left w:val="nil"/>
              <w:bottom w:val="single" w:sz="4" w:space="0" w:color="auto"/>
              <w:right w:val="single" w:sz="4" w:space="0" w:color="auto"/>
            </w:tcBorders>
            <w:shd w:val="clear" w:color="auto" w:fill="auto"/>
            <w:noWrap/>
            <w:vAlign w:val="bottom"/>
          </w:tcPr>
          <w:p w14:paraId="109B5CBB"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0.50</w:t>
            </w:r>
          </w:p>
        </w:tc>
        <w:tc>
          <w:tcPr>
            <w:tcW w:w="1134" w:type="dxa"/>
            <w:tcBorders>
              <w:top w:val="nil"/>
              <w:left w:val="nil"/>
              <w:bottom w:val="single" w:sz="4" w:space="0" w:color="auto"/>
              <w:right w:val="single" w:sz="4" w:space="0" w:color="auto"/>
            </w:tcBorders>
            <w:shd w:val="clear" w:color="auto" w:fill="auto"/>
            <w:noWrap/>
            <w:vAlign w:val="bottom"/>
          </w:tcPr>
          <w:p w14:paraId="3341239D"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0.95</w:t>
            </w:r>
          </w:p>
        </w:tc>
        <w:tc>
          <w:tcPr>
            <w:tcW w:w="1134" w:type="dxa"/>
            <w:tcBorders>
              <w:top w:val="nil"/>
              <w:left w:val="nil"/>
              <w:bottom w:val="single" w:sz="4" w:space="0" w:color="auto"/>
              <w:right w:val="single" w:sz="4" w:space="0" w:color="auto"/>
            </w:tcBorders>
            <w:shd w:val="clear" w:color="auto" w:fill="auto"/>
            <w:noWrap/>
            <w:vAlign w:val="bottom"/>
          </w:tcPr>
          <w:p w14:paraId="650001EB"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0.66</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C5683F0" w14:textId="77777777" w:rsidR="004F4CA3" w:rsidRPr="000114F1" w:rsidRDefault="004F4CA3"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92D050"/>
            <w:vAlign w:val="bottom"/>
          </w:tcPr>
          <w:p w14:paraId="2E1079C9" w14:textId="77777777" w:rsidR="004F4CA3" w:rsidRPr="00872CBA" w:rsidRDefault="004F4CA3" w:rsidP="0001401C">
            <w:pPr>
              <w:jc w:val="right"/>
              <w:rPr>
                <w:rFonts w:ascii="Arial Narrow" w:hAnsi="Arial Narrow"/>
                <w:color w:val="000000"/>
                <w:sz w:val="20"/>
              </w:rPr>
            </w:pPr>
            <w:r w:rsidRPr="00872CBA">
              <w:rPr>
                <w:rFonts w:ascii="Arial Narrow" w:hAnsi="Arial Narrow"/>
                <w:color w:val="000000"/>
                <w:sz w:val="20"/>
              </w:rPr>
              <w:t>0.67</w:t>
            </w:r>
          </w:p>
        </w:tc>
      </w:tr>
      <w:tr w:rsidR="0070017D" w:rsidRPr="00C15A2E" w14:paraId="222E6EA8" w14:textId="77777777" w:rsidTr="001F2F84">
        <w:trPr>
          <w:trHeight w:val="240"/>
        </w:trPr>
        <w:tc>
          <w:tcPr>
            <w:tcW w:w="866" w:type="dxa"/>
            <w:vMerge/>
            <w:tcBorders>
              <w:left w:val="single" w:sz="4" w:space="0" w:color="auto"/>
              <w:right w:val="single" w:sz="4" w:space="0" w:color="auto"/>
            </w:tcBorders>
            <w:vAlign w:val="center"/>
            <w:hideMark/>
          </w:tcPr>
          <w:p w14:paraId="74EC6D74" w14:textId="77777777" w:rsidR="0070017D" w:rsidRPr="00C27327" w:rsidRDefault="0070017D" w:rsidP="0001401C">
            <w:pPr>
              <w:rPr>
                <w:rFonts w:ascii="Arial Narrow" w:hAnsi="Arial Narrow"/>
                <w:b/>
                <w:bCs/>
                <w:sz w:val="20"/>
              </w:rPr>
            </w:pPr>
          </w:p>
        </w:tc>
        <w:tc>
          <w:tcPr>
            <w:tcW w:w="1701" w:type="dxa"/>
            <w:gridSpan w:val="2"/>
            <w:vMerge w:val="restart"/>
            <w:tcBorders>
              <w:top w:val="nil"/>
              <w:left w:val="single" w:sz="4" w:space="0" w:color="auto"/>
              <w:bottom w:val="single" w:sz="4" w:space="0" w:color="auto"/>
              <w:right w:val="single" w:sz="4" w:space="0" w:color="auto"/>
            </w:tcBorders>
            <w:shd w:val="clear" w:color="auto" w:fill="auto"/>
            <w:noWrap/>
            <w:vAlign w:val="center"/>
            <w:hideMark/>
          </w:tcPr>
          <w:p w14:paraId="2D2FFBCB" w14:textId="77777777" w:rsidR="0070017D" w:rsidRPr="00C15A2E" w:rsidRDefault="0070017D" w:rsidP="0001401C">
            <w:pPr>
              <w:rPr>
                <w:rFonts w:ascii="Arial Narrow" w:hAnsi="Arial Narrow"/>
                <w:bCs/>
                <w:sz w:val="20"/>
              </w:rPr>
            </w:pPr>
            <w:r w:rsidRPr="00C15A2E">
              <w:rPr>
                <w:rFonts w:ascii="Arial Narrow" w:hAnsi="Arial Narrow"/>
                <w:bCs/>
                <w:sz w:val="20"/>
              </w:rPr>
              <w:t>Daydream</w:t>
            </w:r>
          </w:p>
        </w:tc>
        <w:tc>
          <w:tcPr>
            <w:tcW w:w="425" w:type="dxa"/>
            <w:tcBorders>
              <w:top w:val="nil"/>
              <w:left w:val="nil"/>
              <w:bottom w:val="single" w:sz="4" w:space="0" w:color="auto"/>
              <w:right w:val="single" w:sz="4" w:space="0" w:color="auto"/>
            </w:tcBorders>
            <w:shd w:val="clear" w:color="auto" w:fill="auto"/>
            <w:noWrap/>
            <w:vAlign w:val="bottom"/>
            <w:hideMark/>
          </w:tcPr>
          <w:p w14:paraId="24DB6FF1" w14:textId="77777777" w:rsidR="0070017D" w:rsidRPr="00C15A2E" w:rsidRDefault="0070017D"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1162382F"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0.42</w:t>
            </w:r>
          </w:p>
        </w:tc>
        <w:tc>
          <w:tcPr>
            <w:tcW w:w="993" w:type="dxa"/>
            <w:tcBorders>
              <w:top w:val="nil"/>
              <w:left w:val="nil"/>
              <w:bottom w:val="single" w:sz="4" w:space="0" w:color="auto"/>
              <w:right w:val="single" w:sz="4" w:space="0" w:color="auto"/>
            </w:tcBorders>
            <w:shd w:val="clear" w:color="auto" w:fill="auto"/>
            <w:noWrap/>
            <w:vAlign w:val="bottom"/>
          </w:tcPr>
          <w:p w14:paraId="00122F6E"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0.45</w:t>
            </w:r>
          </w:p>
        </w:tc>
        <w:tc>
          <w:tcPr>
            <w:tcW w:w="1134" w:type="dxa"/>
            <w:tcBorders>
              <w:top w:val="nil"/>
              <w:left w:val="nil"/>
              <w:bottom w:val="single" w:sz="4" w:space="0" w:color="auto"/>
              <w:right w:val="single" w:sz="4" w:space="0" w:color="auto"/>
            </w:tcBorders>
            <w:shd w:val="clear" w:color="auto" w:fill="auto"/>
            <w:noWrap/>
            <w:vAlign w:val="bottom"/>
          </w:tcPr>
          <w:p w14:paraId="54B245F5"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5632AE48"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0.40</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154E54F"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60EDE9C7" w14:textId="77777777" w:rsidR="0070017D" w:rsidRPr="00872CBA" w:rsidRDefault="0070017D" w:rsidP="0001401C">
            <w:pPr>
              <w:jc w:val="right"/>
              <w:rPr>
                <w:rFonts w:ascii="Arial Narrow" w:hAnsi="Arial Narrow"/>
                <w:color w:val="000000"/>
                <w:sz w:val="20"/>
              </w:rPr>
            </w:pPr>
            <w:r w:rsidRPr="00872CBA">
              <w:rPr>
                <w:rFonts w:ascii="Arial Narrow" w:hAnsi="Arial Narrow"/>
                <w:color w:val="000000"/>
                <w:sz w:val="20"/>
              </w:rPr>
              <w:t>0.45</w:t>
            </w:r>
          </w:p>
        </w:tc>
      </w:tr>
      <w:tr w:rsidR="0070017D" w:rsidRPr="00C15A2E" w14:paraId="27DFB413" w14:textId="77777777" w:rsidTr="001F2F84">
        <w:trPr>
          <w:trHeight w:val="240"/>
        </w:trPr>
        <w:tc>
          <w:tcPr>
            <w:tcW w:w="866" w:type="dxa"/>
            <w:vMerge/>
            <w:tcBorders>
              <w:left w:val="single" w:sz="4" w:space="0" w:color="auto"/>
              <w:right w:val="single" w:sz="4" w:space="0" w:color="auto"/>
            </w:tcBorders>
            <w:vAlign w:val="center"/>
            <w:hideMark/>
          </w:tcPr>
          <w:p w14:paraId="6A57E411" w14:textId="77777777" w:rsidR="0070017D" w:rsidRPr="00C27327" w:rsidRDefault="0070017D" w:rsidP="0001401C">
            <w:pPr>
              <w:rPr>
                <w:rFonts w:ascii="Arial Narrow" w:hAnsi="Arial Narrow"/>
                <w:b/>
                <w:bCs/>
                <w:sz w:val="20"/>
              </w:rPr>
            </w:pPr>
          </w:p>
        </w:tc>
        <w:tc>
          <w:tcPr>
            <w:tcW w:w="1701" w:type="dxa"/>
            <w:gridSpan w:val="2"/>
            <w:vMerge/>
            <w:tcBorders>
              <w:top w:val="nil"/>
              <w:left w:val="single" w:sz="4" w:space="0" w:color="auto"/>
              <w:bottom w:val="single" w:sz="4" w:space="0" w:color="auto"/>
              <w:right w:val="single" w:sz="4" w:space="0" w:color="auto"/>
            </w:tcBorders>
            <w:vAlign w:val="center"/>
            <w:hideMark/>
          </w:tcPr>
          <w:p w14:paraId="48D5537D" w14:textId="77777777" w:rsidR="0070017D" w:rsidRPr="00C15A2E" w:rsidRDefault="0070017D" w:rsidP="0001401C">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hideMark/>
          </w:tcPr>
          <w:p w14:paraId="3AF0D128"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4394B0D7"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0.42</w:t>
            </w:r>
          </w:p>
        </w:tc>
        <w:tc>
          <w:tcPr>
            <w:tcW w:w="993" w:type="dxa"/>
            <w:tcBorders>
              <w:top w:val="nil"/>
              <w:left w:val="nil"/>
              <w:bottom w:val="single" w:sz="4" w:space="0" w:color="auto"/>
              <w:right w:val="single" w:sz="4" w:space="0" w:color="auto"/>
            </w:tcBorders>
            <w:shd w:val="clear" w:color="auto" w:fill="auto"/>
            <w:noWrap/>
            <w:vAlign w:val="bottom"/>
          </w:tcPr>
          <w:p w14:paraId="3A51029F"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0.76</w:t>
            </w:r>
          </w:p>
        </w:tc>
        <w:tc>
          <w:tcPr>
            <w:tcW w:w="1134" w:type="dxa"/>
            <w:tcBorders>
              <w:top w:val="nil"/>
              <w:left w:val="nil"/>
              <w:bottom w:val="single" w:sz="4" w:space="0" w:color="auto"/>
              <w:right w:val="single" w:sz="4" w:space="0" w:color="auto"/>
            </w:tcBorders>
            <w:shd w:val="clear" w:color="auto" w:fill="auto"/>
            <w:noWrap/>
            <w:vAlign w:val="bottom"/>
          </w:tcPr>
          <w:p w14:paraId="50DE516C"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0.87</w:t>
            </w:r>
          </w:p>
        </w:tc>
        <w:tc>
          <w:tcPr>
            <w:tcW w:w="1134" w:type="dxa"/>
            <w:tcBorders>
              <w:top w:val="nil"/>
              <w:left w:val="nil"/>
              <w:bottom w:val="single" w:sz="4" w:space="0" w:color="auto"/>
              <w:right w:val="single" w:sz="4" w:space="0" w:color="auto"/>
            </w:tcBorders>
            <w:shd w:val="clear" w:color="auto" w:fill="auto"/>
            <w:noWrap/>
            <w:vAlign w:val="bottom"/>
          </w:tcPr>
          <w:p w14:paraId="7BE676E5"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0.38</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36C2727"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7726D5A9" w14:textId="77777777" w:rsidR="0070017D" w:rsidRPr="00872CBA" w:rsidRDefault="0070017D" w:rsidP="0001401C">
            <w:pPr>
              <w:jc w:val="right"/>
              <w:rPr>
                <w:rFonts w:ascii="Arial Narrow" w:hAnsi="Arial Narrow"/>
                <w:color w:val="000000"/>
                <w:sz w:val="20"/>
              </w:rPr>
            </w:pPr>
            <w:r w:rsidRPr="00872CBA">
              <w:rPr>
                <w:rFonts w:ascii="Arial Narrow" w:hAnsi="Arial Narrow"/>
                <w:color w:val="000000"/>
                <w:sz w:val="20"/>
              </w:rPr>
              <w:t>0.49</w:t>
            </w:r>
          </w:p>
        </w:tc>
      </w:tr>
      <w:tr w:rsidR="0070017D" w:rsidRPr="00C15A2E" w14:paraId="1742298D" w14:textId="77777777" w:rsidTr="00AE0BFC">
        <w:trPr>
          <w:trHeight w:val="240"/>
        </w:trPr>
        <w:tc>
          <w:tcPr>
            <w:tcW w:w="866" w:type="dxa"/>
            <w:vMerge/>
            <w:tcBorders>
              <w:left w:val="single" w:sz="4" w:space="0" w:color="auto"/>
              <w:right w:val="single" w:sz="4" w:space="0" w:color="auto"/>
            </w:tcBorders>
            <w:vAlign w:val="center"/>
            <w:hideMark/>
          </w:tcPr>
          <w:p w14:paraId="4C0C0429" w14:textId="77777777" w:rsidR="0070017D" w:rsidRPr="00C27327" w:rsidRDefault="0070017D" w:rsidP="0001401C">
            <w:pPr>
              <w:rPr>
                <w:rFonts w:ascii="Arial Narrow" w:hAnsi="Arial Narrow"/>
                <w:b/>
                <w:bCs/>
                <w:sz w:val="20"/>
              </w:rPr>
            </w:pPr>
          </w:p>
        </w:tc>
        <w:tc>
          <w:tcPr>
            <w:tcW w:w="1701" w:type="dxa"/>
            <w:gridSpan w:val="2"/>
            <w:vMerge w:val="restart"/>
            <w:tcBorders>
              <w:top w:val="nil"/>
              <w:left w:val="single" w:sz="4" w:space="0" w:color="auto"/>
              <w:bottom w:val="single" w:sz="4" w:space="0" w:color="auto"/>
              <w:right w:val="single" w:sz="4" w:space="0" w:color="auto"/>
            </w:tcBorders>
            <w:shd w:val="clear" w:color="auto" w:fill="auto"/>
            <w:noWrap/>
            <w:vAlign w:val="center"/>
            <w:hideMark/>
          </w:tcPr>
          <w:p w14:paraId="040868C6" w14:textId="77777777" w:rsidR="0070017D" w:rsidRPr="00C15A2E" w:rsidRDefault="0070017D" w:rsidP="0001401C">
            <w:pPr>
              <w:rPr>
                <w:rFonts w:ascii="Arial Narrow" w:hAnsi="Arial Narrow"/>
                <w:bCs/>
                <w:sz w:val="20"/>
              </w:rPr>
            </w:pPr>
            <w:r w:rsidRPr="00C15A2E">
              <w:rPr>
                <w:rFonts w:ascii="Arial Narrow" w:hAnsi="Arial Narrow"/>
                <w:bCs/>
                <w:sz w:val="20"/>
              </w:rPr>
              <w:t>Shute harbour</w:t>
            </w:r>
          </w:p>
        </w:tc>
        <w:tc>
          <w:tcPr>
            <w:tcW w:w="425" w:type="dxa"/>
            <w:tcBorders>
              <w:top w:val="nil"/>
              <w:left w:val="nil"/>
              <w:bottom w:val="single" w:sz="4" w:space="0" w:color="auto"/>
              <w:right w:val="single" w:sz="4" w:space="0" w:color="auto"/>
            </w:tcBorders>
            <w:shd w:val="clear" w:color="auto" w:fill="auto"/>
            <w:noWrap/>
            <w:vAlign w:val="bottom"/>
            <w:hideMark/>
          </w:tcPr>
          <w:p w14:paraId="51A8192B" w14:textId="77777777" w:rsidR="0070017D" w:rsidRPr="00C15A2E" w:rsidRDefault="0070017D"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38DA6B07"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0.86</w:t>
            </w:r>
          </w:p>
        </w:tc>
        <w:tc>
          <w:tcPr>
            <w:tcW w:w="993" w:type="dxa"/>
            <w:tcBorders>
              <w:top w:val="nil"/>
              <w:left w:val="nil"/>
              <w:bottom w:val="single" w:sz="4" w:space="0" w:color="auto"/>
              <w:right w:val="single" w:sz="4" w:space="0" w:color="auto"/>
            </w:tcBorders>
            <w:shd w:val="clear" w:color="auto" w:fill="auto"/>
            <w:noWrap/>
            <w:vAlign w:val="bottom"/>
          </w:tcPr>
          <w:p w14:paraId="2E48AE4E"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0.83</w:t>
            </w:r>
          </w:p>
        </w:tc>
        <w:tc>
          <w:tcPr>
            <w:tcW w:w="1134" w:type="dxa"/>
            <w:tcBorders>
              <w:top w:val="nil"/>
              <w:left w:val="nil"/>
              <w:bottom w:val="single" w:sz="4" w:space="0" w:color="auto"/>
              <w:right w:val="single" w:sz="4" w:space="0" w:color="auto"/>
            </w:tcBorders>
            <w:shd w:val="clear" w:color="auto" w:fill="auto"/>
            <w:noWrap/>
            <w:vAlign w:val="bottom"/>
          </w:tcPr>
          <w:p w14:paraId="3553BA1B"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68177A7E"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0.75</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7C3280F"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1.00</w:t>
            </w:r>
          </w:p>
        </w:tc>
        <w:tc>
          <w:tcPr>
            <w:tcW w:w="993" w:type="dxa"/>
            <w:tcBorders>
              <w:top w:val="single" w:sz="4" w:space="0" w:color="auto"/>
              <w:left w:val="single" w:sz="4" w:space="0" w:color="auto"/>
              <w:bottom w:val="single" w:sz="4" w:space="0" w:color="auto"/>
              <w:right w:val="single" w:sz="4" w:space="0" w:color="auto"/>
            </w:tcBorders>
            <w:shd w:val="clear" w:color="auto" w:fill="00B050"/>
            <w:vAlign w:val="bottom"/>
          </w:tcPr>
          <w:p w14:paraId="44E4C40E" w14:textId="77777777" w:rsidR="0070017D" w:rsidRPr="00872CBA" w:rsidRDefault="0070017D" w:rsidP="0001401C">
            <w:pPr>
              <w:jc w:val="right"/>
              <w:rPr>
                <w:rFonts w:ascii="Arial Narrow" w:hAnsi="Arial Narrow"/>
                <w:color w:val="000000"/>
                <w:sz w:val="20"/>
              </w:rPr>
            </w:pPr>
            <w:r w:rsidRPr="00872CBA">
              <w:rPr>
                <w:rFonts w:ascii="Arial Narrow" w:hAnsi="Arial Narrow"/>
                <w:color w:val="000000"/>
                <w:sz w:val="20"/>
              </w:rPr>
              <w:t>0.89</w:t>
            </w:r>
          </w:p>
        </w:tc>
      </w:tr>
      <w:tr w:rsidR="0070017D" w:rsidRPr="00C15A2E" w14:paraId="53E660B1" w14:textId="77777777" w:rsidTr="001F2F84">
        <w:trPr>
          <w:trHeight w:val="240"/>
        </w:trPr>
        <w:tc>
          <w:tcPr>
            <w:tcW w:w="866" w:type="dxa"/>
            <w:vMerge/>
            <w:tcBorders>
              <w:left w:val="single" w:sz="4" w:space="0" w:color="auto"/>
              <w:right w:val="single" w:sz="4" w:space="0" w:color="auto"/>
            </w:tcBorders>
            <w:vAlign w:val="center"/>
            <w:hideMark/>
          </w:tcPr>
          <w:p w14:paraId="6040BF3E" w14:textId="77777777" w:rsidR="0070017D" w:rsidRPr="00C27327" w:rsidRDefault="0070017D" w:rsidP="0001401C">
            <w:pPr>
              <w:rPr>
                <w:rFonts w:ascii="Arial Narrow" w:hAnsi="Arial Narrow"/>
                <w:b/>
                <w:bCs/>
                <w:sz w:val="20"/>
              </w:rPr>
            </w:pPr>
          </w:p>
        </w:tc>
        <w:tc>
          <w:tcPr>
            <w:tcW w:w="1701" w:type="dxa"/>
            <w:gridSpan w:val="2"/>
            <w:vMerge/>
            <w:tcBorders>
              <w:top w:val="nil"/>
              <w:left w:val="single" w:sz="4" w:space="0" w:color="auto"/>
              <w:bottom w:val="single" w:sz="4" w:space="0" w:color="auto"/>
              <w:right w:val="single" w:sz="4" w:space="0" w:color="auto"/>
            </w:tcBorders>
            <w:vAlign w:val="center"/>
            <w:hideMark/>
          </w:tcPr>
          <w:p w14:paraId="2EF59021" w14:textId="77777777" w:rsidR="0070017D" w:rsidRPr="00C15A2E" w:rsidRDefault="0070017D" w:rsidP="0001401C">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hideMark/>
          </w:tcPr>
          <w:p w14:paraId="1DA71D54"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2F1CE31A"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0.49</w:t>
            </w:r>
          </w:p>
        </w:tc>
        <w:tc>
          <w:tcPr>
            <w:tcW w:w="993" w:type="dxa"/>
            <w:tcBorders>
              <w:top w:val="nil"/>
              <w:left w:val="nil"/>
              <w:bottom w:val="single" w:sz="4" w:space="0" w:color="auto"/>
              <w:right w:val="single" w:sz="4" w:space="0" w:color="auto"/>
            </w:tcBorders>
            <w:shd w:val="clear" w:color="auto" w:fill="auto"/>
            <w:noWrap/>
            <w:vAlign w:val="bottom"/>
          </w:tcPr>
          <w:p w14:paraId="02413025"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0.76</w:t>
            </w:r>
          </w:p>
        </w:tc>
        <w:tc>
          <w:tcPr>
            <w:tcW w:w="1134" w:type="dxa"/>
            <w:tcBorders>
              <w:top w:val="nil"/>
              <w:left w:val="nil"/>
              <w:bottom w:val="single" w:sz="4" w:space="0" w:color="auto"/>
              <w:right w:val="single" w:sz="4" w:space="0" w:color="auto"/>
            </w:tcBorders>
            <w:shd w:val="clear" w:color="auto" w:fill="auto"/>
            <w:noWrap/>
            <w:vAlign w:val="bottom"/>
          </w:tcPr>
          <w:p w14:paraId="19E0AACC"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0.69</w:t>
            </w:r>
          </w:p>
        </w:tc>
        <w:tc>
          <w:tcPr>
            <w:tcW w:w="1134" w:type="dxa"/>
            <w:tcBorders>
              <w:top w:val="nil"/>
              <w:left w:val="nil"/>
              <w:bottom w:val="single" w:sz="4" w:space="0" w:color="auto"/>
              <w:right w:val="single" w:sz="4" w:space="0" w:color="auto"/>
            </w:tcBorders>
            <w:shd w:val="clear" w:color="auto" w:fill="auto"/>
            <w:noWrap/>
            <w:vAlign w:val="bottom"/>
          </w:tcPr>
          <w:p w14:paraId="5B052628"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0.28</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F95B966"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5DF67B55" w14:textId="77777777" w:rsidR="0070017D" w:rsidRPr="00872CBA" w:rsidRDefault="0070017D" w:rsidP="00097F55">
            <w:pPr>
              <w:jc w:val="right"/>
              <w:rPr>
                <w:rFonts w:ascii="Arial Narrow" w:hAnsi="Arial Narrow"/>
                <w:color w:val="000000"/>
                <w:sz w:val="20"/>
              </w:rPr>
            </w:pPr>
            <w:r w:rsidRPr="00872CBA">
              <w:rPr>
                <w:rFonts w:ascii="Arial Narrow" w:hAnsi="Arial Narrow"/>
                <w:color w:val="000000"/>
                <w:sz w:val="20"/>
              </w:rPr>
              <w:t>0.4</w:t>
            </w:r>
            <w:r w:rsidR="00097F55">
              <w:rPr>
                <w:rFonts w:ascii="Arial Narrow" w:hAnsi="Arial Narrow"/>
                <w:color w:val="000000"/>
                <w:sz w:val="20"/>
              </w:rPr>
              <w:t>5</w:t>
            </w:r>
          </w:p>
        </w:tc>
      </w:tr>
      <w:tr w:rsidR="0070017D" w:rsidRPr="00C15A2E" w14:paraId="67B8B584" w14:textId="77777777" w:rsidTr="001F2F84">
        <w:trPr>
          <w:trHeight w:val="240"/>
        </w:trPr>
        <w:tc>
          <w:tcPr>
            <w:tcW w:w="866" w:type="dxa"/>
            <w:vMerge/>
            <w:tcBorders>
              <w:left w:val="single" w:sz="4" w:space="0" w:color="auto"/>
              <w:right w:val="single" w:sz="4" w:space="0" w:color="auto"/>
            </w:tcBorders>
            <w:vAlign w:val="center"/>
            <w:hideMark/>
          </w:tcPr>
          <w:p w14:paraId="481846F5" w14:textId="77777777" w:rsidR="0070017D" w:rsidRPr="00C27327" w:rsidRDefault="0070017D" w:rsidP="0001401C">
            <w:pPr>
              <w:rPr>
                <w:rFonts w:ascii="Arial Narrow" w:hAnsi="Arial Narrow"/>
                <w:b/>
                <w:bCs/>
                <w:sz w:val="20"/>
              </w:rPr>
            </w:pPr>
          </w:p>
        </w:tc>
        <w:tc>
          <w:tcPr>
            <w:tcW w:w="1701" w:type="dxa"/>
            <w:gridSpan w:val="2"/>
            <w:vMerge w:val="restart"/>
            <w:tcBorders>
              <w:top w:val="nil"/>
              <w:left w:val="single" w:sz="4" w:space="0" w:color="auto"/>
              <w:bottom w:val="single" w:sz="4" w:space="0" w:color="auto"/>
              <w:right w:val="single" w:sz="4" w:space="0" w:color="auto"/>
            </w:tcBorders>
            <w:shd w:val="clear" w:color="auto" w:fill="auto"/>
            <w:noWrap/>
            <w:vAlign w:val="center"/>
            <w:hideMark/>
          </w:tcPr>
          <w:p w14:paraId="66670AFB" w14:textId="77777777" w:rsidR="0070017D" w:rsidRPr="00C15A2E" w:rsidRDefault="0070017D" w:rsidP="0001401C">
            <w:pPr>
              <w:rPr>
                <w:rFonts w:ascii="Arial Narrow" w:hAnsi="Arial Narrow"/>
                <w:bCs/>
                <w:sz w:val="20"/>
              </w:rPr>
            </w:pPr>
            <w:r w:rsidRPr="00C15A2E">
              <w:rPr>
                <w:rFonts w:ascii="Arial Narrow" w:hAnsi="Arial Narrow"/>
                <w:bCs/>
                <w:sz w:val="20"/>
              </w:rPr>
              <w:t>Pine</w:t>
            </w:r>
          </w:p>
        </w:tc>
        <w:tc>
          <w:tcPr>
            <w:tcW w:w="425" w:type="dxa"/>
            <w:tcBorders>
              <w:top w:val="nil"/>
              <w:left w:val="nil"/>
              <w:bottom w:val="single" w:sz="4" w:space="0" w:color="auto"/>
              <w:right w:val="single" w:sz="4" w:space="0" w:color="auto"/>
            </w:tcBorders>
            <w:shd w:val="clear" w:color="auto" w:fill="auto"/>
            <w:noWrap/>
            <w:vAlign w:val="bottom"/>
            <w:hideMark/>
          </w:tcPr>
          <w:p w14:paraId="1A1D2131" w14:textId="77777777" w:rsidR="0070017D" w:rsidRPr="00C15A2E" w:rsidRDefault="0070017D"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bottom"/>
          </w:tcPr>
          <w:p w14:paraId="6A8F1EC1"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0.68</w:t>
            </w:r>
          </w:p>
        </w:tc>
        <w:tc>
          <w:tcPr>
            <w:tcW w:w="993" w:type="dxa"/>
            <w:tcBorders>
              <w:top w:val="nil"/>
              <w:left w:val="nil"/>
              <w:bottom w:val="single" w:sz="4" w:space="0" w:color="auto"/>
              <w:right w:val="single" w:sz="4" w:space="0" w:color="auto"/>
            </w:tcBorders>
            <w:shd w:val="clear" w:color="auto" w:fill="auto"/>
            <w:noWrap/>
            <w:vAlign w:val="bottom"/>
          </w:tcPr>
          <w:p w14:paraId="0F9BB6AC"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0.45</w:t>
            </w:r>
          </w:p>
        </w:tc>
        <w:tc>
          <w:tcPr>
            <w:tcW w:w="1134" w:type="dxa"/>
            <w:tcBorders>
              <w:top w:val="nil"/>
              <w:left w:val="nil"/>
              <w:bottom w:val="single" w:sz="4" w:space="0" w:color="auto"/>
              <w:right w:val="single" w:sz="4" w:space="0" w:color="auto"/>
            </w:tcBorders>
            <w:shd w:val="clear" w:color="auto" w:fill="auto"/>
            <w:noWrap/>
            <w:vAlign w:val="bottom"/>
          </w:tcPr>
          <w:p w14:paraId="63BB8ED1"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2D62D9D1" w14:textId="77777777" w:rsidR="0070017D" w:rsidRPr="000114F1" w:rsidRDefault="0070017D" w:rsidP="00097F55">
            <w:pPr>
              <w:jc w:val="right"/>
              <w:rPr>
                <w:rFonts w:ascii="Arial Narrow" w:hAnsi="Arial Narrow"/>
                <w:color w:val="000000"/>
                <w:sz w:val="20"/>
              </w:rPr>
            </w:pPr>
            <w:r w:rsidRPr="000114F1">
              <w:rPr>
                <w:rFonts w:ascii="Arial Narrow" w:hAnsi="Arial Narrow"/>
                <w:color w:val="000000"/>
                <w:sz w:val="20"/>
              </w:rPr>
              <w:t>0.</w:t>
            </w:r>
            <w:r w:rsidR="00097F55" w:rsidRPr="000114F1">
              <w:rPr>
                <w:rFonts w:ascii="Arial Narrow" w:hAnsi="Arial Narrow"/>
                <w:color w:val="000000"/>
                <w:sz w:val="20"/>
              </w:rPr>
              <w:t>4</w:t>
            </w:r>
            <w:r w:rsidR="00097F55">
              <w:rPr>
                <w:rFonts w:ascii="Arial Narrow" w:hAnsi="Arial Narrow"/>
                <w:color w:val="000000"/>
                <w:sz w:val="20"/>
              </w:rPr>
              <w:t>2</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44B045D"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bottom"/>
          </w:tcPr>
          <w:p w14:paraId="0CF32AAC" w14:textId="77777777" w:rsidR="0070017D" w:rsidRPr="00872CBA" w:rsidRDefault="0070017D" w:rsidP="0001401C">
            <w:pPr>
              <w:jc w:val="right"/>
              <w:rPr>
                <w:rFonts w:ascii="Arial Narrow" w:hAnsi="Arial Narrow"/>
                <w:color w:val="000000"/>
                <w:sz w:val="20"/>
              </w:rPr>
            </w:pPr>
            <w:r w:rsidRPr="00872CBA">
              <w:rPr>
                <w:rFonts w:ascii="Arial Narrow" w:hAnsi="Arial Narrow"/>
                <w:color w:val="000000"/>
                <w:sz w:val="20"/>
              </w:rPr>
              <w:t>0.41</w:t>
            </w:r>
          </w:p>
        </w:tc>
      </w:tr>
      <w:tr w:rsidR="0070017D" w:rsidRPr="00C15A2E" w14:paraId="0DEF4E7D" w14:textId="77777777" w:rsidTr="001F2F84">
        <w:trPr>
          <w:trHeight w:val="240"/>
        </w:trPr>
        <w:tc>
          <w:tcPr>
            <w:tcW w:w="866" w:type="dxa"/>
            <w:vMerge/>
            <w:tcBorders>
              <w:left w:val="single" w:sz="4" w:space="0" w:color="auto"/>
              <w:right w:val="single" w:sz="4" w:space="0" w:color="auto"/>
            </w:tcBorders>
            <w:vAlign w:val="center"/>
            <w:hideMark/>
          </w:tcPr>
          <w:p w14:paraId="34186929" w14:textId="77777777" w:rsidR="0070017D" w:rsidRPr="00C27327" w:rsidRDefault="0070017D" w:rsidP="0001401C">
            <w:pPr>
              <w:rPr>
                <w:rFonts w:ascii="Arial Narrow" w:hAnsi="Arial Narrow"/>
                <w:b/>
                <w:bCs/>
                <w:sz w:val="20"/>
              </w:rPr>
            </w:pPr>
          </w:p>
        </w:tc>
        <w:tc>
          <w:tcPr>
            <w:tcW w:w="1701" w:type="dxa"/>
            <w:gridSpan w:val="2"/>
            <w:vMerge/>
            <w:tcBorders>
              <w:top w:val="nil"/>
              <w:left w:val="single" w:sz="4" w:space="0" w:color="auto"/>
              <w:bottom w:val="single" w:sz="4" w:space="0" w:color="auto"/>
              <w:right w:val="single" w:sz="4" w:space="0" w:color="auto"/>
            </w:tcBorders>
            <w:vAlign w:val="center"/>
            <w:hideMark/>
          </w:tcPr>
          <w:p w14:paraId="27872C6D" w14:textId="77777777" w:rsidR="0070017D" w:rsidRPr="00C15A2E" w:rsidRDefault="0070017D" w:rsidP="0001401C">
            <w:pPr>
              <w:rPr>
                <w:rFonts w:ascii="Arial Narrow" w:hAnsi="Arial Narrow"/>
                <w:bCs/>
                <w:sz w:val="20"/>
              </w:rPr>
            </w:pPr>
          </w:p>
        </w:tc>
        <w:tc>
          <w:tcPr>
            <w:tcW w:w="425" w:type="dxa"/>
            <w:tcBorders>
              <w:top w:val="nil"/>
              <w:left w:val="nil"/>
              <w:bottom w:val="single" w:sz="4" w:space="0" w:color="auto"/>
              <w:right w:val="single" w:sz="4" w:space="0" w:color="auto"/>
            </w:tcBorders>
            <w:shd w:val="clear" w:color="auto" w:fill="auto"/>
            <w:noWrap/>
            <w:vAlign w:val="bottom"/>
            <w:hideMark/>
          </w:tcPr>
          <w:p w14:paraId="07C025F8"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bottom"/>
          </w:tcPr>
          <w:p w14:paraId="717D62CC"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0.59</w:t>
            </w:r>
          </w:p>
        </w:tc>
        <w:tc>
          <w:tcPr>
            <w:tcW w:w="993" w:type="dxa"/>
            <w:tcBorders>
              <w:top w:val="nil"/>
              <w:left w:val="nil"/>
              <w:bottom w:val="single" w:sz="4" w:space="0" w:color="auto"/>
              <w:right w:val="single" w:sz="4" w:space="0" w:color="auto"/>
            </w:tcBorders>
            <w:shd w:val="clear" w:color="auto" w:fill="auto"/>
            <w:noWrap/>
            <w:vAlign w:val="bottom"/>
          </w:tcPr>
          <w:p w14:paraId="724425CA"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0.41</w:t>
            </w:r>
          </w:p>
        </w:tc>
        <w:tc>
          <w:tcPr>
            <w:tcW w:w="1134" w:type="dxa"/>
            <w:tcBorders>
              <w:top w:val="nil"/>
              <w:left w:val="nil"/>
              <w:bottom w:val="single" w:sz="4" w:space="0" w:color="auto"/>
              <w:right w:val="single" w:sz="4" w:space="0" w:color="auto"/>
            </w:tcBorders>
            <w:shd w:val="clear" w:color="auto" w:fill="auto"/>
            <w:noWrap/>
            <w:vAlign w:val="bottom"/>
          </w:tcPr>
          <w:p w14:paraId="3B6AB5FC"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bottom"/>
          </w:tcPr>
          <w:p w14:paraId="07D46B47" w14:textId="77777777" w:rsidR="0070017D" w:rsidRPr="000114F1" w:rsidRDefault="0070017D" w:rsidP="00097F55">
            <w:pPr>
              <w:jc w:val="right"/>
              <w:rPr>
                <w:rFonts w:ascii="Arial Narrow" w:hAnsi="Arial Narrow"/>
                <w:color w:val="000000"/>
                <w:sz w:val="20"/>
              </w:rPr>
            </w:pPr>
            <w:r w:rsidRPr="000114F1">
              <w:rPr>
                <w:rFonts w:ascii="Arial Narrow" w:hAnsi="Arial Narrow"/>
                <w:color w:val="000000"/>
                <w:sz w:val="20"/>
              </w:rPr>
              <w:t>0.</w:t>
            </w:r>
            <w:r w:rsidR="00097F55" w:rsidRPr="000114F1">
              <w:rPr>
                <w:rFonts w:ascii="Arial Narrow" w:hAnsi="Arial Narrow"/>
                <w:color w:val="000000"/>
                <w:sz w:val="20"/>
              </w:rPr>
              <w:t>4</w:t>
            </w:r>
            <w:r w:rsidR="00097F55">
              <w:rPr>
                <w:rFonts w:ascii="Arial Narrow" w:hAnsi="Arial Narrow"/>
                <w:color w:val="000000"/>
                <w:sz w:val="20"/>
              </w:rPr>
              <w:t>2</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B243764"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bottom"/>
          </w:tcPr>
          <w:p w14:paraId="376DE4CD" w14:textId="77777777" w:rsidR="0070017D" w:rsidRPr="00872CBA" w:rsidRDefault="0070017D" w:rsidP="0001401C">
            <w:pPr>
              <w:jc w:val="right"/>
              <w:rPr>
                <w:rFonts w:ascii="Arial Narrow" w:hAnsi="Arial Narrow"/>
                <w:color w:val="000000"/>
                <w:sz w:val="20"/>
              </w:rPr>
            </w:pPr>
            <w:r w:rsidRPr="00872CBA">
              <w:rPr>
                <w:rFonts w:ascii="Arial Narrow" w:hAnsi="Arial Narrow"/>
                <w:color w:val="000000"/>
                <w:sz w:val="20"/>
              </w:rPr>
              <w:t>0.39</w:t>
            </w:r>
          </w:p>
        </w:tc>
      </w:tr>
      <w:tr w:rsidR="0070017D" w:rsidRPr="00C15A2E" w14:paraId="3B9CB7B6" w14:textId="77777777" w:rsidTr="00F17819">
        <w:trPr>
          <w:trHeight w:val="300"/>
        </w:trPr>
        <w:tc>
          <w:tcPr>
            <w:tcW w:w="2992" w:type="dxa"/>
            <w:gridSpan w:val="4"/>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30A2C5DC" w14:textId="77777777" w:rsidR="0070017D" w:rsidRPr="002710DB" w:rsidRDefault="0070017D" w:rsidP="0001401C">
            <w:pPr>
              <w:jc w:val="center"/>
              <w:rPr>
                <w:rFonts w:ascii="Arial Narrow" w:hAnsi="Arial Narrow"/>
                <w:b/>
                <w:bCs/>
                <w:color w:val="0070C0"/>
                <w:sz w:val="20"/>
              </w:rPr>
            </w:pPr>
            <w:r w:rsidRPr="002710DB">
              <w:rPr>
                <w:rFonts w:ascii="Arial Narrow" w:hAnsi="Arial Narrow"/>
                <w:b/>
                <w:bCs/>
                <w:sz w:val="20"/>
              </w:rPr>
              <w:t>Report Card Score - Moderate</w:t>
            </w:r>
          </w:p>
        </w:tc>
        <w:tc>
          <w:tcPr>
            <w:tcW w:w="992" w:type="dxa"/>
            <w:tcBorders>
              <w:top w:val="nil"/>
              <w:left w:val="nil"/>
              <w:bottom w:val="single" w:sz="4" w:space="0" w:color="auto"/>
              <w:right w:val="single" w:sz="4" w:space="0" w:color="auto"/>
            </w:tcBorders>
            <w:shd w:val="clear" w:color="000000" w:fill="92D050"/>
            <w:noWrap/>
            <w:vAlign w:val="bottom"/>
          </w:tcPr>
          <w:p w14:paraId="6F8D6874"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0.64</w:t>
            </w:r>
          </w:p>
        </w:tc>
        <w:tc>
          <w:tcPr>
            <w:tcW w:w="993" w:type="dxa"/>
            <w:tcBorders>
              <w:top w:val="nil"/>
              <w:left w:val="nil"/>
              <w:bottom w:val="single" w:sz="4" w:space="0" w:color="auto"/>
              <w:right w:val="single" w:sz="4" w:space="0" w:color="auto"/>
            </w:tcBorders>
            <w:shd w:val="clear" w:color="auto" w:fill="FFFF00"/>
            <w:noWrap/>
            <w:vAlign w:val="bottom"/>
          </w:tcPr>
          <w:p w14:paraId="1EED1AAF"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0.60</w:t>
            </w:r>
          </w:p>
        </w:tc>
        <w:tc>
          <w:tcPr>
            <w:tcW w:w="1134" w:type="dxa"/>
            <w:tcBorders>
              <w:top w:val="nil"/>
              <w:left w:val="nil"/>
              <w:bottom w:val="single" w:sz="4" w:space="0" w:color="auto"/>
              <w:right w:val="single" w:sz="4" w:space="0" w:color="auto"/>
            </w:tcBorders>
            <w:shd w:val="clear" w:color="auto" w:fill="92D050"/>
            <w:noWrap/>
            <w:vAlign w:val="bottom"/>
          </w:tcPr>
          <w:p w14:paraId="09257ED3"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0.74</w:t>
            </w:r>
          </w:p>
        </w:tc>
        <w:tc>
          <w:tcPr>
            <w:tcW w:w="1134" w:type="dxa"/>
            <w:tcBorders>
              <w:top w:val="nil"/>
              <w:left w:val="nil"/>
              <w:bottom w:val="single" w:sz="4" w:space="0" w:color="auto"/>
              <w:right w:val="single" w:sz="4" w:space="0" w:color="auto"/>
            </w:tcBorders>
            <w:shd w:val="clear" w:color="auto" w:fill="FFC000"/>
            <w:noWrap/>
            <w:vAlign w:val="bottom"/>
          </w:tcPr>
          <w:p w14:paraId="7E7F108F"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0.40</w:t>
            </w:r>
          </w:p>
        </w:tc>
        <w:tc>
          <w:tcPr>
            <w:tcW w:w="1275" w:type="dxa"/>
            <w:tcBorders>
              <w:top w:val="nil"/>
              <w:left w:val="single" w:sz="4" w:space="0" w:color="auto"/>
              <w:bottom w:val="single" w:sz="4" w:space="0" w:color="auto"/>
              <w:right w:val="single" w:sz="4" w:space="0" w:color="auto"/>
            </w:tcBorders>
            <w:shd w:val="clear" w:color="auto" w:fill="FFFF00"/>
            <w:noWrap/>
            <w:vAlign w:val="bottom"/>
          </w:tcPr>
          <w:p w14:paraId="6BAB28B8" w14:textId="77777777" w:rsidR="0070017D" w:rsidRPr="000114F1" w:rsidRDefault="0070017D" w:rsidP="0001401C">
            <w:pPr>
              <w:jc w:val="right"/>
              <w:rPr>
                <w:rFonts w:ascii="Arial Narrow" w:hAnsi="Arial Narrow"/>
                <w:color w:val="000000"/>
                <w:sz w:val="20"/>
              </w:rPr>
            </w:pPr>
            <w:r w:rsidRPr="000114F1">
              <w:rPr>
                <w:rFonts w:ascii="Arial Narrow" w:hAnsi="Arial Narrow"/>
                <w:color w:val="000000"/>
                <w:sz w:val="20"/>
              </w:rPr>
              <w:t>0.53</w:t>
            </w:r>
          </w:p>
        </w:tc>
        <w:tc>
          <w:tcPr>
            <w:tcW w:w="993" w:type="dxa"/>
            <w:tcBorders>
              <w:top w:val="nil"/>
              <w:left w:val="single" w:sz="4" w:space="0" w:color="auto"/>
              <w:bottom w:val="single" w:sz="4" w:space="0" w:color="auto"/>
              <w:right w:val="single" w:sz="4" w:space="0" w:color="auto"/>
            </w:tcBorders>
            <w:shd w:val="clear" w:color="auto" w:fill="FFFF00"/>
          </w:tcPr>
          <w:p w14:paraId="204614E7" w14:textId="77777777" w:rsidR="0070017D" w:rsidRPr="00872CBA" w:rsidRDefault="0070017D" w:rsidP="00FF0B33">
            <w:pPr>
              <w:jc w:val="right"/>
              <w:rPr>
                <w:rFonts w:ascii="Arial Narrow" w:hAnsi="Arial Narrow"/>
                <w:color w:val="000000"/>
                <w:sz w:val="20"/>
              </w:rPr>
            </w:pPr>
            <w:r w:rsidRPr="00872CBA">
              <w:rPr>
                <w:rFonts w:ascii="Arial Narrow" w:hAnsi="Arial Narrow"/>
                <w:color w:val="000000"/>
                <w:sz w:val="20"/>
              </w:rPr>
              <w:t>0.</w:t>
            </w:r>
            <w:r w:rsidR="00FF0B33" w:rsidRPr="00872CBA">
              <w:rPr>
                <w:rFonts w:ascii="Arial Narrow" w:hAnsi="Arial Narrow"/>
                <w:color w:val="000000"/>
                <w:sz w:val="20"/>
              </w:rPr>
              <w:t>5</w:t>
            </w:r>
            <w:r w:rsidR="00FF0B33">
              <w:rPr>
                <w:rFonts w:ascii="Arial Narrow" w:hAnsi="Arial Narrow"/>
                <w:color w:val="000000"/>
                <w:sz w:val="20"/>
              </w:rPr>
              <w:t>8</w:t>
            </w:r>
          </w:p>
        </w:tc>
      </w:tr>
      <w:tr w:rsidR="0070017D" w:rsidRPr="00C15A2E" w14:paraId="7E27384D" w14:textId="77777777" w:rsidTr="001E684A">
        <w:trPr>
          <w:trHeight w:val="240"/>
        </w:trPr>
        <w:tc>
          <w:tcPr>
            <w:tcW w:w="7245" w:type="dxa"/>
            <w:gridSpan w:val="8"/>
            <w:tcBorders>
              <w:top w:val="nil"/>
              <w:left w:val="nil"/>
              <w:bottom w:val="nil"/>
              <w:right w:val="nil"/>
            </w:tcBorders>
            <w:shd w:val="clear" w:color="auto" w:fill="auto"/>
            <w:noWrap/>
            <w:textDirection w:val="btLr"/>
            <w:vAlign w:val="center"/>
            <w:hideMark/>
          </w:tcPr>
          <w:p w14:paraId="06409A23" w14:textId="77777777" w:rsidR="0070017D" w:rsidRPr="002710DB" w:rsidRDefault="0070017D" w:rsidP="0001401C">
            <w:pPr>
              <w:jc w:val="center"/>
              <w:rPr>
                <w:rFonts w:ascii="Arial Narrow" w:hAnsi="Arial Narrow"/>
                <w:b/>
                <w:bCs/>
                <w:color w:val="0070C0"/>
                <w:sz w:val="20"/>
              </w:rPr>
            </w:pPr>
          </w:p>
        </w:tc>
        <w:tc>
          <w:tcPr>
            <w:tcW w:w="1275" w:type="dxa"/>
            <w:tcBorders>
              <w:top w:val="nil"/>
              <w:left w:val="nil"/>
              <w:bottom w:val="nil"/>
              <w:right w:val="nil"/>
            </w:tcBorders>
            <w:shd w:val="clear" w:color="auto" w:fill="auto"/>
            <w:noWrap/>
            <w:vAlign w:val="bottom"/>
            <w:hideMark/>
          </w:tcPr>
          <w:p w14:paraId="7765DC18" w14:textId="77777777" w:rsidR="0070017D" w:rsidRPr="00C15A2E" w:rsidRDefault="0070017D" w:rsidP="0001401C">
            <w:pPr>
              <w:jc w:val="center"/>
              <w:rPr>
                <w:rFonts w:ascii="Arial Narrow" w:hAnsi="Arial Narrow"/>
                <w:bCs/>
                <w:color w:val="0070C0"/>
                <w:sz w:val="20"/>
              </w:rPr>
            </w:pPr>
          </w:p>
        </w:tc>
        <w:tc>
          <w:tcPr>
            <w:tcW w:w="993" w:type="dxa"/>
            <w:tcBorders>
              <w:top w:val="nil"/>
              <w:left w:val="nil"/>
              <w:bottom w:val="single" w:sz="4" w:space="0" w:color="auto"/>
              <w:right w:val="nil"/>
            </w:tcBorders>
          </w:tcPr>
          <w:p w14:paraId="19B98B71" w14:textId="77777777" w:rsidR="0070017D" w:rsidRPr="00C15A2E" w:rsidRDefault="0070017D" w:rsidP="0001401C">
            <w:pPr>
              <w:jc w:val="center"/>
              <w:rPr>
                <w:rFonts w:ascii="Arial Narrow" w:hAnsi="Arial Narrow"/>
                <w:bCs/>
                <w:color w:val="0070C0"/>
                <w:sz w:val="20"/>
              </w:rPr>
            </w:pPr>
          </w:p>
        </w:tc>
      </w:tr>
      <w:tr w:rsidR="0070017D" w:rsidRPr="00C15A2E" w14:paraId="57F167C3" w14:textId="77777777" w:rsidTr="001E684A">
        <w:trPr>
          <w:trHeight w:val="240"/>
        </w:trPr>
        <w:tc>
          <w:tcPr>
            <w:tcW w:w="866"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41A7E266" w14:textId="77777777" w:rsidR="0070017D" w:rsidRPr="002710DB" w:rsidRDefault="0070017D" w:rsidP="0001401C">
            <w:pPr>
              <w:jc w:val="center"/>
              <w:rPr>
                <w:rFonts w:ascii="Arial Narrow" w:hAnsi="Arial Narrow"/>
                <w:b/>
                <w:bCs/>
                <w:color w:val="0070C0"/>
                <w:sz w:val="20"/>
              </w:rPr>
            </w:pPr>
            <w:r w:rsidRPr="002710DB">
              <w:rPr>
                <w:rFonts w:ascii="Arial Narrow" w:hAnsi="Arial Narrow"/>
                <w:b/>
                <w:bCs/>
                <w:sz w:val="20"/>
              </w:rPr>
              <w:t>Fitzroy</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A549C8" w14:textId="77777777" w:rsidR="0070017D" w:rsidRPr="00C15A2E" w:rsidRDefault="0070017D" w:rsidP="0001401C">
            <w:pPr>
              <w:rPr>
                <w:rFonts w:ascii="Arial Narrow" w:hAnsi="Arial Narrow"/>
                <w:bCs/>
                <w:sz w:val="20"/>
              </w:rPr>
            </w:pPr>
            <w:r w:rsidRPr="00C15A2E">
              <w:rPr>
                <w:rFonts w:ascii="Arial Narrow" w:hAnsi="Arial Narrow"/>
                <w:bCs/>
                <w:sz w:val="20"/>
              </w:rPr>
              <w:t>Barren</w:t>
            </w:r>
          </w:p>
        </w:tc>
        <w:tc>
          <w:tcPr>
            <w:tcW w:w="567" w:type="dxa"/>
            <w:gridSpan w:val="2"/>
            <w:tcBorders>
              <w:top w:val="single" w:sz="4" w:space="0" w:color="auto"/>
              <w:left w:val="nil"/>
              <w:bottom w:val="single" w:sz="4" w:space="0" w:color="auto"/>
              <w:right w:val="single" w:sz="4" w:space="0" w:color="auto"/>
            </w:tcBorders>
            <w:shd w:val="clear" w:color="auto" w:fill="auto"/>
            <w:noWrap/>
            <w:vAlign w:val="bottom"/>
            <w:hideMark/>
          </w:tcPr>
          <w:p w14:paraId="400C589F" w14:textId="77777777" w:rsidR="0070017D" w:rsidRPr="00C15A2E" w:rsidRDefault="0070017D" w:rsidP="0001401C">
            <w:pPr>
              <w:jc w:val="center"/>
              <w:rPr>
                <w:rFonts w:ascii="Arial Narrow" w:hAnsi="Arial Narrow"/>
                <w:bCs/>
                <w:sz w:val="20"/>
              </w:rPr>
            </w:pPr>
            <w:r w:rsidRPr="00C15A2E">
              <w:rPr>
                <w:rFonts w:ascii="Arial Narrow" w:hAnsi="Arial Narrow"/>
                <w:bCs/>
                <w:sz w:val="20"/>
              </w:rPr>
              <w:t>2</w:t>
            </w:r>
          </w:p>
        </w:tc>
        <w:tc>
          <w:tcPr>
            <w:tcW w:w="992" w:type="dxa"/>
            <w:tcBorders>
              <w:top w:val="single" w:sz="4" w:space="0" w:color="auto"/>
              <w:left w:val="nil"/>
              <w:bottom w:val="single" w:sz="4" w:space="0" w:color="auto"/>
              <w:right w:val="single" w:sz="4" w:space="0" w:color="auto"/>
            </w:tcBorders>
            <w:shd w:val="clear" w:color="auto" w:fill="auto"/>
            <w:noWrap/>
            <w:vAlign w:val="center"/>
          </w:tcPr>
          <w:p w14:paraId="34B092DF" w14:textId="77777777" w:rsidR="0070017D" w:rsidRPr="00C121F4" w:rsidRDefault="0070017D" w:rsidP="00AE0BFC">
            <w:pPr>
              <w:jc w:val="center"/>
              <w:rPr>
                <w:rFonts w:ascii="Arial Narrow" w:hAnsi="Arial Narrow"/>
                <w:color w:val="000000"/>
                <w:sz w:val="20"/>
              </w:rPr>
            </w:pPr>
            <w:r w:rsidRPr="00C121F4">
              <w:rPr>
                <w:rFonts w:ascii="Arial Narrow" w:hAnsi="Arial Narrow"/>
                <w:color w:val="000000"/>
                <w:sz w:val="20"/>
              </w:rPr>
              <w:t>0</w:t>
            </w:r>
            <w:r w:rsidR="00AE0BFC">
              <w:rPr>
                <w:rFonts w:ascii="Arial Narrow" w:hAnsi="Arial Narrow"/>
                <w:color w:val="000000"/>
                <w:sz w:val="20"/>
              </w:rPr>
              <w:t>.24</w:t>
            </w:r>
          </w:p>
        </w:tc>
        <w:tc>
          <w:tcPr>
            <w:tcW w:w="993" w:type="dxa"/>
            <w:tcBorders>
              <w:top w:val="single" w:sz="4" w:space="0" w:color="auto"/>
              <w:left w:val="nil"/>
              <w:bottom w:val="single" w:sz="4" w:space="0" w:color="auto"/>
              <w:right w:val="single" w:sz="4" w:space="0" w:color="auto"/>
            </w:tcBorders>
            <w:shd w:val="clear" w:color="auto" w:fill="auto"/>
            <w:noWrap/>
            <w:vAlign w:val="center"/>
          </w:tcPr>
          <w:p w14:paraId="74FF36F2"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w:t>
            </w:r>
            <w:r w:rsidR="00AE0BFC">
              <w:rPr>
                <w:rFonts w:ascii="Arial Narrow" w:hAnsi="Arial Narrow"/>
                <w:color w:val="000000"/>
                <w:sz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7DEBDC1E"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5C6874FD"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1.00</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5D051F"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FF00"/>
            <w:vAlign w:val="center"/>
          </w:tcPr>
          <w:p w14:paraId="419A4FBA" w14:textId="77777777" w:rsidR="0070017D" w:rsidRPr="001E684A" w:rsidRDefault="0070017D" w:rsidP="00AE0BFC">
            <w:pPr>
              <w:jc w:val="center"/>
              <w:rPr>
                <w:rFonts w:ascii="Arial Narrow" w:hAnsi="Arial Narrow"/>
                <w:color w:val="000000"/>
                <w:sz w:val="20"/>
              </w:rPr>
            </w:pPr>
            <w:r w:rsidRPr="001E684A">
              <w:rPr>
                <w:rFonts w:ascii="Arial Narrow" w:hAnsi="Arial Narrow"/>
                <w:color w:val="000000"/>
                <w:sz w:val="20"/>
              </w:rPr>
              <w:t>0.</w:t>
            </w:r>
            <w:r w:rsidR="00AE0BFC" w:rsidRPr="001E684A">
              <w:rPr>
                <w:rFonts w:ascii="Arial Narrow" w:hAnsi="Arial Narrow"/>
                <w:color w:val="000000"/>
                <w:sz w:val="20"/>
              </w:rPr>
              <w:t>5</w:t>
            </w:r>
            <w:r w:rsidR="00AE0BFC">
              <w:rPr>
                <w:rFonts w:ascii="Arial Narrow" w:hAnsi="Arial Narrow"/>
                <w:color w:val="000000"/>
                <w:sz w:val="20"/>
              </w:rPr>
              <w:t>9</w:t>
            </w:r>
          </w:p>
        </w:tc>
      </w:tr>
      <w:tr w:rsidR="0070017D" w:rsidRPr="00C15A2E" w14:paraId="0778DE87" w14:textId="77777777" w:rsidTr="001E684A">
        <w:trPr>
          <w:trHeight w:val="240"/>
        </w:trPr>
        <w:tc>
          <w:tcPr>
            <w:tcW w:w="866" w:type="dxa"/>
            <w:vMerge/>
            <w:tcBorders>
              <w:top w:val="single" w:sz="4" w:space="0" w:color="auto"/>
              <w:left w:val="single" w:sz="4" w:space="0" w:color="auto"/>
              <w:bottom w:val="single" w:sz="4" w:space="0" w:color="auto"/>
              <w:right w:val="single" w:sz="4" w:space="0" w:color="auto"/>
            </w:tcBorders>
            <w:vAlign w:val="center"/>
            <w:hideMark/>
          </w:tcPr>
          <w:p w14:paraId="632691D5" w14:textId="77777777" w:rsidR="0070017D" w:rsidRPr="00C15A2E" w:rsidRDefault="0070017D" w:rsidP="0001401C">
            <w:pPr>
              <w:rPr>
                <w:rFonts w:ascii="Arial Narrow" w:hAnsi="Arial Narrow"/>
                <w:bCs/>
                <w:color w:val="0070C0"/>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9B58B18" w14:textId="77777777" w:rsidR="0070017D" w:rsidRPr="00C15A2E" w:rsidRDefault="0070017D" w:rsidP="0001401C">
            <w:pPr>
              <w:rPr>
                <w:rFonts w:ascii="Arial Narrow" w:hAnsi="Arial Narrow"/>
                <w:bCs/>
                <w:sz w:val="20"/>
              </w:rPr>
            </w:pPr>
          </w:p>
        </w:tc>
        <w:tc>
          <w:tcPr>
            <w:tcW w:w="567" w:type="dxa"/>
            <w:gridSpan w:val="2"/>
            <w:tcBorders>
              <w:top w:val="nil"/>
              <w:left w:val="nil"/>
              <w:bottom w:val="single" w:sz="4" w:space="0" w:color="auto"/>
              <w:right w:val="single" w:sz="4" w:space="0" w:color="auto"/>
            </w:tcBorders>
            <w:shd w:val="clear" w:color="auto" w:fill="auto"/>
            <w:noWrap/>
            <w:vAlign w:val="bottom"/>
            <w:hideMark/>
          </w:tcPr>
          <w:p w14:paraId="24A5F515"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center"/>
          </w:tcPr>
          <w:p w14:paraId="0DB7E68C"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0.4</w:t>
            </w:r>
            <w:r w:rsidR="00AE0BFC">
              <w:rPr>
                <w:rFonts w:ascii="Arial Narrow" w:hAnsi="Arial Narrow"/>
                <w:color w:val="000000"/>
                <w:sz w:val="20"/>
              </w:rPr>
              <w:t>7</w:t>
            </w:r>
          </w:p>
        </w:tc>
        <w:tc>
          <w:tcPr>
            <w:tcW w:w="993" w:type="dxa"/>
            <w:tcBorders>
              <w:top w:val="nil"/>
              <w:left w:val="nil"/>
              <w:bottom w:val="single" w:sz="4" w:space="0" w:color="auto"/>
              <w:right w:val="single" w:sz="4" w:space="0" w:color="auto"/>
            </w:tcBorders>
            <w:shd w:val="clear" w:color="auto" w:fill="auto"/>
            <w:noWrap/>
            <w:vAlign w:val="center"/>
          </w:tcPr>
          <w:p w14:paraId="63143A03" w14:textId="77777777" w:rsidR="0070017D" w:rsidRPr="00C121F4" w:rsidRDefault="0070017D" w:rsidP="00AE0BFC">
            <w:pPr>
              <w:jc w:val="center"/>
              <w:rPr>
                <w:rFonts w:ascii="Arial Narrow" w:hAnsi="Arial Narrow"/>
                <w:color w:val="000000"/>
                <w:sz w:val="20"/>
              </w:rPr>
            </w:pPr>
            <w:r w:rsidRPr="00C121F4">
              <w:rPr>
                <w:rFonts w:ascii="Arial Narrow" w:hAnsi="Arial Narrow"/>
                <w:color w:val="000000"/>
                <w:sz w:val="20"/>
              </w:rPr>
              <w:t>0.</w:t>
            </w:r>
            <w:r w:rsidR="00AE0BFC">
              <w:rPr>
                <w:rFonts w:ascii="Arial Narrow" w:hAnsi="Arial Narrow"/>
                <w:color w:val="000000"/>
                <w:sz w:val="20"/>
              </w:rPr>
              <w:t>08</w:t>
            </w:r>
          </w:p>
        </w:tc>
        <w:tc>
          <w:tcPr>
            <w:tcW w:w="1134" w:type="dxa"/>
            <w:tcBorders>
              <w:top w:val="nil"/>
              <w:left w:val="nil"/>
              <w:bottom w:val="single" w:sz="4" w:space="0" w:color="auto"/>
              <w:right w:val="single" w:sz="4" w:space="0" w:color="auto"/>
            </w:tcBorders>
            <w:shd w:val="clear" w:color="auto" w:fill="auto"/>
            <w:noWrap/>
            <w:vAlign w:val="center"/>
          </w:tcPr>
          <w:p w14:paraId="1A0264ED"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68E697C9"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1.00</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7159E2FE"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center"/>
          </w:tcPr>
          <w:p w14:paraId="20661679" w14:textId="77777777" w:rsidR="0070017D" w:rsidRPr="001E684A" w:rsidRDefault="0070017D" w:rsidP="00AE0BFC">
            <w:pPr>
              <w:jc w:val="center"/>
              <w:rPr>
                <w:rFonts w:ascii="Arial Narrow" w:hAnsi="Arial Narrow"/>
                <w:color w:val="000000"/>
                <w:sz w:val="20"/>
              </w:rPr>
            </w:pPr>
            <w:r w:rsidRPr="001E684A">
              <w:rPr>
                <w:rFonts w:ascii="Arial Narrow" w:hAnsi="Arial Narrow"/>
                <w:color w:val="000000"/>
                <w:sz w:val="20"/>
              </w:rPr>
              <w:t>0.</w:t>
            </w:r>
            <w:r w:rsidR="00AE0BFC" w:rsidRPr="001E684A">
              <w:rPr>
                <w:rFonts w:ascii="Arial Narrow" w:hAnsi="Arial Narrow"/>
                <w:color w:val="000000"/>
                <w:sz w:val="20"/>
              </w:rPr>
              <w:t>3</w:t>
            </w:r>
            <w:r w:rsidR="00AE0BFC">
              <w:rPr>
                <w:rFonts w:ascii="Arial Narrow" w:hAnsi="Arial Narrow"/>
                <w:color w:val="000000"/>
                <w:sz w:val="20"/>
              </w:rPr>
              <w:t>1</w:t>
            </w:r>
          </w:p>
        </w:tc>
      </w:tr>
      <w:tr w:rsidR="0070017D" w:rsidRPr="00C15A2E" w14:paraId="2A7BD546" w14:textId="77777777" w:rsidTr="00474974">
        <w:trPr>
          <w:trHeight w:val="240"/>
        </w:trPr>
        <w:tc>
          <w:tcPr>
            <w:tcW w:w="866" w:type="dxa"/>
            <w:vMerge/>
            <w:tcBorders>
              <w:top w:val="single" w:sz="4" w:space="0" w:color="auto"/>
              <w:left w:val="single" w:sz="4" w:space="0" w:color="auto"/>
              <w:bottom w:val="single" w:sz="4" w:space="0" w:color="auto"/>
              <w:right w:val="single" w:sz="4" w:space="0" w:color="auto"/>
            </w:tcBorders>
            <w:vAlign w:val="center"/>
          </w:tcPr>
          <w:p w14:paraId="42FD87DB" w14:textId="77777777" w:rsidR="0070017D" w:rsidRPr="00C15A2E" w:rsidRDefault="0070017D" w:rsidP="0001401C">
            <w:pPr>
              <w:rPr>
                <w:rFonts w:ascii="Arial Narrow" w:hAnsi="Arial Narrow"/>
                <w:bCs/>
                <w:color w:val="0070C0"/>
                <w:sz w:val="20"/>
              </w:rPr>
            </w:pPr>
          </w:p>
        </w:tc>
        <w:tc>
          <w:tcPr>
            <w:tcW w:w="1559" w:type="dxa"/>
            <w:vMerge w:val="restart"/>
            <w:tcBorders>
              <w:top w:val="nil"/>
              <w:left w:val="single" w:sz="4" w:space="0" w:color="auto"/>
              <w:right w:val="single" w:sz="4" w:space="0" w:color="auto"/>
            </w:tcBorders>
            <w:shd w:val="clear" w:color="auto" w:fill="auto"/>
            <w:noWrap/>
            <w:vAlign w:val="center"/>
          </w:tcPr>
          <w:p w14:paraId="1351B9D9" w14:textId="77777777" w:rsidR="0070017D" w:rsidRPr="00C15A2E" w:rsidRDefault="0070017D" w:rsidP="0001401C">
            <w:pPr>
              <w:rPr>
                <w:rFonts w:ascii="Arial Narrow" w:hAnsi="Arial Narrow"/>
                <w:bCs/>
                <w:sz w:val="20"/>
              </w:rPr>
            </w:pPr>
            <w:r w:rsidRPr="00C15A2E">
              <w:rPr>
                <w:rFonts w:ascii="Arial Narrow" w:hAnsi="Arial Narrow"/>
                <w:bCs/>
                <w:sz w:val="20"/>
              </w:rPr>
              <w:t>Keppels South</w:t>
            </w:r>
          </w:p>
        </w:tc>
        <w:tc>
          <w:tcPr>
            <w:tcW w:w="567" w:type="dxa"/>
            <w:gridSpan w:val="2"/>
            <w:tcBorders>
              <w:top w:val="nil"/>
              <w:left w:val="nil"/>
              <w:bottom w:val="single" w:sz="4" w:space="0" w:color="auto"/>
              <w:right w:val="single" w:sz="4" w:space="0" w:color="auto"/>
            </w:tcBorders>
            <w:shd w:val="clear" w:color="auto" w:fill="auto"/>
            <w:noWrap/>
            <w:vAlign w:val="bottom"/>
          </w:tcPr>
          <w:p w14:paraId="415372C7" w14:textId="77777777" w:rsidR="0070017D" w:rsidRPr="00C15A2E" w:rsidRDefault="0070017D"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center"/>
          </w:tcPr>
          <w:p w14:paraId="396717EE"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0.12</w:t>
            </w:r>
          </w:p>
        </w:tc>
        <w:tc>
          <w:tcPr>
            <w:tcW w:w="993" w:type="dxa"/>
            <w:tcBorders>
              <w:top w:val="nil"/>
              <w:left w:val="nil"/>
              <w:bottom w:val="single" w:sz="4" w:space="0" w:color="auto"/>
              <w:right w:val="single" w:sz="4" w:space="0" w:color="auto"/>
            </w:tcBorders>
            <w:shd w:val="clear" w:color="auto" w:fill="auto"/>
            <w:noWrap/>
            <w:vAlign w:val="center"/>
          </w:tcPr>
          <w:p w14:paraId="430DE4EB"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0.11</w:t>
            </w:r>
          </w:p>
        </w:tc>
        <w:tc>
          <w:tcPr>
            <w:tcW w:w="1134" w:type="dxa"/>
            <w:tcBorders>
              <w:top w:val="nil"/>
              <w:left w:val="nil"/>
              <w:bottom w:val="single" w:sz="4" w:space="0" w:color="auto"/>
              <w:right w:val="single" w:sz="4" w:space="0" w:color="auto"/>
            </w:tcBorders>
            <w:shd w:val="clear" w:color="auto" w:fill="auto"/>
            <w:noWrap/>
            <w:vAlign w:val="center"/>
          </w:tcPr>
          <w:p w14:paraId="0713F4F3"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23A8BF22"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0.19</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1BB93F50"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0000"/>
            <w:vAlign w:val="center"/>
          </w:tcPr>
          <w:p w14:paraId="2CBEB03D" w14:textId="77777777" w:rsidR="0070017D" w:rsidRPr="001E684A" w:rsidRDefault="0070017D" w:rsidP="00AE0BFC">
            <w:pPr>
              <w:jc w:val="center"/>
              <w:rPr>
                <w:rFonts w:ascii="Arial Narrow" w:hAnsi="Arial Narrow"/>
                <w:color w:val="000000"/>
                <w:sz w:val="20"/>
              </w:rPr>
            </w:pPr>
            <w:r w:rsidRPr="001E684A">
              <w:rPr>
                <w:rFonts w:ascii="Arial Narrow" w:hAnsi="Arial Narrow"/>
                <w:color w:val="000000"/>
                <w:sz w:val="20"/>
              </w:rPr>
              <w:t>0.</w:t>
            </w:r>
            <w:r w:rsidR="00AE0BFC" w:rsidRPr="001E684A">
              <w:rPr>
                <w:rFonts w:ascii="Arial Narrow" w:hAnsi="Arial Narrow"/>
                <w:color w:val="000000"/>
                <w:sz w:val="20"/>
              </w:rPr>
              <w:t>0</w:t>
            </w:r>
            <w:r w:rsidR="00AE0BFC">
              <w:rPr>
                <w:rFonts w:ascii="Arial Narrow" w:hAnsi="Arial Narrow"/>
                <w:color w:val="000000"/>
                <w:sz w:val="20"/>
              </w:rPr>
              <w:t>9</w:t>
            </w:r>
          </w:p>
        </w:tc>
      </w:tr>
      <w:tr w:rsidR="0070017D" w:rsidRPr="00C15A2E" w14:paraId="7F40D9BB" w14:textId="77777777" w:rsidTr="00FA06C2">
        <w:trPr>
          <w:trHeight w:val="240"/>
        </w:trPr>
        <w:tc>
          <w:tcPr>
            <w:tcW w:w="866" w:type="dxa"/>
            <w:vMerge/>
            <w:tcBorders>
              <w:top w:val="single" w:sz="4" w:space="0" w:color="auto"/>
              <w:left w:val="single" w:sz="4" w:space="0" w:color="auto"/>
              <w:bottom w:val="single" w:sz="4" w:space="0" w:color="auto"/>
              <w:right w:val="single" w:sz="4" w:space="0" w:color="auto"/>
            </w:tcBorders>
            <w:vAlign w:val="center"/>
          </w:tcPr>
          <w:p w14:paraId="6BB1B259" w14:textId="77777777" w:rsidR="0070017D" w:rsidRPr="00C15A2E" w:rsidRDefault="0070017D" w:rsidP="0001401C">
            <w:pPr>
              <w:rPr>
                <w:rFonts w:ascii="Arial Narrow" w:hAnsi="Arial Narrow"/>
                <w:bCs/>
                <w:color w:val="0070C0"/>
                <w:sz w:val="20"/>
              </w:rPr>
            </w:pPr>
          </w:p>
        </w:tc>
        <w:tc>
          <w:tcPr>
            <w:tcW w:w="1559" w:type="dxa"/>
            <w:vMerge/>
            <w:tcBorders>
              <w:left w:val="single" w:sz="4" w:space="0" w:color="auto"/>
              <w:bottom w:val="single" w:sz="4" w:space="0" w:color="auto"/>
              <w:right w:val="single" w:sz="4" w:space="0" w:color="auto"/>
            </w:tcBorders>
            <w:shd w:val="clear" w:color="auto" w:fill="auto"/>
            <w:noWrap/>
            <w:vAlign w:val="center"/>
          </w:tcPr>
          <w:p w14:paraId="1B13EAF5" w14:textId="77777777" w:rsidR="0070017D" w:rsidRPr="00C15A2E" w:rsidRDefault="0070017D" w:rsidP="0001401C">
            <w:pPr>
              <w:rPr>
                <w:rFonts w:ascii="Arial Narrow" w:hAnsi="Arial Narrow"/>
                <w:bCs/>
                <w:sz w:val="20"/>
              </w:rPr>
            </w:pPr>
          </w:p>
        </w:tc>
        <w:tc>
          <w:tcPr>
            <w:tcW w:w="567" w:type="dxa"/>
            <w:gridSpan w:val="2"/>
            <w:tcBorders>
              <w:top w:val="nil"/>
              <w:left w:val="nil"/>
              <w:bottom w:val="single" w:sz="4" w:space="0" w:color="auto"/>
              <w:right w:val="single" w:sz="4" w:space="0" w:color="auto"/>
            </w:tcBorders>
            <w:shd w:val="clear" w:color="auto" w:fill="auto"/>
            <w:noWrap/>
            <w:vAlign w:val="bottom"/>
          </w:tcPr>
          <w:p w14:paraId="66297EC3"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center"/>
          </w:tcPr>
          <w:p w14:paraId="60F0DCCC"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0.40</w:t>
            </w:r>
          </w:p>
        </w:tc>
        <w:tc>
          <w:tcPr>
            <w:tcW w:w="993" w:type="dxa"/>
            <w:tcBorders>
              <w:top w:val="nil"/>
              <w:left w:val="nil"/>
              <w:bottom w:val="single" w:sz="4" w:space="0" w:color="auto"/>
              <w:right w:val="single" w:sz="4" w:space="0" w:color="auto"/>
            </w:tcBorders>
            <w:shd w:val="clear" w:color="auto" w:fill="auto"/>
            <w:noWrap/>
            <w:vAlign w:val="center"/>
          </w:tcPr>
          <w:p w14:paraId="135375C6"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0.12</w:t>
            </w:r>
          </w:p>
        </w:tc>
        <w:tc>
          <w:tcPr>
            <w:tcW w:w="1134" w:type="dxa"/>
            <w:tcBorders>
              <w:top w:val="nil"/>
              <w:left w:val="nil"/>
              <w:bottom w:val="single" w:sz="4" w:space="0" w:color="auto"/>
              <w:right w:val="single" w:sz="4" w:space="0" w:color="auto"/>
            </w:tcBorders>
            <w:shd w:val="clear" w:color="auto" w:fill="auto"/>
            <w:noWrap/>
            <w:vAlign w:val="center"/>
          </w:tcPr>
          <w:p w14:paraId="03D9E37B"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58F8A226"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0.17</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55717C0C"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center"/>
          </w:tcPr>
          <w:p w14:paraId="7DB0B5F1" w14:textId="77777777" w:rsidR="0070017D" w:rsidRPr="001E684A" w:rsidRDefault="0070017D" w:rsidP="001E684A">
            <w:pPr>
              <w:jc w:val="center"/>
              <w:rPr>
                <w:rFonts w:ascii="Arial Narrow" w:hAnsi="Arial Narrow"/>
                <w:color w:val="000000"/>
                <w:sz w:val="20"/>
              </w:rPr>
            </w:pPr>
            <w:r w:rsidRPr="001E684A">
              <w:rPr>
                <w:rFonts w:ascii="Arial Narrow" w:hAnsi="Arial Narrow"/>
                <w:color w:val="000000"/>
                <w:sz w:val="20"/>
              </w:rPr>
              <w:t>0.24</w:t>
            </w:r>
          </w:p>
        </w:tc>
      </w:tr>
      <w:tr w:rsidR="0070017D" w:rsidRPr="00C15A2E" w14:paraId="7C44224E" w14:textId="77777777" w:rsidTr="001E684A">
        <w:trPr>
          <w:trHeight w:val="240"/>
        </w:trPr>
        <w:tc>
          <w:tcPr>
            <w:tcW w:w="866" w:type="dxa"/>
            <w:vMerge/>
            <w:tcBorders>
              <w:top w:val="single" w:sz="4" w:space="0" w:color="auto"/>
              <w:left w:val="single" w:sz="4" w:space="0" w:color="auto"/>
              <w:bottom w:val="single" w:sz="4" w:space="0" w:color="auto"/>
              <w:right w:val="single" w:sz="4" w:space="0" w:color="auto"/>
            </w:tcBorders>
            <w:vAlign w:val="center"/>
            <w:hideMark/>
          </w:tcPr>
          <w:p w14:paraId="75EDCC72" w14:textId="77777777" w:rsidR="0070017D" w:rsidRPr="00C15A2E" w:rsidRDefault="0070017D" w:rsidP="0001401C">
            <w:pPr>
              <w:rPr>
                <w:rFonts w:ascii="Arial Narrow" w:hAnsi="Arial Narrow"/>
                <w:bCs/>
                <w:color w:val="0070C0"/>
                <w:sz w:val="20"/>
              </w:rPr>
            </w:pP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C938CF" w14:textId="77777777" w:rsidR="0070017D" w:rsidRPr="00C15A2E" w:rsidRDefault="0070017D" w:rsidP="0001401C">
            <w:pPr>
              <w:rPr>
                <w:rFonts w:ascii="Arial Narrow" w:hAnsi="Arial Narrow"/>
                <w:bCs/>
                <w:sz w:val="20"/>
              </w:rPr>
            </w:pPr>
            <w:r w:rsidRPr="00C15A2E">
              <w:rPr>
                <w:rFonts w:ascii="Arial Narrow" w:hAnsi="Arial Narrow"/>
                <w:bCs/>
                <w:sz w:val="20"/>
              </w:rPr>
              <w:t>North Keppel</w:t>
            </w:r>
          </w:p>
        </w:tc>
        <w:tc>
          <w:tcPr>
            <w:tcW w:w="567" w:type="dxa"/>
            <w:gridSpan w:val="2"/>
            <w:tcBorders>
              <w:top w:val="nil"/>
              <w:left w:val="nil"/>
              <w:bottom w:val="single" w:sz="4" w:space="0" w:color="auto"/>
              <w:right w:val="single" w:sz="4" w:space="0" w:color="auto"/>
            </w:tcBorders>
            <w:shd w:val="clear" w:color="auto" w:fill="auto"/>
            <w:noWrap/>
            <w:vAlign w:val="bottom"/>
            <w:hideMark/>
          </w:tcPr>
          <w:p w14:paraId="48953FBB" w14:textId="77777777" w:rsidR="0070017D" w:rsidRPr="00C15A2E" w:rsidRDefault="0070017D"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center"/>
          </w:tcPr>
          <w:p w14:paraId="20BABD4E"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0.39</w:t>
            </w:r>
          </w:p>
        </w:tc>
        <w:tc>
          <w:tcPr>
            <w:tcW w:w="993" w:type="dxa"/>
            <w:tcBorders>
              <w:top w:val="nil"/>
              <w:left w:val="nil"/>
              <w:bottom w:val="single" w:sz="4" w:space="0" w:color="auto"/>
              <w:right w:val="single" w:sz="4" w:space="0" w:color="auto"/>
            </w:tcBorders>
            <w:shd w:val="clear" w:color="auto" w:fill="auto"/>
            <w:noWrap/>
            <w:vAlign w:val="center"/>
          </w:tcPr>
          <w:p w14:paraId="36FD210B"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0.11</w:t>
            </w:r>
          </w:p>
        </w:tc>
        <w:tc>
          <w:tcPr>
            <w:tcW w:w="1134" w:type="dxa"/>
            <w:tcBorders>
              <w:top w:val="nil"/>
              <w:left w:val="nil"/>
              <w:bottom w:val="single" w:sz="4" w:space="0" w:color="auto"/>
              <w:right w:val="single" w:sz="4" w:space="0" w:color="auto"/>
            </w:tcBorders>
            <w:shd w:val="clear" w:color="auto" w:fill="auto"/>
            <w:noWrap/>
            <w:vAlign w:val="center"/>
          </w:tcPr>
          <w:p w14:paraId="27E97651"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426CDAAA"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0.26</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650D9268"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center"/>
          </w:tcPr>
          <w:p w14:paraId="54B69A23" w14:textId="77777777" w:rsidR="0070017D" w:rsidRPr="001E684A" w:rsidRDefault="0070017D" w:rsidP="001E684A">
            <w:pPr>
              <w:jc w:val="center"/>
              <w:rPr>
                <w:rFonts w:ascii="Arial Narrow" w:hAnsi="Arial Narrow"/>
                <w:color w:val="000000"/>
                <w:sz w:val="20"/>
              </w:rPr>
            </w:pPr>
            <w:r w:rsidRPr="001E684A">
              <w:rPr>
                <w:rFonts w:ascii="Arial Narrow" w:hAnsi="Arial Narrow"/>
                <w:color w:val="000000"/>
                <w:sz w:val="20"/>
              </w:rPr>
              <w:t>0.25</w:t>
            </w:r>
          </w:p>
        </w:tc>
      </w:tr>
      <w:tr w:rsidR="0070017D" w:rsidRPr="00C15A2E" w14:paraId="4D0EACC1" w14:textId="77777777" w:rsidTr="001E684A">
        <w:trPr>
          <w:trHeight w:val="240"/>
        </w:trPr>
        <w:tc>
          <w:tcPr>
            <w:tcW w:w="866" w:type="dxa"/>
            <w:vMerge/>
            <w:tcBorders>
              <w:top w:val="single" w:sz="4" w:space="0" w:color="auto"/>
              <w:left w:val="single" w:sz="4" w:space="0" w:color="auto"/>
              <w:bottom w:val="single" w:sz="4" w:space="0" w:color="auto"/>
              <w:right w:val="single" w:sz="4" w:space="0" w:color="auto"/>
            </w:tcBorders>
            <w:vAlign w:val="center"/>
            <w:hideMark/>
          </w:tcPr>
          <w:p w14:paraId="5CE4F243" w14:textId="77777777" w:rsidR="0070017D" w:rsidRPr="00C15A2E" w:rsidRDefault="0070017D" w:rsidP="0001401C">
            <w:pPr>
              <w:rPr>
                <w:rFonts w:ascii="Arial Narrow" w:hAnsi="Arial Narrow"/>
                <w:bCs/>
                <w:color w:val="0070C0"/>
                <w:sz w:val="20"/>
              </w:rPr>
            </w:pPr>
          </w:p>
        </w:tc>
        <w:tc>
          <w:tcPr>
            <w:tcW w:w="1559" w:type="dxa"/>
            <w:vMerge/>
            <w:tcBorders>
              <w:top w:val="nil"/>
              <w:left w:val="single" w:sz="4" w:space="0" w:color="auto"/>
              <w:bottom w:val="single" w:sz="4" w:space="0" w:color="auto"/>
              <w:right w:val="single" w:sz="4" w:space="0" w:color="auto"/>
            </w:tcBorders>
            <w:vAlign w:val="center"/>
            <w:hideMark/>
          </w:tcPr>
          <w:p w14:paraId="562ECBC8" w14:textId="77777777" w:rsidR="0070017D" w:rsidRPr="00C15A2E" w:rsidRDefault="0070017D" w:rsidP="0001401C">
            <w:pPr>
              <w:rPr>
                <w:rFonts w:ascii="Arial Narrow" w:hAnsi="Arial Narrow"/>
                <w:bCs/>
                <w:sz w:val="20"/>
              </w:rPr>
            </w:pPr>
          </w:p>
        </w:tc>
        <w:tc>
          <w:tcPr>
            <w:tcW w:w="567" w:type="dxa"/>
            <w:gridSpan w:val="2"/>
            <w:tcBorders>
              <w:top w:val="nil"/>
              <w:left w:val="nil"/>
              <w:bottom w:val="single" w:sz="4" w:space="0" w:color="auto"/>
              <w:right w:val="single" w:sz="4" w:space="0" w:color="auto"/>
            </w:tcBorders>
            <w:shd w:val="clear" w:color="auto" w:fill="auto"/>
            <w:noWrap/>
            <w:vAlign w:val="bottom"/>
            <w:hideMark/>
          </w:tcPr>
          <w:p w14:paraId="5C4C9085"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center"/>
          </w:tcPr>
          <w:p w14:paraId="0051287E"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0.14</w:t>
            </w:r>
          </w:p>
        </w:tc>
        <w:tc>
          <w:tcPr>
            <w:tcW w:w="993" w:type="dxa"/>
            <w:tcBorders>
              <w:top w:val="nil"/>
              <w:left w:val="nil"/>
              <w:bottom w:val="single" w:sz="4" w:space="0" w:color="auto"/>
              <w:right w:val="single" w:sz="4" w:space="0" w:color="auto"/>
            </w:tcBorders>
            <w:shd w:val="clear" w:color="auto" w:fill="auto"/>
            <w:noWrap/>
            <w:vAlign w:val="center"/>
          </w:tcPr>
          <w:p w14:paraId="448B2C03"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0.09</w:t>
            </w:r>
          </w:p>
        </w:tc>
        <w:tc>
          <w:tcPr>
            <w:tcW w:w="1134" w:type="dxa"/>
            <w:tcBorders>
              <w:top w:val="nil"/>
              <w:left w:val="nil"/>
              <w:bottom w:val="single" w:sz="4" w:space="0" w:color="auto"/>
              <w:right w:val="single" w:sz="4" w:space="0" w:color="auto"/>
            </w:tcBorders>
            <w:shd w:val="clear" w:color="auto" w:fill="auto"/>
            <w:noWrap/>
            <w:vAlign w:val="center"/>
          </w:tcPr>
          <w:p w14:paraId="2A243873"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4A964EF8"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0.19</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03606CF8"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0000"/>
            <w:vAlign w:val="center"/>
          </w:tcPr>
          <w:p w14:paraId="254116A6" w14:textId="77777777" w:rsidR="0070017D" w:rsidRPr="001E684A" w:rsidRDefault="0070017D" w:rsidP="00AE0BFC">
            <w:pPr>
              <w:jc w:val="center"/>
              <w:rPr>
                <w:rFonts w:ascii="Arial Narrow" w:hAnsi="Arial Narrow"/>
                <w:color w:val="000000"/>
                <w:sz w:val="20"/>
              </w:rPr>
            </w:pPr>
            <w:r w:rsidRPr="001E684A">
              <w:rPr>
                <w:rFonts w:ascii="Arial Narrow" w:hAnsi="Arial Narrow"/>
                <w:color w:val="000000"/>
                <w:sz w:val="20"/>
              </w:rPr>
              <w:t>0.</w:t>
            </w:r>
            <w:r w:rsidR="00AE0BFC" w:rsidRPr="001E684A">
              <w:rPr>
                <w:rFonts w:ascii="Arial Narrow" w:hAnsi="Arial Narrow"/>
                <w:color w:val="000000"/>
                <w:sz w:val="20"/>
              </w:rPr>
              <w:t>1</w:t>
            </w:r>
            <w:r w:rsidR="00AE0BFC">
              <w:rPr>
                <w:rFonts w:ascii="Arial Narrow" w:hAnsi="Arial Narrow"/>
                <w:color w:val="000000"/>
                <w:sz w:val="20"/>
              </w:rPr>
              <w:t>9</w:t>
            </w:r>
          </w:p>
        </w:tc>
      </w:tr>
      <w:tr w:rsidR="0070017D" w:rsidRPr="00C15A2E" w14:paraId="72F31813" w14:textId="77777777" w:rsidTr="0070017D">
        <w:trPr>
          <w:trHeight w:val="240"/>
        </w:trPr>
        <w:tc>
          <w:tcPr>
            <w:tcW w:w="866" w:type="dxa"/>
            <w:vMerge/>
            <w:tcBorders>
              <w:top w:val="single" w:sz="4" w:space="0" w:color="auto"/>
              <w:left w:val="single" w:sz="4" w:space="0" w:color="auto"/>
              <w:bottom w:val="single" w:sz="4" w:space="0" w:color="auto"/>
              <w:right w:val="single" w:sz="4" w:space="0" w:color="auto"/>
            </w:tcBorders>
            <w:vAlign w:val="center"/>
            <w:hideMark/>
          </w:tcPr>
          <w:p w14:paraId="470648C5" w14:textId="77777777" w:rsidR="0070017D" w:rsidRPr="00C15A2E" w:rsidRDefault="0070017D" w:rsidP="0001401C">
            <w:pPr>
              <w:rPr>
                <w:rFonts w:ascii="Arial Narrow" w:hAnsi="Arial Narrow"/>
                <w:bCs/>
                <w:color w:val="0070C0"/>
                <w:sz w:val="20"/>
              </w:rPr>
            </w:pP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tcPr>
          <w:p w14:paraId="5722938B" w14:textId="77777777" w:rsidR="0070017D" w:rsidRPr="00C15A2E" w:rsidRDefault="0070017D" w:rsidP="0001401C">
            <w:pPr>
              <w:rPr>
                <w:rFonts w:ascii="Arial Narrow" w:hAnsi="Arial Narrow"/>
                <w:bCs/>
                <w:sz w:val="20"/>
              </w:rPr>
            </w:pPr>
            <w:r w:rsidRPr="00C15A2E">
              <w:rPr>
                <w:rFonts w:ascii="Arial Narrow" w:hAnsi="Arial Narrow"/>
                <w:bCs/>
                <w:sz w:val="20"/>
              </w:rPr>
              <w:t>Middle</w:t>
            </w:r>
          </w:p>
        </w:tc>
        <w:tc>
          <w:tcPr>
            <w:tcW w:w="567" w:type="dxa"/>
            <w:gridSpan w:val="2"/>
            <w:tcBorders>
              <w:top w:val="nil"/>
              <w:left w:val="nil"/>
              <w:bottom w:val="single" w:sz="4" w:space="0" w:color="auto"/>
              <w:right w:val="single" w:sz="4" w:space="0" w:color="auto"/>
            </w:tcBorders>
            <w:shd w:val="clear" w:color="auto" w:fill="auto"/>
            <w:noWrap/>
            <w:vAlign w:val="bottom"/>
          </w:tcPr>
          <w:p w14:paraId="64831D80" w14:textId="77777777" w:rsidR="0070017D" w:rsidRPr="00C15A2E" w:rsidRDefault="0070017D"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center"/>
          </w:tcPr>
          <w:p w14:paraId="150FA7D2"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0.33</w:t>
            </w:r>
          </w:p>
        </w:tc>
        <w:tc>
          <w:tcPr>
            <w:tcW w:w="993" w:type="dxa"/>
            <w:tcBorders>
              <w:top w:val="nil"/>
              <w:left w:val="nil"/>
              <w:bottom w:val="single" w:sz="4" w:space="0" w:color="auto"/>
              <w:right w:val="single" w:sz="4" w:space="0" w:color="auto"/>
            </w:tcBorders>
            <w:shd w:val="clear" w:color="auto" w:fill="auto"/>
            <w:noWrap/>
            <w:vAlign w:val="center"/>
          </w:tcPr>
          <w:p w14:paraId="14A5E17C"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0.14</w:t>
            </w:r>
          </w:p>
        </w:tc>
        <w:tc>
          <w:tcPr>
            <w:tcW w:w="1134" w:type="dxa"/>
            <w:tcBorders>
              <w:top w:val="nil"/>
              <w:left w:val="nil"/>
              <w:bottom w:val="single" w:sz="4" w:space="0" w:color="auto"/>
              <w:right w:val="single" w:sz="4" w:space="0" w:color="auto"/>
            </w:tcBorders>
            <w:shd w:val="clear" w:color="auto" w:fill="auto"/>
            <w:noWrap/>
            <w:vAlign w:val="center"/>
          </w:tcPr>
          <w:p w14:paraId="3AC7FC62"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252A0722"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0.15</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58605A6C"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0000"/>
            <w:vAlign w:val="center"/>
          </w:tcPr>
          <w:p w14:paraId="0379CE7C" w14:textId="77777777" w:rsidR="0070017D" w:rsidRPr="001E684A" w:rsidRDefault="0070017D" w:rsidP="001E684A">
            <w:pPr>
              <w:jc w:val="center"/>
              <w:rPr>
                <w:rFonts w:ascii="Arial Narrow" w:hAnsi="Arial Narrow"/>
                <w:color w:val="000000"/>
                <w:sz w:val="20"/>
              </w:rPr>
            </w:pPr>
            <w:r w:rsidRPr="001E684A">
              <w:rPr>
                <w:rFonts w:ascii="Arial Narrow" w:hAnsi="Arial Narrow"/>
                <w:color w:val="000000"/>
                <w:sz w:val="20"/>
              </w:rPr>
              <w:t>0.12</w:t>
            </w:r>
          </w:p>
        </w:tc>
      </w:tr>
      <w:tr w:rsidR="0070017D" w:rsidRPr="00C15A2E" w14:paraId="4CC88859" w14:textId="77777777" w:rsidTr="00FA06C2">
        <w:trPr>
          <w:trHeight w:val="240"/>
        </w:trPr>
        <w:tc>
          <w:tcPr>
            <w:tcW w:w="866" w:type="dxa"/>
            <w:vMerge/>
            <w:tcBorders>
              <w:top w:val="single" w:sz="4" w:space="0" w:color="auto"/>
              <w:left w:val="single" w:sz="4" w:space="0" w:color="auto"/>
              <w:bottom w:val="single" w:sz="4" w:space="0" w:color="auto"/>
              <w:right w:val="single" w:sz="4" w:space="0" w:color="auto"/>
            </w:tcBorders>
            <w:vAlign w:val="center"/>
            <w:hideMark/>
          </w:tcPr>
          <w:p w14:paraId="72EF9779" w14:textId="77777777" w:rsidR="0070017D" w:rsidRPr="00C15A2E" w:rsidRDefault="0070017D" w:rsidP="0001401C">
            <w:pPr>
              <w:rPr>
                <w:rFonts w:ascii="Arial Narrow" w:hAnsi="Arial Narrow"/>
                <w:bCs/>
                <w:color w:val="0070C0"/>
                <w:sz w:val="20"/>
              </w:rPr>
            </w:pPr>
          </w:p>
        </w:tc>
        <w:tc>
          <w:tcPr>
            <w:tcW w:w="1559" w:type="dxa"/>
            <w:vMerge/>
            <w:tcBorders>
              <w:top w:val="nil"/>
              <w:left w:val="single" w:sz="4" w:space="0" w:color="auto"/>
              <w:bottom w:val="single" w:sz="4" w:space="0" w:color="auto"/>
              <w:right w:val="single" w:sz="4" w:space="0" w:color="auto"/>
            </w:tcBorders>
            <w:vAlign w:val="center"/>
          </w:tcPr>
          <w:p w14:paraId="6C92DF7C" w14:textId="77777777" w:rsidR="0070017D" w:rsidRPr="00C15A2E" w:rsidRDefault="0070017D" w:rsidP="0001401C">
            <w:pPr>
              <w:rPr>
                <w:rFonts w:ascii="Arial Narrow" w:hAnsi="Arial Narrow"/>
                <w:bCs/>
                <w:sz w:val="20"/>
              </w:rPr>
            </w:pPr>
          </w:p>
        </w:tc>
        <w:tc>
          <w:tcPr>
            <w:tcW w:w="567" w:type="dxa"/>
            <w:gridSpan w:val="2"/>
            <w:tcBorders>
              <w:top w:val="nil"/>
              <w:left w:val="nil"/>
              <w:bottom w:val="single" w:sz="4" w:space="0" w:color="auto"/>
              <w:right w:val="single" w:sz="4" w:space="0" w:color="auto"/>
            </w:tcBorders>
            <w:shd w:val="clear" w:color="auto" w:fill="auto"/>
            <w:noWrap/>
            <w:vAlign w:val="bottom"/>
          </w:tcPr>
          <w:p w14:paraId="599492DA"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center"/>
          </w:tcPr>
          <w:p w14:paraId="33D2AA4F"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0.17</w:t>
            </w:r>
          </w:p>
        </w:tc>
        <w:tc>
          <w:tcPr>
            <w:tcW w:w="993" w:type="dxa"/>
            <w:tcBorders>
              <w:top w:val="nil"/>
              <w:left w:val="nil"/>
              <w:bottom w:val="single" w:sz="4" w:space="0" w:color="auto"/>
              <w:right w:val="single" w:sz="4" w:space="0" w:color="auto"/>
            </w:tcBorders>
            <w:shd w:val="clear" w:color="auto" w:fill="auto"/>
            <w:noWrap/>
            <w:vAlign w:val="center"/>
          </w:tcPr>
          <w:p w14:paraId="33DC6EDE"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0.28</w:t>
            </w:r>
          </w:p>
        </w:tc>
        <w:tc>
          <w:tcPr>
            <w:tcW w:w="1134" w:type="dxa"/>
            <w:tcBorders>
              <w:top w:val="nil"/>
              <w:left w:val="nil"/>
              <w:bottom w:val="single" w:sz="4" w:space="0" w:color="auto"/>
              <w:right w:val="single" w:sz="4" w:space="0" w:color="auto"/>
            </w:tcBorders>
            <w:shd w:val="clear" w:color="auto" w:fill="auto"/>
            <w:noWrap/>
            <w:vAlign w:val="center"/>
          </w:tcPr>
          <w:p w14:paraId="2A961025"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59F61895"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5119EE5C"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0000"/>
            <w:vAlign w:val="center"/>
          </w:tcPr>
          <w:p w14:paraId="6ADA1E47" w14:textId="77777777" w:rsidR="0070017D" w:rsidRPr="001E684A" w:rsidRDefault="0070017D" w:rsidP="001E684A">
            <w:pPr>
              <w:jc w:val="center"/>
              <w:rPr>
                <w:rFonts w:ascii="Arial Narrow" w:hAnsi="Arial Narrow"/>
                <w:color w:val="000000"/>
                <w:sz w:val="20"/>
              </w:rPr>
            </w:pPr>
            <w:r w:rsidRPr="001E684A">
              <w:rPr>
                <w:rFonts w:ascii="Arial Narrow" w:hAnsi="Arial Narrow"/>
                <w:color w:val="000000"/>
                <w:sz w:val="20"/>
              </w:rPr>
              <w:t>0.09</w:t>
            </w:r>
          </w:p>
        </w:tc>
      </w:tr>
      <w:tr w:rsidR="0070017D" w:rsidRPr="00C15A2E" w14:paraId="33BB17D8" w14:textId="77777777" w:rsidTr="001E684A">
        <w:trPr>
          <w:trHeight w:val="240"/>
        </w:trPr>
        <w:tc>
          <w:tcPr>
            <w:tcW w:w="866" w:type="dxa"/>
            <w:vMerge/>
            <w:tcBorders>
              <w:top w:val="single" w:sz="4" w:space="0" w:color="auto"/>
              <w:left w:val="single" w:sz="4" w:space="0" w:color="auto"/>
              <w:bottom w:val="single" w:sz="4" w:space="0" w:color="auto"/>
              <w:right w:val="single" w:sz="4" w:space="0" w:color="auto"/>
            </w:tcBorders>
            <w:vAlign w:val="center"/>
            <w:hideMark/>
          </w:tcPr>
          <w:p w14:paraId="4423903B" w14:textId="77777777" w:rsidR="0070017D" w:rsidRPr="00C15A2E" w:rsidRDefault="0070017D" w:rsidP="0001401C">
            <w:pPr>
              <w:rPr>
                <w:rFonts w:ascii="Arial Narrow" w:hAnsi="Arial Narrow"/>
                <w:bCs/>
                <w:color w:val="0070C0"/>
                <w:sz w:val="20"/>
              </w:rPr>
            </w:pP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60EF5E" w14:textId="77777777" w:rsidR="0070017D" w:rsidRPr="00C15A2E" w:rsidRDefault="0070017D" w:rsidP="0001401C">
            <w:pPr>
              <w:rPr>
                <w:rFonts w:ascii="Arial Narrow" w:hAnsi="Arial Narrow"/>
                <w:bCs/>
                <w:sz w:val="20"/>
              </w:rPr>
            </w:pPr>
            <w:r w:rsidRPr="00C15A2E">
              <w:rPr>
                <w:rFonts w:ascii="Arial Narrow" w:hAnsi="Arial Narrow"/>
                <w:bCs/>
                <w:sz w:val="20"/>
              </w:rPr>
              <w:t>Pelican</w:t>
            </w:r>
          </w:p>
        </w:tc>
        <w:tc>
          <w:tcPr>
            <w:tcW w:w="567" w:type="dxa"/>
            <w:gridSpan w:val="2"/>
            <w:tcBorders>
              <w:top w:val="nil"/>
              <w:left w:val="nil"/>
              <w:bottom w:val="single" w:sz="4" w:space="0" w:color="auto"/>
              <w:right w:val="single" w:sz="4" w:space="0" w:color="auto"/>
            </w:tcBorders>
            <w:shd w:val="clear" w:color="auto" w:fill="auto"/>
            <w:noWrap/>
            <w:vAlign w:val="bottom"/>
            <w:hideMark/>
          </w:tcPr>
          <w:p w14:paraId="58CBAB02" w14:textId="77777777" w:rsidR="0070017D" w:rsidRPr="00C15A2E" w:rsidRDefault="0070017D"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center"/>
          </w:tcPr>
          <w:p w14:paraId="186C5EF8"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0.01</w:t>
            </w:r>
          </w:p>
        </w:tc>
        <w:tc>
          <w:tcPr>
            <w:tcW w:w="993" w:type="dxa"/>
            <w:tcBorders>
              <w:top w:val="nil"/>
              <w:left w:val="nil"/>
              <w:bottom w:val="single" w:sz="4" w:space="0" w:color="auto"/>
              <w:right w:val="single" w:sz="4" w:space="0" w:color="auto"/>
            </w:tcBorders>
            <w:shd w:val="clear" w:color="auto" w:fill="auto"/>
            <w:noWrap/>
            <w:vAlign w:val="center"/>
          </w:tcPr>
          <w:p w14:paraId="10841182"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0.05</w:t>
            </w:r>
          </w:p>
        </w:tc>
        <w:tc>
          <w:tcPr>
            <w:tcW w:w="1134" w:type="dxa"/>
            <w:tcBorders>
              <w:top w:val="nil"/>
              <w:left w:val="nil"/>
              <w:bottom w:val="single" w:sz="4" w:space="0" w:color="auto"/>
              <w:right w:val="single" w:sz="4" w:space="0" w:color="auto"/>
            </w:tcBorders>
            <w:shd w:val="clear" w:color="auto" w:fill="auto"/>
            <w:noWrap/>
            <w:vAlign w:val="center"/>
          </w:tcPr>
          <w:p w14:paraId="35A071A8"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6735142B"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0.25</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7A53A32A"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0000"/>
            <w:vAlign w:val="center"/>
          </w:tcPr>
          <w:p w14:paraId="75A77186" w14:textId="77777777" w:rsidR="0070017D" w:rsidRPr="001E684A" w:rsidRDefault="0070017D" w:rsidP="001E684A">
            <w:pPr>
              <w:jc w:val="center"/>
              <w:rPr>
                <w:rFonts w:ascii="Arial Narrow" w:hAnsi="Arial Narrow"/>
                <w:color w:val="000000"/>
                <w:sz w:val="20"/>
              </w:rPr>
            </w:pPr>
            <w:r w:rsidRPr="001E684A">
              <w:rPr>
                <w:rFonts w:ascii="Arial Narrow" w:hAnsi="Arial Narrow"/>
                <w:color w:val="000000"/>
                <w:sz w:val="20"/>
              </w:rPr>
              <w:t>0.06</w:t>
            </w:r>
          </w:p>
        </w:tc>
      </w:tr>
      <w:tr w:rsidR="0070017D" w:rsidRPr="00C15A2E" w14:paraId="00B8EC30" w14:textId="77777777" w:rsidTr="001E684A">
        <w:trPr>
          <w:trHeight w:val="240"/>
        </w:trPr>
        <w:tc>
          <w:tcPr>
            <w:tcW w:w="866" w:type="dxa"/>
            <w:vMerge/>
            <w:tcBorders>
              <w:top w:val="single" w:sz="4" w:space="0" w:color="auto"/>
              <w:left w:val="single" w:sz="4" w:space="0" w:color="auto"/>
              <w:bottom w:val="single" w:sz="4" w:space="0" w:color="auto"/>
              <w:right w:val="single" w:sz="4" w:space="0" w:color="auto"/>
            </w:tcBorders>
            <w:vAlign w:val="center"/>
            <w:hideMark/>
          </w:tcPr>
          <w:p w14:paraId="2B8E7E2E" w14:textId="77777777" w:rsidR="0070017D" w:rsidRPr="00C15A2E" w:rsidRDefault="0070017D" w:rsidP="0001401C">
            <w:pPr>
              <w:rPr>
                <w:rFonts w:ascii="Arial Narrow" w:hAnsi="Arial Narrow"/>
                <w:bCs/>
                <w:color w:val="0070C0"/>
                <w:sz w:val="20"/>
              </w:rPr>
            </w:pPr>
          </w:p>
        </w:tc>
        <w:tc>
          <w:tcPr>
            <w:tcW w:w="1559" w:type="dxa"/>
            <w:vMerge/>
            <w:tcBorders>
              <w:top w:val="nil"/>
              <w:left w:val="single" w:sz="4" w:space="0" w:color="auto"/>
              <w:bottom w:val="single" w:sz="4" w:space="0" w:color="auto"/>
              <w:right w:val="single" w:sz="4" w:space="0" w:color="auto"/>
            </w:tcBorders>
            <w:vAlign w:val="center"/>
            <w:hideMark/>
          </w:tcPr>
          <w:p w14:paraId="148B73D8" w14:textId="77777777" w:rsidR="0070017D" w:rsidRPr="00C15A2E" w:rsidRDefault="0070017D" w:rsidP="0001401C">
            <w:pPr>
              <w:rPr>
                <w:rFonts w:ascii="Arial Narrow" w:hAnsi="Arial Narrow"/>
                <w:bCs/>
                <w:sz w:val="20"/>
              </w:rPr>
            </w:pPr>
          </w:p>
        </w:tc>
        <w:tc>
          <w:tcPr>
            <w:tcW w:w="567" w:type="dxa"/>
            <w:gridSpan w:val="2"/>
            <w:tcBorders>
              <w:top w:val="nil"/>
              <w:left w:val="nil"/>
              <w:bottom w:val="single" w:sz="4" w:space="0" w:color="auto"/>
              <w:right w:val="single" w:sz="4" w:space="0" w:color="auto"/>
            </w:tcBorders>
            <w:shd w:val="clear" w:color="auto" w:fill="auto"/>
            <w:noWrap/>
            <w:vAlign w:val="bottom"/>
            <w:hideMark/>
          </w:tcPr>
          <w:p w14:paraId="44E7E3BC"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center"/>
          </w:tcPr>
          <w:p w14:paraId="0F187AF7"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0.27</w:t>
            </w:r>
          </w:p>
        </w:tc>
        <w:tc>
          <w:tcPr>
            <w:tcW w:w="993" w:type="dxa"/>
            <w:tcBorders>
              <w:top w:val="nil"/>
              <w:left w:val="nil"/>
              <w:bottom w:val="single" w:sz="4" w:space="0" w:color="auto"/>
              <w:right w:val="single" w:sz="4" w:space="0" w:color="auto"/>
            </w:tcBorders>
            <w:shd w:val="clear" w:color="auto" w:fill="auto"/>
            <w:noWrap/>
            <w:vAlign w:val="center"/>
          </w:tcPr>
          <w:p w14:paraId="39321D23"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0.30</w:t>
            </w:r>
          </w:p>
        </w:tc>
        <w:tc>
          <w:tcPr>
            <w:tcW w:w="1134" w:type="dxa"/>
            <w:tcBorders>
              <w:top w:val="nil"/>
              <w:left w:val="nil"/>
              <w:bottom w:val="single" w:sz="4" w:space="0" w:color="auto"/>
              <w:right w:val="single" w:sz="4" w:space="0" w:color="auto"/>
            </w:tcBorders>
            <w:shd w:val="clear" w:color="auto" w:fill="auto"/>
            <w:noWrap/>
            <w:vAlign w:val="center"/>
          </w:tcPr>
          <w:p w14:paraId="5294A586"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2B9EEF68" w14:textId="77777777" w:rsidR="0070017D" w:rsidRPr="00C121F4" w:rsidRDefault="0070017D" w:rsidP="00AE0BFC">
            <w:pPr>
              <w:jc w:val="center"/>
              <w:rPr>
                <w:rFonts w:ascii="Arial Narrow" w:hAnsi="Arial Narrow"/>
                <w:color w:val="000000"/>
                <w:sz w:val="20"/>
              </w:rPr>
            </w:pPr>
            <w:r w:rsidRPr="00C121F4">
              <w:rPr>
                <w:rFonts w:ascii="Arial Narrow" w:hAnsi="Arial Narrow"/>
                <w:color w:val="000000"/>
                <w:sz w:val="20"/>
              </w:rPr>
              <w:t>0.</w:t>
            </w:r>
            <w:r w:rsidR="00AE0BFC">
              <w:rPr>
                <w:rFonts w:ascii="Arial Narrow" w:hAnsi="Arial Narrow"/>
                <w:color w:val="000000"/>
                <w:sz w:val="20"/>
              </w:rPr>
              <w:t>33</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0B532793"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993" w:type="dxa"/>
            <w:tcBorders>
              <w:top w:val="single" w:sz="4" w:space="0" w:color="auto"/>
              <w:left w:val="single" w:sz="4" w:space="0" w:color="auto"/>
              <w:bottom w:val="single" w:sz="4" w:space="0" w:color="auto"/>
              <w:right w:val="single" w:sz="4" w:space="0" w:color="auto"/>
            </w:tcBorders>
            <w:shd w:val="clear" w:color="auto" w:fill="FF0000"/>
            <w:vAlign w:val="center"/>
          </w:tcPr>
          <w:p w14:paraId="1021EE20" w14:textId="77777777" w:rsidR="0070017D" w:rsidRPr="001E684A" w:rsidRDefault="0070017D" w:rsidP="00AE0BFC">
            <w:pPr>
              <w:jc w:val="center"/>
              <w:rPr>
                <w:rFonts w:ascii="Arial Narrow" w:hAnsi="Arial Narrow"/>
                <w:color w:val="000000"/>
                <w:sz w:val="20"/>
              </w:rPr>
            </w:pPr>
            <w:r w:rsidRPr="001E684A">
              <w:rPr>
                <w:rFonts w:ascii="Arial Narrow" w:hAnsi="Arial Narrow"/>
                <w:color w:val="000000"/>
                <w:sz w:val="20"/>
              </w:rPr>
              <w:t>0.</w:t>
            </w:r>
            <w:r w:rsidR="00AE0BFC" w:rsidRPr="001E684A">
              <w:rPr>
                <w:rFonts w:ascii="Arial Narrow" w:hAnsi="Arial Narrow"/>
                <w:color w:val="000000"/>
                <w:sz w:val="20"/>
              </w:rPr>
              <w:t>1</w:t>
            </w:r>
            <w:r w:rsidR="00AE0BFC">
              <w:rPr>
                <w:rFonts w:ascii="Arial Narrow" w:hAnsi="Arial Narrow"/>
                <w:color w:val="000000"/>
                <w:sz w:val="20"/>
              </w:rPr>
              <w:t>8</w:t>
            </w:r>
          </w:p>
        </w:tc>
      </w:tr>
      <w:tr w:rsidR="0070017D" w:rsidRPr="00C15A2E" w14:paraId="7A177A00" w14:textId="77777777" w:rsidTr="00F17819">
        <w:trPr>
          <w:trHeight w:val="240"/>
        </w:trPr>
        <w:tc>
          <w:tcPr>
            <w:tcW w:w="866" w:type="dxa"/>
            <w:vMerge/>
            <w:tcBorders>
              <w:top w:val="single" w:sz="4" w:space="0" w:color="auto"/>
              <w:left w:val="single" w:sz="4" w:space="0" w:color="auto"/>
              <w:bottom w:val="single" w:sz="4" w:space="0" w:color="auto"/>
              <w:right w:val="single" w:sz="4" w:space="0" w:color="auto"/>
            </w:tcBorders>
            <w:vAlign w:val="center"/>
            <w:hideMark/>
          </w:tcPr>
          <w:p w14:paraId="5149A782" w14:textId="77777777" w:rsidR="0070017D" w:rsidRPr="00C15A2E" w:rsidRDefault="0070017D" w:rsidP="0001401C">
            <w:pPr>
              <w:rPr>
                <w:rFonts w:ascii="Arial Narrow" w:hAnsi="Arial Narrow"/>
                <w:bCs/>
                <w:color w:val="0070C0"/>
                <w:sz w:val="20"/>
              </w:rPr>
            </w:pP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ABF74E" w14:textId="77777777" w:rsidR="0070017D" w:rsidRPr="00C15A2E" w:rsidRDefault="0070017D" w:rsidP="0001401C">
            <w:pPr>
              <w:rPr>
                <w:rFonts w:ascii="Arial Narrow" w:hAnsi="Arial Narrow"/>
                <w:bCs/>
                <w:sz w:val="20"/>
              </w:rPr>
            </w:pPr>
            <w:r w:rsidRPr="00C15A2E">
              <w:rPr>
                <w:rFonts w:ascii="Arial Narrow" w:hAnsi="Arial Narrow"/>
                <w:bCs/>
                <w:sz w:val="20"/>
              </w:rPr>
              <w:t>Peak</w:t>
            </w:r>
          </w:p>
        </w:tc>
        <w:tc>
          <w:tcPr>
            <w:tcW w:w="567" w:type="dxa"/>
            <w:gridSpan w:val="2"/>
            <w:tcBorders>
              <w:top w:val="nil"/>
              <w:left w:val="nil"/>
              <w:bottom w:val="single" w:sz="4" w:space="0" w:color="auto"/>
              <w:right w:val="single" w:sz="4" w:space="0" w:color="auto"/>
            </w:tcBorders>
            <w:shd w:val="clear" w:color="auto" w:fill="auto"/>
            <w:noWrap/>
            <w:vAlign w:val="bottom"/>
            <w:hideMark/>
          </w:tcPr>
          <w:p w14:paraId="0D3B1872" w14:textId="77777777" w:rsidR="0070017D" w:rsidRPr="00C15A2E" w:rsidRDefault="0070017D" w:rsidP="0001401C">
            <w:pPr>
              <w:jc w:val="center"/>
              <w:rPr>
                <w:rFonts w:ascii="Arial Narrow" w:hAnsi="Arial Narrow"/>
                <w:bCs/>
                <w:sz w:val="20"/>
              </w:rPr>
            </w:pPr>
            <w:r w:rsidRPr="00C15A2E">
              <w:rPr>
                <w:rFonts w:ascii="Arial Narrow" w:hAnsi="Arial Narrow"/>
                <w:bCs/>
                <w:sz w:val="20"/>
              </w:rPr>
              <w:t>2</w:t>
            </w:r>
          </w:p>
        </w:tc>
        <w:tc>
          <w:tcPr>
            <w:tcW w:w="992" w:type="dxa"/>
            <w:tcBorders>
              <w:top w:val="nil"/>
              <w:left w:val="nil"/>
              <w:bottom w:val="single" w:sz="4" w:space="0" w:color="auto"/>
              <w:right w:val="single" w:sz="4" w:space="0" w:color="auto"/>
            </w:tcBorders>
            <w:shd w:val="clear" w:color="auto" w:fill="auto"/>
            <w:noWrap/>
            <w:vAlign w:val="center"/>
          </w:tcPr>
          <w:p w14:paraId="2F258E3A"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0.12</w:t>
            </w:r>
          </w:p>
        </w:tc>
        <w:tc>
          <w:tcPr>
            <w:tcW w:w="993" w:type="dxa"/>
            <w:tcBorders>
              <w:top w:val="nil"/>
              <w:left w:val="nil"/>
              <w:bottom w:val="single" w:sz="4" w:space="0" w:color="auto"/>
              <w:right w:val="single" w:sz="4" w:space="0" w:color="auto"/>
            </w:tcBorders>
            <w:shd w:val="clear" w:color="auto" w:fill="auto"/>
            <w:noWrap/>
            <w:vAlign w:val="center"/>
          </w:tcPr>
          <w:p w14:paraId="4ECE257B"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0.08</w:t>
            </w:r>
          </w:p>
        </w:tc>
        <w:tc>
          <w:tcPr>
            <w:tcW w:w="1134" w:type="dxa"/>
            <w:tcBorders>
              <w:top w:val="nil"/>
              <w:left w:val="nil"/>
              <w:bottom w:val="single" w:sz="4" w:space="0" w:color="auto"/>
              <w:right w:val="single" w:sz="4" w:space="0" w:color="auto"/>
            </w:tcBorders>
            <w:shd w:val="clear" w:color="auto" w:fill="auto"/>
            <w:noWrap/>
            <w:vAlign w:val="center"/>
          </w:tcPr>
          <w:p w14:paraId="5580B46D"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4596A425" w14:textId="77777777" w:rsidR="0070017D" w:rsidRPr="00C121F4" w:rsidRDefault="0070017D" w:rsidP="00AE0BFC">
            <w:pPr>
              <w:jc w:val="center"/>
              <w:rPr>
                <w:rFonts w:ascii="Arial Narrow" w:hAnsi="Arial Narrow"/>
                <w:color w:val="000000"/>
                <w:sz w:val="20"/>
              </w:rPr>
            </w:pPr>
            <w:r w:rsidRPr="00C121F4">
              <w:rPr>
                <w:rFonts w:ascii="Arial Narrow" w:hAnsi="Arial Narrow"/>
                <w:color w:val="000000"/>
                <w:sz w:val="20"/>
              </w:rPr>
              <w:t>0.</w:t>
            </w:r>
            <w:r w:rsidR="00AE0BFC" w:rsidRPr="00C121F4">
              <w:rPr>
                <w:rFonts w:ascii="Arial Narrow" w:hAnsi="Arial Narrow"/>
                <w:color w:val="000000"/>
                <w:sz w:val="20"/>
              </w:rPr>
              <w:t>3</w:t>
            </w:r>
            <w:r w:rsidR="00AE0BFC">
              <w:rPr>
                <w:rFonts w:ascii="Arial Narrow" w:hAnsi="Arial Narrow"/>
                <w:color w:val="000000"/>
                <w:sz w:val="20"/>
              </w:rPr>
              <w:t>2</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3F240485"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0000"/>
            <w:vAlign w:val="center"/>
          </w:tcPr>
          <w:p w14:paraId="63CE3D6D" w14:textId="77777777" w:rsidR="0070017D" w:rsidRPr="001E684A" w:rsidRDefault="0070017D" w:rsidP="001E684A">
            <w:pPr>
              <w:jc w:val="center"/>
              <w:rPr>
                <w:rFonts w:ascii="Arial Narrow" w:hAnsi="Arial Narrow"/>
                <w:color w:val="000000"/>
                <w:sz w:val="20"/>
              </w:rPr>
            </w:pPr>
            <w:r w:rsidRPr="001E684A">
              <w:rPr>
                <w:rFonts w:ascii="Arial Narrow" w:hAnsi="Arial Narrow"/>
                <w:color w:val="000000"/>
                <w:sz w:val="20"/>
              </w:rPr>
              <w:t>0.20</w:t>
            </w:r>
          </w:p>
        </w:tc>
      </w:tr>
      <w:tr w:rsidR="0070017D" w:rsidRPr="00C15A2E" w14:paraId="47EEF36A" w14:textId="77777777" w:rsidTr="00F17819">
        <w:trPr>
          <w:trHeight w:val="300"/>
        </w:trPr>
        <w:tc>
          <w:tcPr>
            <w:tcW w:w="866" w:type="dxa"/>
            <w:vMerge/>
            <w:tcBorders>
              <w:top w:val="single" w:sz="4" w:space="0" w:color="auto"/>
              <w:left w:val="single" w:sz="4" w:space="0" w:color="auto"/>
              <w:bottom w:val="single" w:sz="4" w:space="0" w:color="auto"/>
              <w:right w:val="single" w:sz="4" w:space="0" w:color="auto"/>
            </w:tcBorders>
            <w:vAlign w:val="center"/>
            <w:hideMark/>
          </w:tcPr>
          <w:p w14:paraId="71B0586B" w14:textId="77777777" w:rsidR="0070017D" w:rsidRPr="00C15A2E" w:rsidRDefault="0070017D" w:rsidP="0001401C">
            <w:pPr>
              <w:rPr>
                <w:rFonts w:ascii="Arial Narrow" w:hAnsi="Arial Narrow"/>
                <w:bCs/>
                <w:color w:val="0070C0"/>
                <w:sz w:val="20"/>
              </w:rPr>
            </w:pPr>
          </w:p>
        </w:tc>
        <w:tc>
          <w:tcPr>
            <w:tcW w:w="1559" w:type="dxa"/>
            <w:vMerge/>
            <w:tcBorders>
              <w:top w:val="nil"/>
              <w:left w:val="single" w:sz="4" w:space="0" w:color="auto"/>
              <w:bottom w:val="single" w:sz="4" w:space="0" w:color="auto"/>
              <w:right w:val="single" w:sz="4" w:space="0" w:color="auto"/>
            </w:tcBorders>
            <w:vAlign w:val="center"/>
            <w:hideMark/>
          </w:tcPr>
          <w:p w14:paraId="153CFBFB" w14:textId="77777777" w:rsidR="0070017D" w:rsidRPr="00C15A2E" w:rsidRDefault="0070017D" w:rsidP="0001401C">
            <w:pPr>
              <w:rPr>
                <w:rFonts w:ascii="Arial Narrow" w:hAnsi="Arial Narrow"/>
                <w:bCs/>
                <w:sz w:val="20"/>
              </w:rPr>
            </w:pPr>
          </w:p>
        </w:tc>
        <w:tc>
          <w:tcPr>
            <w:tcW w:w="567" w:type="dxa"/>
            <w:gridSpan w:val="2"/>
            <w:tcBorders>
              <w:top w:val="nil"/>
              <w:left w:val="nil"/>
              <w:bottom w:val="single" w:sz="4" w:space="0" w:color="auto"/>
              <w:right w:val="single" w:sz="4" w:space="0" w:color="auto"/>
            </w:tcBorders>
            <w:shd w:val="clear" w:color="auto" w:fill="auto"/>
            <w:noWrap/>
            <w:vAlign w:val="bottom"/>
            <w:hideMark/>
          </w:tcPr>
          <w:p w14:paraId="5F9B9071" w14:textId="77777777" w:rsidR="0070017D" w:rsidRPr="00C15A2E" w:rsidRDefault="0070017D" w:rsidP="0001401C">
            <w:pPr>
              <w:jc w:val="center"/>
              <w:rPr>
                <w:rFonts w:ascii="Arial Narrow" w:hAnsi="Arial Narrow"/>
                <w:bCs/>
                <w:sz w:val="20"/>
              </w:rPr>
            </w:pPr>
            <w:r w:rsidRPr="00C15A2E">
              <w:rPr>
                <w:rFonts w:ascii="Arial Narrow" w:hAnsi="Arial Narrow"/>
                <w:bCs/>
                <w:sz w:val="20"/>
              </w:rPr>
              <w:t>5</w:t>
            </w:r>
          </w:p>
        </w:tc>
        <w:tc>
          <w:tcPr>
            <w:tcW w:w="992" w:type="dxa"/>
            <w:tcBorders>
              <w:top w:val="nil"/>
              <w:left w:val="nil"/>
              <w:bottom w:val="single" w:sz="4" w:space="0" w:color="auto"/>
              <w:right w:val="single" w:sz="4" w:space="0" w:color="auto"/>
            </w:tcBorders>
            <w:shd w:val="clear" w:color="auto" w:fill="auto"/>
            <w:noWrap/>
            <w:vAlign w:val="center"/>
          </w:tcPr>
          <w:p w14:paraId="6E012B18"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0.33</w:t>
            </w:r>
          </w:p>
        </w:tc>
        <w:tc>
          <w:tcPr>
            <w:tcW w:w="993" w:type="dxa"/>
            <w:tcBorders>
              <w:top w:val="nil"/>
              <w:left w:val="nil"/>
              <w:right w:val="single" w:sz="4" w:space="0" w:color="auto"/>
            </w:tcBorders>
            <w:shd w:val="clear" w:color="auto" w:fill="auto"/>
            <w:noWrap/>
            <w:vAlign w:val="center"/>
          </w:tcPr>
          <w:p w14:paraId="3DDF3513"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0.37</w:t>
            </w:r>
          </w:p>
        </w:tc>
        <w:tc>
          <w:tcPr>
            <w:tcW w:w="1134" w:type="dxa"/>
            <w:tcBorders>
              <w:top w:val="nil"/>
              <w:left w:val="nil"/>
              <w:bottom w:val="single" w:sz="4" w:space="0" w:color="auto"/>
              <w:right w:val="single" w:sz="4" w:space="0" w:color="auto"/>
            </w:tcBorders>
            <w:shd w:val="clear" w:color="auto" w:fill="auto"/>
            <w:noWrap/>
            <w:vAlign w:val="center"/>
          </w:tcPr>
          <w:p w14:paraId="3703EF65"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0.00</w:t>
            </w:r>
          </w:p>
        </w:tc>
        <w:tc>
          <w:tcPr>
            <w:tcW w:w="1134" w:type="dxa"/>
            <w:tcBorders>
              <w:top w:val="nil"/>
              <w:left w:val="nil"/>
              <w:bottom w:val="single" w:sz="4" w:space="0" w:color="auto"/>
              <w:right w:val="single" w:sz="4" w:space="0" w:color="auto"/>
            </w:tcBorders>
            <w:shd w:val="clear" w:color="auto" w:fill="auto"/>
            <w:noWrap/>
            <w:vAlign w:val="center"/>
          </w:tcPr>
          <w:p w14:paraId="2D03D933"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0.15</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07B03566"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0.50</w:t>
            </w:r>
          </w:p>
        </w:tc>
        <w:tc>
          <w:tcPr>
            <w:tcW w:w="993" w:type="dxa"/>
            <w:tcBorders>
              <w:top w:val="single" w:sz="4" w:space="0" w:color="auto"/>
              <w:left w:val="single" w:sz="4" w:space="0" w:color="auto"/>
              <w:bottom w:val="single" w:sz="4" w:space="0" w:color="auto"/>
              <w:right w:val="single" w:sz="4" w:space="0" w:color="auto"/>
            </w:tcBorders>
            <w:shd w:val="clear" w:color="auto" w:fill="FFC000"/>
            <w:vAlign w:val="center"/>
          </w:tcPr>
          <w:p w14:paraId="0DFD428E" w14:textId="77777777" w:rsidR="0070017D" w:rsidRPr="001E684A" w:rsidRDefault="0070017D" w:rsidP="001E684A">
            <w:pPr>
              <w:jc w:val="center"/>
              <w:rPr>
                <w:rFonts w:ascii="Arial Narrow" w:hAnsi="Arial Narrow"/>
                <w:color w:val="000000"/>
                <w:sz w:val="20"/>
              </w:rPr>
            </w:pPr>
            <w:r w:rsidRPr="001E684A">
              <w:rPr>
                <w:rFonts w:ascii="Arial Narrow" w:hAnsi="Arial Narrow"/>
                <w:color w:val="000000"/>
                <w:sz w:val="20"/>
              </w:rPr>
              <w:t>0.27</w:t>
            </w:r>
          </w:p>
        </w:tc>
      </w:tr>
      <w:tr w:rsidR="0070017D" w:rsidRPr="00C15A2E" w14:paraId="54ACA3EF" w14:textId="77777777" w:rsidTr="00F17819">
        <w:trPr>
          <w:trHeight w:val="300"/>
        </w:trPr>
        <w:tc>
          <w:tcPr>
            <w:tcW w:w="2992" w:type="dxa"/>
            <w:gridSpan w:val="4"/>
            <w:tcBorders>
              <w:top w:val="single" w:sz="4" w:space="0" w:color="auto"/>
              <w:left w:val="single" w:sz="4" w:space="0" w:color="auto"/>
              <w:bottom w:val="single" w:sz="4" w:space="0" w:color="auto"/>
              <w:right w:val="single" w:sz="4" w:space="0" w:color="auto"/>
            </w:tcBorders>
            <w:shd w:val="clear" w:color="auto" w:fill="FFC000"/>
            <w:noWrap/>
            <w:vAlign w:val="center"/>
            <w:hideMark/>
          </w:tcPr>
          <w:p w14:paraId="34FCFB55" w14:textId="77777777" w:rsidR="0070017D" w:rsidRPr="000A752A" w:rsidRDefault="0070017D" w:rsidP="0001401C">
            <w:pPr>
              <w:jc w:val="center"/>
              <w:rPr>
                <w:rFonts w:ascii="Arial Narrow" w:hAnsi="Arial Narrow"/>
                <w:b/>
                <w:bCs/>
                <w:color w:val="0070C0"/>
                <w:sz w:val="20"/>
              </w:rPr>
            </w:pPr>
            <w:r w:rsidRPr="000A752A">
              <w:rPr>
                <w:rFonts w:ascii="Arial Narrow" w:hAnsi="Arial Narrow"/>
                <w:b/>
                <w:bCs/>
                <w:sz w:val="20"/>
              </w:rPr>
              <w:t>Report Card Score - Poor</w:t>
            </w:r>
          </w:p>
        </w:tc>
        <w:tc>
          <w:tcPr>
            <w:tcW w:w="992" w:type="dxa"/>
            <w:tcBorders>
              <w:top w:val="nil"/>
              <w:left w:val="nil"/>
              <w:bottom w:val="single" w:sz="4" w:space="0" w:color="auto"/>
              <w:right w:val="single" w:sz="4" w:space="0" w:color="auto"/>
            </w:tcBorders>
            <w:shd w:val="clear" w:color="auto" w:fill="FFC000"/>
            <w:noWrap/>
            <w:vAlign w:val="center"/>
          </w:tcPr>
          <w:p w14:paraId="6842ACD7" w14:textId="77777777" w:rsidR="0070017D" w:rsidRPr="00C121F4" w:rsidRDefault="0070017D" w:rsidP="00D02411">
            <w:pPr>
              <w:jc w:val="center"/>
              <w:rPr>
                <w:rFonts w:ascii="Arial Narrow" w:hAnsi="Arial Narrow"/>
                <w:color w:val="000000"/>
                <w:sz w:val="20"/>
              </w:rPr>
            </w:pPr>
            <w:r w:rsidRPr="00C121F4">
              <w:rPr>
                <w:rFonts w:ascii="Arial Narrow" w:hAnsi="Arial Narrow"/>
                <w:color w:val="000000"/>
                <w:sz w:val="20"/>
              </w:rPr>
              <w:t>0.</w:t>
            </w:r>
            <w:r w:rsidR="00D02411" w:rsidRPr="00C121F4">
              <w:rPr>
                <w:rFonts w:ascii="Arial Narrow" w:hAnsi="Arial Narrow"/>
                <w:color w:val="000000"/>
                <w:sz w:val="20"/>
              </w:rPr>
              <w:t>2</w:t>
            </w:r>
            <w:r w:rsidR="00D02411">
              <w:rPr>
                <w:rFonts w:ascii="Arial Narrow" w:hAnsi="Arial Narrow"/>
                <w:color w:val="000000"/>
                <w:sz w:val="20"/>
              </w:rPr>
              <w:t>5</w:t>
            </w:r>
          </w:p>
        </w:tc>
        <w:tc>
          <w:tcPr>
            <w:tcW w:w="993" w:type="dxa"/>
            <w:tcBorders>
              <w:top w:val="nil"/>
              <w:left w:val="nil"/>
              <w:bottom w:val="single" w:sz="4" w:space="0" w:color="auto"/>
              <w:right w:val="single" w:sz="4" w:space="0" w:color="auto"/>
            </w:tcBorders>
            <w:shd w:val="clear" w:color="auto" w:fill="FF0000"/>
            <w:noWrap/>
            <w:vAlign w:val="center"/>
          </w:tcPr>
          <w:p w14:paraId="60EDA073" w14:textId="77777777" w:rsidR="0070017D" w:rsidRPr="00D02411" w:rsidRDefault="00D02411" w:rsidP="00D02411">
            <w:pPr>
              <w:jc w:val="center"/>
              <w:rPr>
                <w:rFonts w:ascii="Arial Narrow" w:hAnsi="Arial Narrow"/>
                <w:color w:val="FFC000"/>
                <w:sz w:val="20"/>
              </w:rPr>
            </w:pPr>
            <w:r>
              <w:rPr>
                <w:rFonts w:ascii="Arial Narrow" w:hAnsi="Arial Narrow"/>
                <w:color w:val="000000"/>
                <w:sz w:val="20"/>
              </w:rPr>
              <w:t>0.2</w:t>
            </w:r>
            <w:r w:rsidR="00AE0BFC">
              <w:rPr>
                <w:rFonts w:ascii="Arial Narrow" w:hAnsi="Arial Narrow"/>
                <w:color w:val="000000"/>
                <w:sz w:val="20"/>
              </w:rPr>
              <w:t>0</w:t>
            </w:r>
          </w:p>
        </w:tc>
        <w:tc>
          <w:tcPr>
            <w:tcW w:w="1134" w:type="dxa"/>
            <w:tcBorders>
              <w:top w:val="nil"/>
              <w:left w:val="nil"/>
              <w:bottom w:val="single" w:sz="4" w:space="0" w:color="auto"/>
              <w:right w:val="single" w:sz="4" w:space="0" w:color="auto"/>
            </w:tcBorders>
            <w:shd w:val="clear" w:color="000000" w:fill="FF0000"/>
            <w:noWrap/>
            <w:vAlign w:val="center"/>
          </w:tcPr>
          <w:p w14:paraId="17314EA5"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0.08</w:t>
            </w:r>
          </w:p>
        </w:tc>
        <w:tc>
          <w:tcPr>
            <w:tcW w:w="1134" w:type="dxa"/>
            <w:tcBorders>
              <w:top w:val="nil"/>
              <w:left w:val="nil"/>
              <w:bottom w:val="single" w:sz="4" w:space="0" w:color="auto"/>
              <w:right w:val="single" w:sz="4" w:space="0" w:color="auto"/>
            </w:tcBorders>
            <w:shd w:val="clear" w:color="auto" w:fill="FFC000"/>
            <w:noWrap/>
            <w:vAlign w:val="center"/>
          </w:tcPr>
          <w:p w14:paraId="59A2D4E0"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0.33</w:t>
            </w:r>
          </w:p>
        </w:tc>
        <w:tc>
          <w:tcPr>
            <w:tcW w:w="1275" w:type="dxa"/>
            <w:tcBorders>
              <w:top w:val="nil"/>
              <w:left w:val="single" w:sz="4" w:space="0" w:color="auto"/>
              <w:bottom w:val="single" w:sz="4" w:space="0" w:color="auto"/>
              <w:right w:val="single" w:sz="4" w:space="0" w:color="auto"/>
            </w:tcBorders>
            <w:shd w:val="clear" w:color="auto" w:fill="FFC000"/>
            <w:noWrap/>
            <w:vAlign w:val="center"/>
          </w:tcPr>
          <w:p w14:paraId="56CD7369" w14:textId="77777777" w:rsidR="0070017D" w:rsidRPr="00C121F4" w:rsidRDefault="0070017D" w:rsidP="001E684A">
            <w:pPr>
              <w:jc w:val="center"/>
              <w:rPr>
                <w:rFonts w:ascii="Arial Narrow" w:hAnsi="Arial Narrow"/>
                <w:color w:val="000000"/>
                <w:sz w:val="20"/>
              </w:rPr>
            </w:pPr>
            <w:r w:rsidRPr="00C121F4">
              <w:rPr>
                <w:rFonts w:ascii="Arial Narrow" w:hAnsi="Arial Narrow"/>
                <w:color w:val="000000"/>
                <w:sz w:val="20"/>
              </w:rPr>
              <w:t>0.21</w:t>
            </w:r>
          </w:p>
        </w:tc>
        <w:tc>
          <w:tcPr>
            <w:tcW w:w="993" w:type="dxa"/>
            <w:tcBorders>
              <w:top w:val="nil"/>
              <w:left w:val="single" w:sz="4" w:space="0" w:color="auto"/>
              <w:bottom w:val="single" w:sz="4" w:space="0" w:color="auto"/>
              <w:right w:val="single" w:sz="4" w:space="0" w:color="auto"/>
            </w:tcBorders>
            <w:shd w:val="clear" w:color="auto" w:fill="FFC000"/>
            <w:vAlign w:val="center"/>
          </w:tcPr>
          <w:p w14:paraId="22D15B6A" w14:textId="77777777" w:rsidR="0070017D" w:rsidRPr="001E684A" w:rsidRDefault="0070017D" w:rsidP="00D02411">
            <w:pPr>
              <w:jc w:val="center"/>
              <w:rPr>
                <w:rFonts w:ascii="Arial Narrow" w:hAnsi="Arial Narrow"/>
                <w:color w:val="000000"/>
                <w:sz w:val="20"/>
              </w:rPr>
            </w:pPr>
            <w:r w:rsidRPr="001E684A">
              <w:rPr>
                <w:rFonts w:ascii="Arial Narrow" w:hAnsi="Arial Narrow"/>
                <w:color w:val="000000"/>
                <w:sz w:val="20"/>
              </w:rPr>
              <w:t>0.</w:t>
            </w:r>
            <w:r w:rsidR="00D02411" w:rsidRPr="001E684A">
              <w:rPr>
                <w:rFonts w:ascii="Arial Narrow" w:hAnsi="Arial Narrow"/>
                <w:color w:val="000000"/>
                <w:sz w:val="20"/>
              </w:rPr>
              <w:t>2</w:t>
            </w:r>
            <w:r w:rsidR="00D02411">
              <w:rPr>
                <w:rFonts w:ascii="Arial Narrow" w:hAnsi="Arial Narrow"/>
                <w:color w:val="000000"/>
                <w:sz w:val="20"/>
              </w:rPr>
              <w:t>2</w:t>
            </w:r>
          </w:p>
        </w:tc>
      </w:tr>
    </w:tbl>
    <w:p w14:paraId="7E19EB07" w14:textId="77777777" w:rsidR="00546EB8" w:rsidRDefault="00546EB8">
      <w:pPr>
        <w:rPr>
          <w:color w:val="0070C0"/>
          <w:lang w:val="en-AU"/>
        </w:rPr>
        <w:sectPr w:rsidR="00546EB8" w:rsidSect="006608FC">
          <w:pgSz w:w="11907" w:h="16840" w:code="9"/>
          <w:pgMar w:top="1440" w:right="1134" w:bottom="1440" w:left="1134" w:header="709" w:footer="709" w:gutter="0"/>
          <w:cols w:space="708"/>
          <w:docGrid w:linePitch="360"/>
        </w:sectPr>
      </w:pPr>
    </w:p>
    <w:p w14:paraId="435A5844" w14:textId="77777777" w:rsidR="000C6FB1" w:rsidRPr="007304CF" w:rsidRDefault="0063376B" w:rsidP="0063376B">
      <w:pPr>
        <w:pStyle w:val="Heading7"/>
        <w:rPr>
          <w:rStyle w:val="IntenseReference"/>
          <w:rFonts w:eastAsia="SimSun"/>
          <w:bCs w:val="0"/>
          <w:color w:val="auto"/>
          <w:szCs w:val="24"/>
        </w:rPr>
      </w:pPr>
      <w:bookmarkStart w:id="444" w:name="_Ref460423145"/>
      <w:bookmarkStart w:id="445" w:name="_Toc437424465"/>
      <w:bookmarkStart w:id="446" w:name="_Toc437424589"/>
      <w:bookmarkStart w:id="447" w:name="_Toc437432518"/>
      <w:bookmarkStart w:id="448" w:name="_Toc460491686"/>
      <w:r>
        <w:lastRenderedPageBreak/>
        <w:t xml:space="preserve">Table A </w:t>
      </w:r>
      <w:r>
        <w:fldChar w:fldCharType="begin"/>
      </w:r>
      <w:r>
        <w:instrText xml:space="preserve"> SEQ Table_A \* ARABIC </w:instrText>
      </w:r>
      <w:r>
        <w:fldChar w:fldCharType="separate"/>
      </w:r>
      <w:r w:rsidR="00B61881">
        <w:rPr>
          <w:noProof/>
        </w:rPr>
        <w:t>4</w:t>
      </w:r>
      <w:r>
        <w:fldChar w:fldCharType="end"/>
      </w:r>
      <w:bookmarkEnd w:id="444"/>
      <w:r w:rsidR="006E3C16">
        <w:t xml:space="preserve">: </w:t>
      </w:r>
      <w:r w:rsidR="0004538B" w:rsidRPr="0063376B">
        <w:rPr>
          <w:rFonts w:eastAsia="SimSun"/>
        </w:rPr>
        <w:t xml:space="preserve">Environmental covariates for coral </w:t>
      </w:r>
      <w:r w:rsidR="00DA7B6E" w:rsidRPr="0063376B">
        <w:rPr>
          <w:rFonts w:eastAsia="SimSun"/>
        </w:rPr>
        <w:t>locations</w:t>
      </w:r>
      <w:bookmarkEnd w:id="445"/>
      <w:bookmarkEnd w:id="446"/>
      <w:bookmarkEnd w:id="447"/>
      <w:bookmarkEnd w:id="448"/>
    </w:p>
    <w:p w14:paraId="7BF8F1C1" w14:textId="77777777" w:rsidR="008A1A24" w:rsidRPr="00AC42FA" w:rsidRDefault="00AC42FA" w:rsidP="00C121F4">
      <w:pPr>
        <w:spacing w:after="200"/>
        <w:rPr>
          <w:color w:val="000000" w:themeColor="text1"/>
          <w:lang w:val="en-AU"/>
        </w:rPr>
      </w:pPr>
      <w:r w:rsidRPr="00AC42FA">
        <w:rPr>
          <w:rStyle w:val="IntenseReference"/>
          <w:rFonts w:eastAsia="SimSun"/>
        </w:rPr>
        <w:t>For p</w:t>
      </w:r>
      <w:r w:rsidR="00DA7B6E" w:rsidRPr="00AC42FA">
        <w:rPr>
          <w:rStyle w:val="IntenseReference"/>
          <w:rFonts w:eastAsia="SimSun"/>
        </w:rPr>
        <w:t>lu</w:t>
      </w:r>
      <w:r w:rsidRPr="00AC42FA">
        <w:rPr>
          <w:rStyle w:val="IntenseReference"/>
          <w:rFonts w:eastAsia="SimSun"/>
        </w:rPr>
        <w:t xml:space="preserve">me-type water exposure estimate, Chlorophyll a (chl) and Non algal particulates (nap) a square of nine 1km square pixels was selected adjacent to each reef location. From these pixels the mean exposure to plume type waters over the period 2003-2015 </w:t>
      </w:r>
      <w:r w:rsidRPr="00893B6E">
        <w:rPr>
          <w:rStyle w:val="IntenseReference"/>
          <w:rFonts w:eastAsia="SimSun"/>
        </w:rPr>
        <w:t xml:space="preserve">(Figure </w:t>
      </w:r>
      <w:r w:rsidR="003B5B93" w:rsidRPr="00893B6E">
        <w:rPr>
          <w:rStyle w:val="IntenseReference"/>
          <w:rFonts w:eastAsia="SimSun"/>
        </w:rPr>
        <w:t>A2</w:t>
      </w:r>
      <w:r w:rsidR="00893B6E" w:rsidRPr="00893B6E">
        <w:rPr>
          <w:rStyle w:val="IntenseReference"/>
          <w:rFonts w:eastAsia="SimSun"/>
        </w:rPr>
        <w:t>-9</w:t>
      </w:r>
      <w:r w:rsidRPr="00893B6E">
        <w:rPr>
          <w:rStyle w:val="IntenseReference"/>
          <w:rFonts w:eastAsia="SimSun"/>
        </w:rPr>
        <w:t xml:space="preserve">) </w:t>
      </w:r>
      <w:r w:rsidRPr="00AC42FA">
        <w:rPr>
          <w:rStyle w:val="IntenseReference"/>
          <w:rFonts w:eastAsia="SimSun"/>
        </w:rPr>
        <w:t>a</w:t>
      </w:r>
      <w:r w:rsidR="00234F71">
        <w:rPr>
          <w:rStyle w:val="IntenseReference"/>
          <w:rFonts w:eastAsia="SimSun"/>
        </w:rPr>
        <w:t>nd mean concentrations of chl</w:t>
      </w:r>
      <w:r w:rsidRPr="00AC42FA">
        <w:rPr>
          <w:rStyle w:val="IntenseReference"/>
          <w:rFonts w:eastAsia="SimSun"/>
        </w:rPr>
        <w:t xml:space="preserve"> and nap over the period 2005-201</w:t>
      </w:r>
      <w:r w:rsidR="00234F71">
        <w:rPr>
          <w:rStyle w:val="IntenseReference"/>
          <w:rFonts w:eastAsia="SimSun"/>
        </w:rPr>
        <w:t xml:space="preserve">5 </w:t>
      </w:r>
      <w:r w:rsidRPr="00AC42FA">
        <w:rPr>
          <w:rStyle w:val="IntenseReference"/>
          <w:rFonts w:eastAsia="SimSun"/>
        </w:rPr>
        <w:t xml:space="preserve">downloaded from the Bureau of Meteorology, Marine Water Quality Dashboard are reported. Clay and silt is the mean proportion of sediments from reef sites with grainsize &lt; </w:t>
      </w:r>
      <w:r w:rsidRPr="000462E4">
        <w:rPr>
          <w:rStyle w:val="IntenseReference"/>
          <w:rFonts w:eastAsia="SimSun"/>
        </w:rPr>
        <w:t>63um.</w:t>
      </w:r>
      <w:r w:rsidRPr="00893B6E">
        <w:rPr>
          <w:rStyle w:val="IntenseReference"/>
          <w:rFonts w:eastAsia="SimSun"/>
        </w:rPr>
        <w:t xml:space="preserve">   </w:t>
      </w:r>
      <w:r w:rsidR="007D4B16">
        <w:rPr>
          <w:rStyle w:val="IntenseReference"/>
          <w:rFonts w:eastAsia="SimSun"/>
        </w:rPr>
        <w:t xml:space="preserve">Reefs are ordered by </w:t>
      </w:r>
      <w:r w:rsidR="009109BA">
        <w:rPr>
          <w:rStyle w:val="IntenseReference"/>
          <w:rFonts w:eastAsia="SimSun"/>
        </w:rPr>
        <w:t xml:space="preserve">chlorophyll </w:t>
      </w:r>
      <w:r w:rsidR="007D4B16">
        <w:rPr>
          <w:rStyle w:val="IntenseReference"/>
          <w:rFonts w:eastAsia="SimSun"/>
        </w:rPr>
        <w:t>a concentration</w:t>
      </w:r>
    </w:p>
    <w:tbl>
      <w:tblPr>
        <w:tblW w:w="976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A1 4: Environmental covariates for coral locations"/>
        <w:tblDescription w:val="Table A1 4: Environmental covariates for coral locations&#10;For plume-type water exposure estimate, Chlorophyll a (chl) and Non algal particulates (nap) a square of nine 1km square pixels was selected adjacent to each reef location. From these pixels the mean exposure to plume type waters over the period 2003-2015 (Figure A2-9) and mean concentrations of chl and nap over the period 2005-2015 downloaded from the Bureau of Meteorology, Marine Water Quality Dashboard are reported. Clay and silt is the mean proportion of sediments from reef sites with grainsize &lt; 63um.   Reefs are ordered by chlorophyll a concentration&#10;"/>
      </w:tblPr>
      <w:tblGrid>
        <w:gridCol w:w="1761"/>
        <w:gridCol w:w="1607"/>
        <w:gridCol w:w="1036"/>
        <w:gridCol w:w="1036"/>
        <w:gridCol w:w="1036"/>
        <w:gridCol w:w="1036"/>
        <w:gridCol w:w="1036"/>
        <w:gridCol w:w="1214"/>
      </w:tblGrid>
      <w:tr w:rsidR="007D4B16" w:rsidRPr="003D0F72" w14:paraId="3D3C89E7" w14:textId="77777777" w:rsidTr="007D4B16">
        <w:trPr>
          <w:trHeight w:val="300"/>
        </w:trPr>
        <w:tc>
          <w:tcPr>
            <w:tcW w:w="1761" w:type="dxa"/>
            <w:vMerge w:val="restart"/>
            <w:shd w:val="clear" w:color="auto" w:fill="auto"/>
            <w:noWrap/>
            <w:vAlign w:val="center"/>
          </w:tcPr>
          <w:p w14:paraId="185F7D24" w14:textId="77777777" w:rsidR="0004538B" w:rsidRPr="0004538B" w:rsidRDefault="00474974" w:rsidP="00406BD7">
            <w:pPr>
              <w:jc w:val="center"/>
              <w:rPr>
                <w:rFonts w:ascii="Arial Narrow" w:hAnsi="Arial Narrow" w:cs="Arial"/>
                <w:b/>
                <w:color w:val="000000"/>
                <w:sz w:val="20"/>
                <w:lang w:val="en-AU" w:eastAsia="en-AU"/>
              </w:rPr>
            </w:pPr>
            <w:r>
              <w:rPr>
                <w:rFonts w:ascii="Arial Narrow" w:hAnsi="Arial Narrow" w:cs="Arial"/>
                <w:b/>
                <w:color w:val="000000"/>
                <w:sz w:val="20"/>
                <w:lang w:val="en-AU" w:eastAsia="en-AU"/>
              </w:rPr>
              <w:t xml:space="preserve"> (sub) </w:t>
            </w:r>
            <w:r w:rsidR="0004538B" w:rsidRPr="0004538B">
              <w:rPr>
                <w:rFonts w:ascii="Arial Narrow" w:hAnsi="Arial Narrow" w:cs="Arial"/>
                <w:b/>
                <w:color w:val="000000"/>
                <w:sz w:val="20"/>
                <w:lang w:val="en-AU" w:eastAsia="en-AU"/>
              </w:rPr>
              <w:t>Region</w:t>
            </w:r>
          </w:p>
        </w:tc>
        <w:tc>
          <w:tcPr>
            <w:tcW w:w="1607" w:type="dxa"/>
            <w:vMerge w:val="restart"/>
            <w:shd w:val="clear" w:color="auto" w:fill="auto"/>
            <w:noWrap/>
            <w:vAlign w:val="center"/>
          </w:tcPr>
          <w:p w14:paraId="225083A7" w14:textId="77777777" w:rsidR="0004538B" w:rsidRPr="0004538B" w:rsidRDefault="0004538B" w:rsidP="00406BD7">
            <w:pPr>
              <w:jc w:val="center"/>
              <w:rPr>
                <w:rFonts w:ascii="Arial Narrow" w:hAnsi="Arial Narrow" w:cs="Arial"/>
                <w:b/>
                <w:color w:val="000000"/>
                <w:sz w:val="20"/>
                <w:lang w:val="en-AU" w:eastAsia="en-AU"/>
              </w:rPr>
            </w:pPr>
            <w:r w:rsidRPr="0004538B">
              <w:rPr>
                <w:rFonts w:ascii="Arial Narrow" w:hAnsi="Arial Narrow" w:cs="Arial"/>
                <w:b/>
                <w:color w:val="000000"/>
                <w:sz w:val="20"/>
                <w:lang w:val="en-AU" w:eastAsia="en-AU"/>
              </w:rPr>
              <w:t>Reef</w:t>
            </w:r>
          </w:p>
        </w:tc>
        <w:tc>
          <w:tcPr>
            <w:tcW w:w="3108" w:type="dxa"/>
            <w:gridSpan w:val="3"/>
            <w:shd w:val="clear" w:color="auto" w:fill="auto"/>
            <w:noWrap/>
            <w:vAlign w:val="bottom"/>
          </w:tcPr>
          <w:p w14:paraId="05D772A4" w14:textId="77777777" w:rsidR="0004538B" w:rsidRPr="003D0F72" w:rsidRDefault="0004538B">
            <w:pPr>
              <w:jc w:val="center"/>
              <w:rPr>
                <w:rFonts w:ascii="Arial Narrow" w:hAnsi="Arial Narrow" w:cs="Arial"/>
                <w:color w:val="000000"/>
                <w:sz w:val="20"/>
                <w:lang w:val="en-AU" w:eastAsia="en-AU"/>
              </w:rPr>
            </w:pPr>
            <w:r>
              <w:rPr>
                <w:rFonts w:ascii="Arial Narrow" w:hAnsi="Arial Narrow" w:cs="Arial"/>
                <w:color w:val="000000"/>
                <w:sz w:val="20"/>
                <w:lang w:val="en-AU" w:eastAsia="en-AU"/>
              </w:rPr>
              <w:t>Plume-type water exposure</w:t>
            </w:r>
          </w:p>
        </w:tc>
        <w:tc>
          <w:tcPr>
            <w:tcW w:w="1036" w:type="dxa"/>
            <w:vMerge w:val="restart"/>
            <w:shd w:val="clear" w:color="auto" w:fill="auto"/>
            <w:noWrap/>
            <w:vAlign w:val="center"/>
          </w:tcPr>
          <w:p w14:paraId="3555B04E" w14:textId="77777777" w:rsidR="0004538B" w:rsidRDefault="005F565B">
            <w:pPr>
              <w:jc w:val="center"/>
              <w:rPr>
                <w:rFonts w:ascii="Arial Narrow" w:hAnsi="Arial Narrow" w:cs="Arial"/>
                <w:color w:val="000000"/>
                <w:sz w:val="20"/>
                <w:lang w:val="en-AU" w:eastAsia="en-AU"/>
              </w:rPr>
            </w:pPr>
            <w:r>
              <w:rPr>
                <w:rFonts w:ascii="Arial Narrow" w:hAnsi="Arial Narrow" w:cs="Arial"/>
                <w:color w:val="000000"/>
                <w:sz w:val="20"/>
                <w:lang w:val="en-AU" w:eastAsia="en-AU"/>
              </w:rPr>
              <w:t>C</w:t>
            </w:r>
            <w:r w:rsidR="0004538B">
              <w:rPr>
                <w:rFonts w:ascii="Arial Narrow" w:hAnsi="Arial Narrow" w:cs="Arial"/>
                <w:color w:val="000000"/>
                <w:sz w:val="20"/>
                <w:lang w:val="en-AU" w:eastAsia="en-AU"/>
              </w:rPr>
              <w:t>hl</w:t>
            </w:r>
            <w:r>
              <w:rPr>
                <w:rFonts w:ascii="Arial Narrow" w:hAnsi="Arial Narrow" w:cs="Arial"/>
                <w:color w:val="000000"/>
                <w:sz w:val="20"/>
                <w:lang w:val="en-AU" w:eastAsia="en-AU"/>
              </w:rPr>
              <w:t xml:space="preserve"> a</w:t>
            </w:r>
          </w:p>
          <w:p w14:paraId="3359790D" w14:textId="77777777" w:rsidR="005F565B" w:rsidRDefault="005F565B">
            <w:pPr>
              <w:jc w:val="center"/>
              <w:rPr>
                <w:rFonts w:ascii="Arial Narrow" w:hAnsi="Arial Narrow" w:cs="Arial"/>
                <w:color w:val="000000"/>
                <w:sz w:val="20"/>
                <w:lang w:val="en-AU" w:eastAsia="en-AU"/>
              </w:rPr>
            </w:pPr>
            <w:r>
              <w:rPr>
                <w:rFonts w:cs="Arial"/>
                <w:color w:val="000000"/>
                <w:sz w:val="20"/>
                <w:lang w:val="en-AU" w:eastAsia="en-AU"/>
              </w:rPr>
              <w:t>(µ</w:t>
            </w:r>
            <w:r>
              <w:rPr>
                <w:rFonts w:ascii="Arial Narrow" w:hAnsi="Arial Narrow" w:cs="Arial"/>
                <w:color w:val="000000"/>
                <w:sz w:val="20"/>
                <w:lang w:val="en-AU" w:eastAsia="en-AU"/>
              </w:rPr>
              <w:t>gL</w:t>
            </w:r>
            <w:r w:rsidRPr="005F565B">
              <w:rPr>
                <w:rFonts w:ascii="Arial Narrow" w:hAnsi="Arial Narrow" w:cs="Arial"/>
                <w:color w:val="000000"/>
                <w:sz w:val="20"/>
                <w:vertAlign w:val="superscript"/>
                <w:lang w:val="en-AU" w:eastAsia="en-AU"/>
              </w:rPr>
              <w:t>-1</w:t>
            </w:r>
            <w:r w:rsidRPr="005F565B">
              <w:rPr>
                <w:rFonts w:ascii="Arial Narrow" w:hAnsi="Arial Narrow" w:cs="Arial"/>
                <w:color w:val="000000"/>
                <w:sz w:val="20"/>
                <w:lang w:val="en-AU" w:eastAsia="en-AU"/>
              </w:rPr>
              <w:t>)</w:t>
            </w:r>
          </w:p>
        </w:tc>
        <w:tc>
          <w:tcPr>
            <w:tcW w:w="1036" w:type="dxa"/>
            <w:vMerge w:val="restart"/>
            <w:shd w:val="clear" w:color="auto" w:fill="auto"/>
            <w:vAlign w:val="center"/>
          </w:tcPr>
          <w:p w14:paraId="0A85C3F7" w14:textId="77777777" w:rsidR="0004538B" w:rsidRDefault="005F565B">
            <w:pPr>
              <w:jc w:val="center"/>
              <w:rPr>
                <w:rFonts w:ascii="Arial Narrow" w:hAnsi="Arial Narrow" w:cs="Arial"/>
                <w:color w:val="000000"/>
                <w:sz w:val="20"/>
                <w:lang w:val="en-AU" w:eastAsia="en-AU"/>
              </w:rPr>
            </w:pPr>
            <w:r>
              <w:rPr>
                <w:rFonts w:ascii="Arial Narrow" w:hAnsi="Arial Narrow" w:cs="Arial"/>
                <w:color w:val="000000"/>
                <w:sz w:val="20"/>
                <w:lang w:val="en-AU" w:eastAsia="en-AU"/>
              </w:rPr>
              <w:t>N</w:t>
            </w:r>
            <w:r w:rsidR="0004538B">
              <w:rPr>
                <w:rFonts w:ascii="Arial Narrow" w:hAnsi="Arial Narrow" w:cs="Arial"/>
                <w:color w:val="000000"/>
                <w:sz w:val="20"/>
                <w:lang w:val="en-AU" w:eastAsia="en-AU"/>
              </w:rPr>
              <w:t>ap</w:t>
            </w:r>
          </w:p>
          <w:p w14:paraId="48BB7ED9" w14:textId="77777777" w:rsidR="005F565B" w:rsidRPr="005F565B" w:rsidRDefault="005F565B" w:rsidP="005F565B">
            <w:pPr>
              <w:jc w:val="center"/>
              <w:rPr>
                <w:rFonts w:ascii="Arial Narrow" w:hAnsi="Arial Narrow" w:cs="Arial"/>
                <w:color w:val="000000"/>
                <w:sz w:val="20"/>
                <w:lang w:val="en-AU" w:eastAsia="en-AU"/>
              </w:rPr>
            </w:pPr>
            <w:r>
              <w:rPr>
                <w:rFonts w:cs="Arial"/>
                <w:color w:val="000000"/>
                <w:sz w:val="20"/>
                <w:lang w:val="en-AU" w:eastAsia="en-AU"/>
              </w:rPr>
              <w:t>(m</w:t>
            </w:r>
            <w:r>
              <w:rPr>
                <w:rFonts w:ascii="Arial Narrow" w:hAnsi="Arial Narrow" w:cs="Arial"/>
                <w:color w:val="000000"/>
                <w:sz w:val="20"/>
                <w:lang w:val="en-AU" w:eastAsia="en-AU"/>
              </w:rPr>
              <w:t>gL</w:t>
            </w:r>
            <w:r w:rsidRPr="005F565B">
              <w:rPr>
                <w:rFonts w:ascii="Arial Narrow" w:hAnsi="Arial Narrow" w:cs="Arial"/>
                <w:color w:val="000000"/>
                <w:sz w:val="20"/>
                <w:vertAlign w:val="superscript"/>
                <w:lang w:val="en-AU" w:eastAsia="en-AU"/>
              </w:rPr>
              <w:t>-1</w:t>
            </w:r>
            <w:r w:rsidRPr="005F565B">
              <w:rPr>
                <w:rFonts w:ascii="Arial Narrow" w:hAnsi="Arial Narrow" w:cs="Arial"/>
                <w:color w:val="000000"/>
                <w:sz w:val="20"/>
                <w:lang w:val="en-AU" w:eastAsia="en-AU"/>
              </w:rPr>
              <w:t>)</w:t>
            </w:r>
          </w:p>
        </w:tc>
        <w:tc>
          <w:tcPr>
            <w:tcW w:w="1214" w:type="dxa"/>
            <w:vMerge w:val="restart"/>
            <w:shd w:val="clear" w:color="auto" w:fill="auto"/>
            <w:noWrap/>
            <w:vAlign w:val="center"/>
          </w:tcPr>
          <w:p w14:paraId="5BFE1370" w14:textId="77777777" w:rsidR="0004538B" w:rsidRDefault="0004538B" w:rsidP="007D4B16">
            <w:pPr>
              <w:jc w:val="center"/>
              <w:rPr>
                <w:rFonts w:ascii="Arial Narrow" w:hAnsi="Arial Narrow" w:cs="Arial"/>
                <w:color w:val="000000"/>
                <w:sz w:val="20"/>
                <w:lang w:val="en-AU" w:eastAsia="en-AU"/>
              </w:rPr>
            </w:pPr>
            <w:proofErr w:type="gramStart"/>
            <w:r>
              <w:rPr>
                <w:rFonts w:ascii="Arial Narrow" w:hAnsi="Arial Narrow" w:cs="Arial"/>
                <w:color w:val="000000"/>
                <w:sz w:val="20"/>
                <w:lang w:val="en-AU" w:eastAsia="en-AU"/>
              </w:rPr>
              <w:t>clay</w:t>
            </w:r>
            <w:proofErr w:type="gramEnd"/>
            <w:r>
              <w:rPr>
                <w:rFonts w:ascii="Arial Narrow" w:hAnsi="Arial Narrow" w:cs="Arial"/>
                <w:color w:val="000000"/>
                <w:sz w:val="20"/>
                <w:lang w:val="en-AU" w:eastAsia="en-AU"/>
              </w:rPr>
              <w:t xml:space="preserve"> and silt</w:t>
            </w:r>
            <w:r w:rsidR="007D4B16">
              <w:rPr>
                <w:rFonts w:ascii="Arial Narrow" w:hAnsi="Arial Narrow" w:cs="Arial"/>
                <w:color w:val="000000"/>
                <w:sz w:val="20"/>
                <w:lang w:val="en-AU" w:eastAsia="en-AU"/>
              </w:rPr>
              <w:t xml:space="preserve"> </w:t>
            </w:r>
            <w:r w:rsidR="005F565B">
              <w:rPr>
                <w:rFonts w:ascii="Arial Narrow" w:hAnsi="Arial Narrow" w:cs="Arial"/>
                <w:color w:val="000000"/>
                <w:sz w:val="20"/>
                <w:lang w:val="en-AU" w:eastAsia="en-AU"/>
              </w:rPr>
              <w:t>(</w:t>
            </w:r>
            <w:r w:rsidR="007D4B16">
              <w:rPr>
                <w:rFonts w:ascii="Arial Narrow" w:hAnsi="Arial Narrow" w:cs="Arial"/>
                <w:color w:val="000000"/>
                <w:sz w:val="20"/>
                <w:lang w:val="en-AU" w:eastAsia="en-AU"/>
              </w:rPr>
              <w:t>%)</w:t>
            </w:r>
          </w:p>
        </w:tc>
      </w:tr>
      <w:tr w:rsidR="00426BAC" w:rsidRPr="003D0F72" w14:paraId="498FE841" w14:textId="77777777" w:rsidTr="007D4B16">
        <w:trPr>
          <w:trHeight w:val="300"/>
        </w:trPr>
        <w:tc>
          <w:tcPr>
            <w:tcW w:w="1761" w:type="dxa"/>
            <w:vMerge/>
            <w:shd w:val="clear" w:color="auto" w:fill="auto"/>
            <w:noWrap/>
            <w:vAlign w:val="bottom"/>
            <w:hideMark/>
          </w:tcPr>
          <w:p w14:paraId="56833111" w14:textId="77777777" w:rsidR="0004538B" w:rsidRPr="003D0F72" w:rsidRDefault="0004538B">
            <w:pPr>
              <w:rPr>
                <w:rFonts w:ascii="Arial Narrow" w:hAnsi="Arial Narrow" w:cs="Arial"/>
                <w:b/>
                <w:color w:val="000000"/>
                <w:sz w:val="20"/>
                <w:lang w:val="en-AU" w:eastAsia="en-AU"/>
              </w:rPr>
            </w:pPr>
          </w:p>
        </w:tc>
        <w:tc>
          <w:tcPr>
            <w:tcW w:w="1607" w:type="dxa"/>
            <w:vMerge/>
            <w:shd w:val="clear" w:color="auto" w:fill="auto"/>
            <w:noWrap/>
            <w:vAlign w:val="bottom"/>
            <w:hideMark/>
          </w:tcPr>
          <w:p w14:paraId="01FE4454" w14:textId="77777777" w:rsidR="0004538B" w:rsidRPr="003D0F72" w:rsidRDefault="0004538B">
            <w:pPr>
              <w:rPr>
                <w:rFonts w:ascii="Arial Narrow" w:hAnsi="Arial Narrow" w:cs="Arial"/>
                <w:b/>
                <w:color w:val="000000"/>
                <w:sz w:val="20"/>
                <w:lang w:val="en-AU" w:eastAsia="en-AU"/>
              </w:rPr>
            </w:pPr>
          </w:p>
        </w:tc>
        <w:tc>
          <w:tcPr>
            <w:tcW w:w="1036" w:type="dxa"/>
            <w:shd w:val="clear" w:color="auto" w:fill="auto"/>
            <w:noWrap/>
            <w:vAlign w:val="center"/>
            <w:hideMark/>
          </w:tcPr>
          <w:p w14:paraId="128FF441" w14:textId="77777777" w:rsidR="0004538B" w:rsidRPr="003D0F72" w:rsidRDefault="0004538B">
            <w:pPr>
              <w:jc w:val="center"/>
              <w:rPr>
                <w:rFonts w:ascii="Arial Narrow" w:hAnsi="Arial Narrow" w:cs="Arial"/>
                <w:color w:val="000000"/>
                <w:sz w:val="20"/>
                <w:lang w:val="en-AU" w:eastAsia="en-AU"/>
              </w:rPr>
            </w:pPr>
            <w:r w:rsidRPr="003D0F72">
              <w:rPr>
                <w:rFonts w:ascii="Arial Narrow" w:hAnsi="Arial Narrow" w:cs="Arial"/>
                <w:color w:val="000000"/>
                <w:sz w:val="20"/>
                <w:lang w:val="en-AU" w:eastAsia="en-AU"/>
              </w:rPr>
              <w:t>primary</w:t>
            </w:r>
          </w:p>
        </w:tc>
        <w:tc>
          <w:tcPr>
            <w:tcW w:w="1036" w:type="dxa"/>
            <w:shd w:val="clear" w:color="auto" w:fill="auto"/>
            <w:noWrap/>
            <w:vAlign w:val="center"/>
            <w:hideMark/>
          </w:tcPr>
          <w:p w14:paraId="379A1BC3" w14:textId="77777777" w:rsidR="0004538B" w:rsidRPr="003D0F72" w:rsidRDefault="0004538B">
            <w:pPr>
              <w:jc w:val="center"/>
              <w:rPr>
                <w:rFonts w:ascii="Arial Narrow" w:hAnsi="Arial Narrow" w:cs="Arial"/>
                <w:color w:val="000000"/>
                <w:sz w:val="20"/>
                <w:lang w:val="en-AU" w:eastAsia="en-AU"/>
              </w:rPr>
            </w:pPr>
            <w:r w:rsidRPr="003D0F72">
              <w:rPr>
                <w:rFonts w:ascii="Arial Narrow" w:hAnsi="Arial Narrow" w:cs="Arial"/>
                <w:color w:val="000000"/>
                <w:sz w:val="20"/>
                <w:lang w:val="en-AU" w:eastAsia="en-AU"/>
              </w:rPr>
              <w:t>secondary</w:t>
            </w:r>
          </w:p>
        </w:tc>
        <w:tc>
          <w:tcPr>
            <w:tcW w:w="1036" w:type="dxa"/>
            <w:shd w:val="clear" w:color="auto" w:fill="auto"/>
            <w:noWrap/>
            <w:vAlign w:val="center"/>
            <w:hideMark/>
          </w:tcPr>
          <w:p w14:paraId="2E27D086" w14:textId="77777777" w:rsidR="0004538B" w:rsidRPr="003D0F72" w:rsidRDefault="0004538B">
            <w:pPr>
              <w:jc w:val="center"/>
              <w:rPr>
                <w:rFonts w:ascii="Arial Narrow" w:hAnsi="Arial Narrow" w:cs="Arial"/>
                <w:color w:val="000000"/>
                <w:sz w:val="20"/>
                <w:lang w:val="en-AU" w:eastAsia="en-AU"/>
              </w:rPr>
            </w:pPr>
            <w:r w:rsidRPr="003D0F72">
              <w:rPr>
                <w:rFonts w:ascii="Arial Narrow" w:hAnsi="Arial Narrow" w:cs="Arial"/>
                <w:color w:val="000000"/>
                <w:sz w:val="20"/>
                <w:lang w:val="en-AU" w:eastAsia="en-AU"/>
              </w:rPr>
              <w:t>tertiary</w:t>
            </w:r>
          </w:p>
        </w:tc>
        <w:tc>
          <w:tcPr>
            <w:tcW w:w="1036" w:type="dxa"/>
            <w:vMerge/>
            <w:shd w:val="clear" w:color="auto" w:fill="auto"/>
            <w:noWrap/>
            <w:vAlign w:val="center"/>
            <w:hideMark/>
          </w:tcPr>
          <w:p w14:paraId="48775F80" w14:textId="77777777" w:rsidR="0004538B" w:rsidRPr="003D0F72" w:rsidRDefault="0004538B">
            <w:pPr>
              <w:jc w:val="center"/>
              <w:rPr>
                <w:rFonts w:ascii="Arial Narrow" w:hAnsi="Arial Narrow" w:cs="Arial"/>
                <w:color w:val="000000"/>
                <w:sz w:val="20"/>
                <w:lang w:val="en-AU" w:eastAsia="en-AU"/>
              </w:rPr>
            </w:pPr>
          </w:p>
        </w:tc>
        <w:tc>
          <w:tcPr>
            <w:tcW w:w="1036" w:type="dxa"/>
            <w:vMerge/>
            <w:shd w:val="clear" w:color="auto" w:fill="auto"/>
            <w:noWrap/>
            <w:vAlign w:val="center"/>
            <w:hideMark/>
          </w:tcPr>
          <w:p w14:paraId="26977B88" w14:textId="77777777" w:rsidR="0004538B" w:rsidRPr="003D0F72" w:rsidRDefault="0004538B">
            <w:pPr>
              <w:jc w:val="center"/>
              <w:rPr>
                <w:rFonts w:ascii="Arial Narrow" w:hAnsi="Arial Narrow" w:cs="Arial"/>
                <w:color w:val="000000"/>
                <w:sz w:val="20"/>
                <w:lang w:val="en-AU" w:eastAsia="en-AU"/>
              </w:rPr>
            </w:pPr>
          </w:p>
        </w:tc>
        <w:tc>
          <w:tcPr>
            <w:tcW w:w="1214" w:type="dxa"/>
            <w:vMerge/>
            <w:shd w:val="clear" w:color="auto" w:fill="auto"/>
            <w:noWrap/>
            <w:vAlign w:val="center"/>
            <w:hideMark/>
          </w:tcPr>
          <w:p w14:paraId="1C6AD591" w14:textId="77777777" w:rsidR="0004538B" w:rsidRPr="003D0F72" w:rsidRDefault="0004538B">
            <w:pPr>
              <w:jc w:val="center"/>
              <w:rPr>
                <w:rFonts w:ascii="Arial Narrow" w:hAnsi="Arial Narrow" w:cs="Arial"/>
                <w:color w:val="000000"/>
                <w:sz w:val="20"/>
                <w:lang w:val="en-AU" w:eastAsia="en-AU"/>
              </w:rPr>
            </w:pPr>
          </w:p>
        </w:tc>
      </w:tr>
      <w:tr w:rsidR="007D4B16" w:rsidRPr="003D0F72" w14:paraId="506D23F9" w14:textId="77777777" w:rsidTr="007D4B16">
        <w:trPr>
          <w:trHeight w:hRule="exact" w:val="284"/>
        </w:trPr>
        <w:tc>
          <w:tcPr>
            <w:tcW w:w="1761" w:type="dxa"/>
            <w:vMerge w:val="restart"/>
            <w:shd w:val="clear" w:color="auto" w:fill="auto"/>
            <w:noWrap/>
            <w:vAlign w:val="center"/>
          </w:tcPr>
          <w:p w14:paraId="30CDD184" w14:textId="77777777" w:rsidR="00474974" w:rsidRPr="003D0F72" w:rsidRDefault="00474974" w:rsidP="00474974">
            <w:pPr>
              <w:jc w:val="left"/>
              <w:rPr>
                <w:rFonts w:ascii="Arial Narrow" w:hAnsi="Arial Narrow" w:cs="Arial"/>
                <w:color w:val="000000"/>
                <w:sz w:val="20"/>
                <w:lang w:val="en-AU" w:eastAsia="en-AU"/>
              </w:rPr>
            </w:pPr>
            <w:r>
              <w:rPr>
                <w:rFonts w:ascii="Arial Narrow" w:hAnsi="Arial Narrow" w:cs="Arial"/>
                <w:color w:val="000000"/>
                <w:sz w:val="20"/>
                <w:lang w:val="en-AU" w:eastAsia="en-AU"/>
              </w:rPr>
              <w:t>Barron Daintree</w:t>
            </w:r>
          </w:p>
        </w:tc>
        <w:tc>
          <w:tcPr>
            <w:tcW w:w="1607" w:type="dxa"/>
            <w:shd w:val="clear" w:color="auto" w:fill="auto"/>
            <w:noWrap/>
            <w:vAlign w:val="center"/>
          </w:tcPr>
          <w:p w14:paraId="62EB8EDE" w14:textId="77777777" w:rsidR="00474974" w:rsidRPr="003D0F72" w:rsidRDefault="00474974"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Low Isles</w:t>
            </w:r>
          </w:p>
        </w:tc>
        <w:tc>
          <w:tcPr>
            <w:tcW w:w="1036" w:type="dxa"/>
            <w:shd w:val="clear" w:color="auto" w:fill="auto"/>
            <w:noWrap/>
            <w:vAlign w:val="center"/>
          </w:tcPr>
          <w:p w14:paraId="01D4B34B"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0.024</w:t>
            </w:r>
          </w:p>
        </w:tc>
        <w:tc>
          <w:tcPr>
            <w:tcW w:w="1036" w:type="dxa"/>
            <w:shd w:val="clear" w:color="auto" w:fill="auto"/>
            <w:noWrap/>
            <w:vAlign w:val="center"/>
          </w:tcPr>
          <w:p w14:paraId="57EEF326"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0.186</w:t>
            </w:r>
          </w:p>
        </w:tc>
        <w:tc>
          <w:tcPr>
            <w:tcW w:w="1036" w:type="dxa"/>
            <w:shd w:val="clear" w:color="auto" w:fill="auto"/>
            <w:noWrap/>
            <w:vAlign w:val="center"/>
          </w:tcPr>
          <w:p w14:paraId="04F2EDC6"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0.579</w:t>
            </w:r>
          </w:p>
        </w:tc>
        <w:tc>
          <w:tcPr>
            <w:tcW w:w="1036" w:type="dxa"/>
            <w:shd w:val="clear" w:color="auto" w:fill="F2F2F2" w:themeFill="background1" w:themeFillShade="F2"/>
            <w:noWrap/>
            <w:vAlign w:val="center"/>
          </w:tcPr>
          <w:p w14:paraId="76987DCC"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0.342</w:t>
            </w:r>
          </w:p>
        </w:tc>
        <w:tc>
          <w:tcPr>
            <w:tcW w:w="1036" w:type="dxa"/>
            <w:shd w:val="clear" w:color="auto" w:fill="auto"/>
            <w:noWrap/>
            <w:vAlign w:val="center"/>
          </w:tcPr>
          <w:p w14:paraId="531EF624"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0.898</w:t>
            </w:r>
          </w:p>
        </w:tc>
        <w:tc>
          <w:tcPr>
            <w:tcW w:w="1214" w:type="dxa"/>
            <w:shd w:val="clear" w:color="auto" w:fill="auto"/>
            <w:noWrap/>
            <w:vAlign w:val="center"/>
          </w:tcPr>
          <w:p w14:paraId="65D5A6CE"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7.500</w:t>
            </w:r>
          </w:p>
        </w:tc>
      </w:tr>
      <w:tr w:rsidR="007D4B16" w:rsidRPr="003D0F72" w14:paraId="44387CE8" w14:textId="77777777" w:rsidTr="007D4B16">
        <w:trPr>
          <w:trHeight w:hRule="exact" w:val="284"/>
        </w:trPr>
        <w:tc>
          <w:tcPr>
            <w:tcW w:w="1761" w:type="dxa"/>
            <w:vMerge/>
            <w:shd w:val="clear" w:color="auto" w:fill="auto"/>
            <w:noWrap/>
            <w:vAlign w:val="center"/>
          </w:tcPr>
          <w:p w14:paraId="0609D9F5" w14:textId="77777777" w:rsidR="00474974" w:rsidRPr="003D0F72" w:rsidRDefault="00474974"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42FB3EF5" w14:textId="77777777" w:rsidR="00474974" w:rsidRPr="003D0F72" w:rsidRDefault="00474974"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Snapper North</w:t>
            </w:r>
          </w:p>
        </w:tc>
        <w:tc>
          <w:tcPr>
            <w:tcW w:w="1036" w:type="dxa"/>
            <w:shd w:val="clear" w:color="auto" w:fill="auto"/>
            <w:noWrap/>
            <w:vAlign w:val="center"/>
          </w:tcPr>
          <w:p w14:paraId="3BAB0443"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0.049</w:t>
            </w:r>
          </w:p>
        </w:tc>
        <w:tc>
          <w:tcPr>
            <w:tcW w:w="1036" w:type="dxa"/>
            <w:shd w:val="clear" w:color="auto" w:fill="auto"/>
            <w:noWrap/>
            <w:vAlign w:val="center"/>
          </w:tcPr>
          <w:p w14:paraId="2ACF4E37"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0.503</w:t>
            </w:r>
          </w:p>
        </w:tc>
        <w:tc>
          <w:tcPr>
            <w:tcW w:w="1036" w:type="dxa"/>
            <w:shd w:val="clear" w:color="auto" w:fill="auto"/>
            <w:noWrap/>
            <w:vAlign w:val="center"/>
          </w:tcPr>
          <w:p w14:paraId="6DF85F95"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0.329</w:t>
            </w:r>
          </w:p>
        </w:tc>
        <w:tc>
          <w:tcPr>
            <w:tcW w:w="1036" w:type="dxa"/>
            <w:shd w:val="clear" w:color="auto" w:fill="F2F2F2" w:themeFill="background1" w:themeFillShade="F2"/>
            <w:noWrap/>
            <w:vAlign w:val="center"/>
          </w:tcPr>
          <w:p w14:paraId="6C77BB88"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0.482</w:t>
            </w:r>
          </w:p>
        </w:tc>
        <w:tc>
          <w:tcPr>
            <w:tcW w:w="1036" w:type="dxa"/>
            <w:shd w:val="clear" w:color="auto" w:fill="auto"/>
            <w:noWrap/>
            <w:vAlign w:val="center"/>
          </w:tcPr>
          <w:p w14:paraId="48623988"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0.923</w:t>
            </w:r>
          </w:p>
        </w:tc>
        <w:tc>
          <w:tcPr>
            <w:tcW w:w="1214" w:type="dxa"/>
            <w:shd w:val="clear" w:color="auto" w:fill="auto"/>
            <w:noWrap/>
            <w:vAlign w:val="center"/>
          </w:tcPr>
          <w:p w14:paraId="7B45EA3F"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40.462</w:t>
            </w:r>
          </w:p>
        </w:tc>
      </w:tr>
      <w:tr w:rsidR="007D4B16" w:rsidRPr="003D0F72" w14:paraId="6E749CC7" w14:textId="77777777" w:rsidTr="007D4B16">
        <w:trPr>
          <w:trHeight w:hRule="exact" w:val="284"/>
        </w:trPr>
        <w:tc>
          <w:tcPr>
            <w:tcW w:w="1761" w:type="dxa"/>
            <w:vMerge/>
            <w:shd w:val="clear" w:color="auto" w:fill="auto"/>
            <w:noWrap/>
            <w:vAlign w:val="center"/>
          </w:tcPr>
          <w:p w14:paraId="461C9A3C" w14:textId="77777777" w:rsidR="00474974" w:rsidRPr="003D0F72" w:rsidRDefault="00474974"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5255D45A" w14:textId="77777777" w:rsidR="00474974" w:rsidRPr="003D0F72" w:rsidRDefault="00474974"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Snapper South</w:t>
            </w:r>
          </w:p>
        </w:tc>
        <w:tc>
          <w:tcPr>
            <w:tcW w:w="1036" w:type="dxa"/>
            <w:shd w:val="clear" w:color="auto" w:fill="auto"/>
            <w:noWrap/>
            <w:vAlign w:val="center"/>
          </w:tcPr>
          <w:p w14:paraId="41C05165"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0.058</w:t>
            </w:r>
          </w:p>
        </w:tc>
        <w:tc>
          <w:tcPr>
            <w:tcW w:w="1036" w:type="dxa"/>
            <w:shd w:val="clear" w:color="auto" w:fill="auto"/>
            <w:noWrap/>
            <w:vAlign w:val="center"/>
          </w:tcPr>
          <w:p w14:paraId="09FF5B39"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0.510</w:t>
            </w:r>
          </w:p>
        </w:tc>
        <w:tc>
          <w:tcPr>
            <w:tcW w:w="1036" w:type="dxa"/>
            <w:shd w:val="clear" w:color="auto" w:fill="auto"/>
            <w:noWrap/>
            <w:vAlign w:val="center"/>
          </w:tcPr>
          <w:p w14:paraId="245B50C8"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0.345</w:t>
            </w:r>
          </w:p>
        </w:tc>
        <w:tc>
          <w:tcPr>
            <w:tcW w:w="1036" w:type="dxa"/>
            <w:shd w:val="clear" w:color="auto" w:fill="F2F2F2" w:themeFill="background1" w:themeFillShade="F2"/>
            <w:noWrap/>
            <w:vAlign w:val="center"/>
          </w:tcPr>
          <w:p w14:paraId="5E36CF89"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0.492</w:t>
            </w:r>
          </w:p>
        </w:tc>
        <w:tc>
          <w:tcPr>
            <w:tcW w:w="1036" w:type="dxa"/>
            <w:shd w:val="clear" w:color="auto" w:fill="auto"/>
            <w:noWrap/>
            <w:vAlign w:val="center"/>
          </w:tcPr>
          <w:p w14:paraId="77C4B486"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0.924</w:t>
            </w:r>
          </w:p>
        </w:tc>
        <w:tc>
          <w:tcPr>
            <w:tcW w:w="1214" w:type="dxa"/>
            <w:shd w:val="clear" w:color="auto" w:fill="auto"/>
            <w:noWrap/>
            <w:vAlign w:val="center"/>
          </w:tcPr>
          <w:p w14:paraId="504E7F40"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11.154</w:t>
            </w:r>
          </w:p>
        </w:tc>
      </w:tr>
      <w:tr w:rsidR="00426BAC" w:rsidRPr="003D0F72" w14:paraId="37ED4CE7" w14:textId="77777777" w:rsidTr="007D4B16">
        <w:trPr>
          <w:trHeight w:hRule="exact" w:val="284"/>
        </w:trPr>
        <w:tc>
          <w:tcPr>
            <w:tcW w:w="1761" w:type="dxa"/>
            <w:vMerge w:val="restart"/>
            <w:shd w:val="clear" w:color="auto" w:fill="auto"/>
            <w:noWrap/>
            <w:vAlign w:val="center"/>
          </w:tcPr>
          <w:p w14:paraId="0AAF7907" w14:textId="77777777" w:rsidR="00426BAC" w:rsidRDefault="00426BAC" w:rsidP="0039114A">
            <w:pPr>
              <w:jc w:val="left"/>
              <w:rPr>
                <w:rFonts w:ascii="Arial Narrow" w:hAnsi="Arial Narrow" w:cs="Arial"/>
                <w:color w:val="000000"/>
                <w:sz w:val="20"/>
                <w:lang w:val="en-AU" w:eastAsia="en-AU"/>
              </w:rPr>
            </w:pPr>
            <w:r>
              <w:rPr>
                <w:rFonts w:ascii="Arial Narrow" w:hAnsi="Arial Narrow" w:cs="Arial"/>
                <w:color w:val="000000"/>
                <w:sz w:val="20"/>
                <w:lang w:val="en-AU" w:eastAsia="en-AU"/>
              </w:rPr>
              <w:t>Johnstone Russell-Mulgrave</w:t>
            </w:r>
          </w:p>
        </w:tc>
        <w:tc>
          <w:tcPr>
            <w:tcW w:w="1607" w:type="dxa"/>
            <w:shd w:val="clear" w:color="auto" w:fill="auto"/>
            <w:noWrap/>
            <w:vAlign w:val="center"/>
          </w:tcPr>
          <w:p w14:paraId="08C2C967"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Fitzroy East</w:t>
            </w:r>
          </w:p>
        </w:tc>
        <w:tc>
          <w:tcPr>
            <w:tcW w:w="1036" w:type="dxa"/>
            <w:shd w:val="clear" w:color="auto" w:fill="auto"/>
            <w:noWrap/>
            <w:vAlign w:val="center"/>
          </w:tcPr>
          <w:p w14:paraId="33B52F50"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0.016</w:t>
            </w:r>
          </w:p>
        </w:tc>
        <w:tc>
          <w:tcPr>
            <w:tcW w:w="1036" w:type="dxa"/>
            <w:shd w:val="clear" w:color="auto" w:fill="auto"/>
            <w:noWrap/>
            <w:vAlign w:val="center"/>
          </w:tcPr>
          <w:p w14:paraId="48E4E10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0.178</w:t>
            </w:r>
          </w:p>
        </w:tc>
        <w:tc>
          <w:tcPr>
            <w:tcW w:w="1036" w:type="dxa"/>
            <w:shd w:val="clear" w:color="auto" w:fill="auto"/>
            <w:noWrap/>
            <w:vAlign w:val="center"/>
          </w:tcPr>
          <w:p w14:paraId="0F9AE3DB"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0.415</w:t>
            </w:r>
          </w:p>
        </w:tc>
        <w:tc>
          <w:tcPr>
            <w:tcW w:w="1036" w:type="dxa"/>
            <w:shd w:val="clear" w:color="auto" w:fill="F2F2F2" w:themeFill="background1" w:themeFillShade="F2"/>
            <w:noWrap/>
            <w:vAlign w:val="center"/>
          </w:tcPr>
          <w:p w14:paraId="4423EF26"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0.262</w:t>
            </w:r>
          </w:p>
        </w:tc>
        <w:tc>
          <w:tcPr>
            <w:tcW w:w="1036" w:type="dxa"/>
            <w:shd w:val="clear" w:color="auto" w:fill="auto"/>
            <w:noWrap/>
            <w:vAlign w:val="center"/>
          </w:tcPr>
          <w:p w14:paraId="319A4D30"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0.618</w:t>
            </w:r>
          </w:p>
        </w:tc>
        <w:tc>
          <w:tcPr>
            <w:tcW w:w="1214" w:type="dxa"/>
            <w:shd w:val="clear" w:color="auto" w:fill="auto"/>
            <w:noWrap/>
            <w:vAlign w:val="center"/>
          </w:tcPr>
          <w:p w14:paraId="078FEFC0"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1.653</w:t>
            </w:r>
          </w:p>
        </w:tc>
      </w:tr>
      <w:tr w:rsidR="00426BAC" w:rsidRPr="003D0F72" w14:paraId="5D84010E" w14:textId="77777777" w:rsidTr="007D4B16">
        <w:trPr>
          <w:trHeight w:hRule="exact" w:val="284"/>
        </w:trPr>
        <w:tc>
          <w:tcPr>
            <w:tcW w:w="1761" w:type="dxa"/>
            <w:vMerge/>
            <w:shd w:val="clear" w:color="auto" w:fill="auto"/>
            <w:noWrap/>
            <w:vAlign w:val="center"/>
          </w:tcPr>
          <w:p w14:paraId="25ABFD95" w14:textId="77777777" w:rsidR="00426BAC" w:rsidRPr="003D0F72" w:rsidRDefault="00426BAC" w:rsidP="0039114A">
            <w:pPr>
              <w:jc w:val="left"/>
              <w:rPr>
                <w:rFonts w:ascii="Arial Narrow" w:hAnsi="Arial Narrow" w:cs="Arial"/>
                <w:color w:val="000000"/>
                <w:sz w:val="20"/>
                <w:lang w:val="en-AU" w:eastAsia="en-AU"/>
              </w:rPr>
            </w:pPr>
          </w:p>
        </w:tc>
        <w:tc>
          <w:tcPr>
            <w:tcW w:w="1607" w:type="dxa"/>
            <w:shd w:val="clear" w:color="auto" w:fill="auto"/>
            <w:noWrap/>
            <w:vAlign w:val="center"/>
          </w:tcPr>
          <w:p w14:paraId="522BF16E"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Franklands East</w:t>
            </w:r>
          </w:p>
        </w:tc>
        <w:tc>
          <w:tcPr>
            <w:tcW w:w="1036" w:type="dxa"/>
            <w:shd w:val="clear" w:color="auto" w:fill="auto"/>
            <w:noWrap/>
            <w:vAlign w:val="center"/>
          </w:tcPr>
          <w:p w14:paraId="7AD9DA8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0.033</w:t>
            </w:r>
          </w:p>
        </w:tc>
        <w:tc>
          <w:tcPr>
            <w:tcW w:w="1036" w:type="dxa"/>
            <w:shd w:val="clear" w:color="auto" w:fill="auto"/>
            <w:noWrap/>
            <w:vAlign w:val="center"/>
          </w:tcPr>
          <w:p w14:paraId="12A27260"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0.164</w:t>
            </w:r>
          </w:p>
        </w:tc>
        <w:tc>
          <w:tcPr>
            <w:tcW w:w="1036" w:type="dxa"/>
            <w:shd w:val="clear" w:color="auto" w:fill="auto"/>
            <w:noWrap/>
            <w:vAlign w:val="center"/>
          </w:tcPr>
          <w:p w14:paraId="7D0A78DB"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0.425</w:t>
            </w:r>
          </w:p>
        </w:tc>
        <w:tc>
          <w:tcPr>
            <w:tcW w:w="1036" w:type="dxa"/>
            <w:shd w:val="clear" w:color="auto" w:fill="F2F2F2" w:themeFill="background1" w:themeFillShade="F2"/>
            <w:noWrap/>
            <w:vAlign w:val="center"/>
          </w:tcPr>
          <w:p w14:paraId="15CB5B4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0.278</w:t>
            </w:r>
          </w:p>
        </w:tc>
        <w:tc>
          <w:tcPr>
            <w:tcW w:w="1036" w:type="dxa"/>
            <w:shd w:val="clear" w:color="auto" w:fill="auto"/>
            <w:noWrap/>
            <w:vAlign w:val="center"/>
          </w:tcPr>
          <w:p w14:paraId="357A689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0.658</w:t>
            </w:r>
          </w:p>
        </w:tc>
        <w:tc>
          <w:tcPr>
            <w:tcW w:w="1214" w:type="dxa"/>
            <w:shd w:val="clear" w:color="auto" w:fill="auto"/>
            <w:noWrap/>
            <w:vAlign w:val="center"/>
          </w:tcPr>
          <w:p w14:paraId="340C78D3"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3.236</w:t>
            </w:r>
          </w:p>
        </w:tc>
      </w:tr>
      <w:tr w:rsidR="00426BAC" w:rsidRPr="003D0F72" w14:paraId="0870A845" w14:textId="77777777" w:rsidTr="007D4B16">
        <w:trPr>
          <w:trHeight w:hRule="exact" w:val="284"/>
        </w:trPr>
        <w:tc>
          <w:tcPr>
            <w:tcW w:w="1761" w:type="dxa"/>
            <w:vMerge/>
            <w:shd w:val="clear" w:color="auto" w:fill="auto"/>
            <w:noWrap/>
            <w:vAlign w:val="center"/>
          </w:tcPr>
          <w:p w14:paraId="2C295E17"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4A0B5054"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Green</w:t>
            </w:r>
          </w:p>
        </w:tc>
        <w:tc>
          <w:tcPr>
            <w:tcW w:w="1036" w:type="dxa"/>
            <w:shd w:val="clear" w:color="auto" w:fill="auto"/>
            <w:noWrap/>
            <w:vAlign w:val="center"/>
          </w:tcPr>
          <w:p w14:paraId="2F15744B"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0.020</w:t>
            </w:r>
          </w:p>
        </w:tc>
        <w:tc>
          <w:tcPr>
            <w:tcW w:w="1036" w:type="dxa"/>
            <w:shd w:val="clear" w:color="auto" w:fill="auto"/>
            <w:noWrap/>
            <w:vAlign w:val="center"/>
          </w:tcPr>
          <w:p w14:paraId="651B298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0.212</w:t>
            </w:r>
          </w:p>
        </w:tc>
        <w:tc>
          <w:tcPr>
            <w:tcW w:w="1036" w:type="dxa"/>
            <w:shd w:val="clear" w:color="auto" w:fill="auto"/>
            <w:noWrap/>
            <w:vAlign w:val="center"/>
          </w:tcPr>
          <w:p w14:paraId="5E15EAE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0.304</w:t>
            </w:r>
          </w:p>
        </w:tc>
        <w:tc>
          <w:tcPr>
            <w:tcW w:w="1036" w:type="dxa"/>
            <w:shd w:val="clear" w:color="auto" w:fill="F2F2F2" w:themeFill="background1" w:themeFillShade="F2"/>
            <w:noWrap/>
            <w:vAlign w:val="center"/>
          </w:tcPr>
          <w:p w14:paraId="09E264B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0.297</w:t>
            </w:r>
          </w:p>
        </w:tc>
        <w:tc>
          <w:tcPr>
            <w:tcW w:w="1036" w:type="dxa"/>
            <w:shd w:val="clear" w:color="auto" w:fill="auto"/>
            <w:noWrap/>
            <w:vAlign w:val="center"/>
          </w:tcPr>
          <w:p w14:paraId="4D3F4395"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0.509</w:t>
            </w:r>
          </w:p>
        </w:tc>
        <w:tc>
          <w:tcPr>
            <w:tcW w:w="1214" w:type="dxa"/>
            <w:shd w:val="clear" w:color="auto" w:fill="auto"/>
            <w:noWrap/>
            <w:vAlign w:val="center"/>
          </w:tcPr>
          <w:p w14:paraId="0F108951"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6.500</w:t>
            </w:r>
          </w:p>
        </w:tc>
      </w:tr>
      <w:tr w:rsidR="00426BAC" w:rsidRPr="003D0F72" w14:paraId="5244F5E3" w14:textId="77777777" w:rsidTr="007D4B16">
        <w:trPr>
          <w:trHeight w:hRule="exact" w:val="284"/>
        </w:trPr>
        <w:tc>
          <w:tcPr>
            <w:tcW w:w="1761" w:type="dxa"/>
            <w:vMerge/>
            <w:shd w:val="clear" w:color="auto" w:fill="auto"/>
            <w:noWrap/>
            <w:vAlign w:val="center"/>
          </w:tcPr>
          <w:p w14:paraId="64F40940"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0113C035"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Franklands West</w:t>
            </w:r>
          </w:p>
        </w:tc>
        <w:tc>
          <w:tcPr>
            <w:tcW w:w="1036" w:type="dxa"/>
            <w:shd w:val="clear" w:color="auto" w:fill="auto"/>
            <w:noWrap/>
            <w:vAlign w:val="center"/>
          </w:tcPr>
          <w:p w14:paraId="6DC17091"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0.036</w:t>
            </w:r>
          </w:p>
        </w:tc>
        <w:tc>
          <w:tcPr>
            <w:tcW w:w="1036" w:type="dxa"/>
            <w:shd w:val="clear" w:color="auto" w:fill="auto"/>
            <w:noWrap/>
            <w:vAlign w:val="center"/>
          </w:tcPr>
          <w:p w14:paraId="3108572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0.267</w:t>
            </w:r>
          </w:p>
        </w:tc>
        <w:tc>
          <w:tcPr>
            <w:tcW w:w="1036" w:type="dxa"/>
            <w:shd w:val="clear" w:color="auto" w:fill="auto"/>
            <w:noWrap/>
            <w:vAlign w:val="center"/>
          </w:tcPr>
          <w:p w14:paraId="280518F7"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0.480</w:t>
            </w:r>
          </w:p>
        </w:tc>
        <w:tc>
          <w:tcPr>
            <w:tcW w:w="1036" w:type="dxa"/>
            <w:shd w:val="clear" w:color="auto" w:fill="F2F2F2" w:themeFill="background1" w:themeFillShade="F2"/>
            <w:noWrap/>
            <w:vAlign w:val="center"/>
          </w:tcPr>
          <w:p w14:paraId="669B775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0.339</w:t>
            </w:r>
          </w:p>
        </w:tc>
        <w:tc>
          <w:tcPr>
            <w:tcW w:w="1036" w:type="dxa"/>
            <w:shd w:val="clear" w:color="auto" w:fill="auto"/>
            <w:noWrap/>
            <w:vAlign w:val="center"/>
          </w:tcPr>
          <w:p w14:paraId="753F67D4"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0.680</w:t>
            </w:r>
          </w:p>
        </w:tc>
        <w:tc>
          <w:tcPr>
            <w:tcW w:w="1214" w:type="dxa"/>
            <w:shd w:val="clear" w:color="auto" w:fill="auto"/>
            <w:noWrap/>
            <w:vAlign w:val="center"/>
          </w:tcPr>
          <w:p w14:paraId="1C7F1492"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31.268</w:t>
            </w:r>
          </w:p>
        </w:tc>
      </w:tr>
      <w:tr w:rsidR="00426BAC" w:rsidRPr="003D0F72" w14:paraId="3E285EDC" w14:textId="77777777" w:rsidTr="007D4B16">
        <w:trPr>
          <w:trHeight w:hRule="exact" w:val="284"/>
        </w:trPr>
        <w:tc>
          <w:tcPr>
            <w:tcW w:w="1761" w:type="dxa"/>
            <w:vMerge/>
            <w:shd w:val="clear" w:color="auto" w:fill="auto"/>
            <w:noWrap/>
            <w:vAlign w:val="center"/>
          </w:tcPr>
          <w:p w14:paraId="3A99DEEE"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3C0A25A8"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Fitzroy West</w:t>
            </w:r>
          </w:p>
        </w:tc>
        <w:tc>
          <w:tcPr>
            <w:tcW w:w="1036" w:type="dxa"/>
            <w:shd w:val="clear" w:color="auto" w:fill="auto"/>
            <w:noWrap/>
            <w:vAlign w:val="center"/>
          </w:tcPr>
          <w:p w14:paraId="6C5365A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0.015</w:t>
            </w:r>
          </w:p>
        </w:tc>
        <w:tc>
          <w:tcPr>
            <w:tcW w:w="1036" w:type="dxa"/>
            <w:shd w:val="clear" w:color="auto" w:fill="auto"/>
            <w:noWrap/>
            <w:vAlign w:val="center"/>
          </w:tcPr>
          <w:p w14:paraId="566FF71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0.293</w:t>
            </w:r>
          </w:p>
        </w:tc>
        <w:tc>
          <w:tcPr>
            <w:tcW w:w="1036" w:type="dxa"/>
            <w:shd w:val="clear" w:color="auto" w:fill="auto"/>
            <w:noWrap/>
            <w:vAlign w:val="center"/>
          </w:tcPr>
          <w:p w14:paraId="2067CA9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0.494</w:t>
            </w:r>
          </w:p>
        </w:tc>
        <w:tc>
          <w:tcPr>
            <w:tcW w:w="1036" w:type="dxa"/>
            <w:shd w:val="clear" w:color="auto" w:fill="F2F2F2" w:themeFill="background1" w:themeFillShade="F2"/>
            <w:noWrap/>
            <w:vAlign w:val="center"/>
          </w:tcPr>
          <w:p w14:paraId="48D4898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0.375</w:t>
            </w:r>
          </w:p>
        </w:tc>
        <w:tc>
          <w:tcPr>
            <w:tcW w:w="1036" w:type="dxa"/>
            <w:shd w:val="clear" w:color="auto" w:fill="auto"/>
            <w:noWrap/>
            <w:vAlign w:val="center"/>
          </w:tcPr>
          <w:p w14:paraId="1CADDFF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0.678</w:t>
            </w:r>
          </w:p>
        </w:tc>
        <w:tc>
          <w:tcPr>
            <w:tcW w:w="1214" w:type="dxa"/>
            <w:shd w:val="clear" w:color="auto" w:fill="auto"/>
            <w:noWrap/>
            <w:vAlign w:val="center"/>
          </w:tcPr>
          <w:p w14:paraId="55768064"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9.302</w:t>
            </w:r>
          </w:p>
        </w:tc>
      </w:tr>
      <w:tr w:rsidR="00426BAC" w:rsidRPr="003D0F72" w14:paraId="2844373A" w14:textId="77777777" w:rsidTr="007D4B16">
        <w:trPr>
          <w:trHeight w:hRule="exact" w:val="284"/>
        </w:trPr>
        <w:tc>
          <w:tcPr>
            <w:tcW w:w="1761" w:type="dxa"/>
            <w:vMerge/>
            <w:shd w:val="clear" w:color="auto" w:fill="auto"/>
            <w:noWrap/>
            <w:vAlign w:val="center"/>
          </w:tcPr>
          <w:p w14:paraId="2DCBF24B"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041AEEF5"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High East</w:t>
            </w:r>
          </w:p>
        </w:tc>
        <w:tc>
          <w:tcPr>
            <w:tcW w:w="1036" w:type="dxa"/>
            <w:shd w:val="clear" w:color="auto" w:fill="auto"/>
            <w:noWrap/>
            <w:vAlign w:val="center"/>
          </w:tcPr>
          <w:p w14:paraId="184DD9F7"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0.036</w:t>
            </w:r>
          </w:p>
        </w:tc>
        <w:tc>
          <w:tcPr>
            <w:tcW w:w="1036" w:type="dxa"/>
            <w:shd w:val="clear" w:color="auto" w:fill="auto"/>
            <w:noWrap/>
            <w:vAlign w:val="center"/>
          </w:tcPr>
          <w:p w14:paraId="7DAF8B9A"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0.229</w:t>
            </w:r>
          </w:p>
        </w:tc>
        <w:tc>
          <w:tcPr>
            <w:tcW w:w="1036" w:type="dxa"/>
            <w:shd w:val="clear" w:color="auto" w:fill="auto"/>
            <w:noWrap/>
            <w:vAlign w:val="center"/>
          </w:tcPr>
          <w:p w14:paraId="528B9FF6"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0.543</w:t>
            </w:r>
          </w:p>
        </w:tc>
        <w:tc>
          <w:tcPr>
            <w:tcW w:w="1036" w:type="dxa"/>
            <w:shd w:val="clear" w:color="auto" w:fill="F2F2F2" w:themeFill="background1" w:themeFillShade="F2"/>
            <w:noWrap/>
            <w:vAlign w:val="center"/>
          </w:tcPr>
          <w:p w14:paraId="51847483"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0.391</w:t>
            </w:r>
          </w:p>
        </w:tc>
        <w:tc>
          <w:tcPr>
            <w:tcW w:w="1036" w:type="dxa"/>
            <w:shd w:val="clear" w:color="auto" w:fill="auto"/>
            <w:noWrap/>
            <w:vAlign w:val="center"/>
          </w:tcPr>
          <w:p w14:paraId="61769EC1"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0.703</w:t>
            </w:r>
          </w:p>
        </w:tc>
        <w:tc>
          <w:tcPr>
            <w:tcW w:w="1214" w:type="dxa"/>
            <w:shd w:val="clear" w:color="auto" w:fill="auto"/>
            <w:noWrap/>
            <w:vAlign w:val="center"/>
          </w:tcPr>
          <w:p w14:paraId="1EB531C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1.349</w:t>
            </w:r>
          </w:p>
        </w:tc>
      </w:tr>
      <w:tr w:rsidR="00426BAC" w:rsidRPr="003D0F72" w14:paraId="64300C64" w14:textId="77777777" w:rsidTr="007D4B16">
        <w:trPr>
          <w:trHeight w:hRule="exact" w:val="284"/>
        </w:trPr>
        <w:tc>
          <w:tcPr>
            <w:tcW w:w="1761" w:type="dxa"/>
            <w:vMerge/>
            <w:shd w:val="clear" w:color="auto" w:fill="auto"/>
            <w:noWrap/>
            <w:vAlign w:val="center"/>
          </w:tcPr>
          <w:p w14:paraId="5C0776EC"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256A272F"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High West</w:t>
            </w:r>
          </w:p>
        </w:tc>
        <w:tc>
          <w:tcPr>
            <w:tcW w:w="1036" w:type="dxa"/>
            <w:shd w:val="clear" w:color="auto" w:fill="auto"/>
            <w:noWrap/>
            <w:vAlign w:val="center"/>
          </w:tcPr>
          <w:p w14:paraId="746DFBA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0.061</w:t>
            </w:r>
          </w:p>
        </w:tc>
        <w:tc>
          <w:tcPr>
            <w:tcW w:w="1036" w:type="dxa"/>
            <w:shd w:val="clear" w:color="auto" w:fill="auto"/>
            <w:noWrap/>
            <w:vAlign w:val="center"/>
          </w:tcPr>
          <w:p w14:paraId="3A5D389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0.493</w:t>
            </w:r>
          </w:p>
        </w:tc>
        <w:tc>
          <w:tcPr>
            <w:tcW w:w="1036" w:type="dxa"/>
            <w:shd w:val="clear" w:color="auto" w:fill="auto"/>
            <w:noWrap/>
            <w:vAlign w:val="center"/>
          </w:tcPr>
          <w:p w14:paraId="25511F20"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0.366</w:t>
            </w:r>
          </w:p>
        </w:tc>
        <w:tc>
          <w:tcPr>
            <w:tcW w:w="1036" w:type="dxa"/>
            <w:shd w:val="clear" w:color="auto" w:fill="F2F2F2" w:themeFill="background1" w:themeFillShade="F2"/>
            <w:noWrap/>
            <w:vAlign w:val="center"/>
          </w:tcPr>
          <w:p w14:paraId="3423C46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0.525</w:t>
            </w:r>
          </w:p>
        </w:tc>
        <w:tc>
          <w:tcPr>
            <w:tcW w:w="1036" w:type="dxa"/>
            <w:shd w:val="clear" w:color="auto" w:fill="auto"/>
            <w:noWrap/>
            <w:vAlign w:val="center"/>
          </w:tcPr>
          <w:p w14:paraId="5B334D1B"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0.787</w:t>
            </w:r>
          </w:p>
        </w:tc>
        <w:tc>
          <w:tcPr>
            <w:tcW w:w="1214" w:type="dxa"/>
            <w:shd w:val="clear" w:color="auto" w:fill="auto"/>
            <w:noWrap/>
            <w:vAlign w:val="center"/>
          </w:tcPr>
          <w:p w14:paraId="5A21F7E6"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12.758</w:t>
            </w:r>
          </w:p>
        </w:tc>
      </w:tr>
      <w:tr w:rsidR="007D4B16" w:rsidRPr="003D0F72" w14:paraId="66E94428" w14:textId="77777777" w:rsidTr="007D4B16">
        <w:trPr>
          <w:trHeight w:hRule="exact" w:val="284"/>
        </w:trPr>
        <w:tc>
          <w:tcPr>
            <w:tcW w:w="1761" w:type="dxa"/>
            <w:vMerge w:val="restart"/>
            <w:shd w:val="clear" w:color="auto" w:fill="auto"/>
            <w:noWrap/>
            <w:vAlign w:val="center"/>
          </w:tcPr>
          <w:p w14:paraId="2258505E" w14:textId="77777777" w:rsidR="00474974" w:rsidRPr="003D0F72" w:rsidRDefault="00474974" w:rsidP="00040878">
            <w:pPr>
              <w:jc w:val="left"/>
              <w:rPr>
                <w:rFonts w:ascii="Arial Narrow" w:hAnsi="Arial Narrow" w:cs="Arial"/>
                <w:color w:val="000000"/>
                <w:sz w:val="20"/>
                <w:lang w:val="en-AU" w:eastAsia="en-AU"/>
              </w:rPr>
            </w:pPr>
            <w:r>
              <w:rPr>
                <w:rFonts w:ascii="Arial Narrow" w:hAnsi="Arial Narrow" w:cs="Arial"/>
                <w:color w:val="000000"/>
                <w:sz w:val="20"/>
                <w:lang w:val="en-AU" w:eastAsia="en-AU"/>
              </w:rPr>
              <w:t>Herbert Tully</w:t>
            </w:r>
          </w:p>
        </w:tc>
        <w:tc>
          <w:tcPr>
            <w:tcW w:w="1607" w:type="dxa"/>
            <w:shd w:val="clear" w:color="auto" w:fill="auto"/>
            <w:noWrap/>
            <w:vAlign w:val="center"/>
          </w:tcPr>
          <w:p w14:paraId="310FD92D" w14:textId="77777777" w:rsidR="00474974" w:rsidRPr="003D0F72" w:rsidRDefault="00474974"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Barnards</w:t>
            </w:r>
          </w:p>
        </w:tc>
        <w:tc>
          <w:tcPr>
            <w:tcW w:w="1036" w:type="dxa"/>
            <w:shd w:val="clear" w:color="auto" w:fill="auto"/>
            <w:noWrap/>
            <w:vAlign w:val="center"/>
          </w:tcPr>
          <w:p w14:paraId="480B6193"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0.035</w:t>
            </w:r>
          </w:p>
        </w:tc>
        <w:tc>
          <w:tcPr>
            <w:tcW w:w="1036" w:type="dxa"/>
            <w:shd w:val="clear" w:color="auto" w:fill="auto"/>
            <w:noWrap/>
            <w:vAlign w:val="center"/>
          </w:tcPr>
          <w:p w14:paraId="77AB1027"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0.525</w:t>
            </w:r>
          </w:p>
        </w:tc>
        <w:tc>
          <w:tcPr>
            <w:tcW w:w="1036" w:type="dxa"/>
            <w:shd w:val="clear" w:color="auto" w:fill="auto"/>
            <w:noWrap/>
            <w:vAlign w:val="center"/>
          </w:tcPr>
          <w:p w14:paraId="78979A81"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0.327</w:t>
            </w:r>
          </w:p>
        </w:tc>
        <w:tc>
          <w:tcPr>
            <w:tcW w:w="1036" w:type="dxa"/>
            <w:shd w:val="clear" w:color="auto" w:fill="F2F2F2" w:themeFill="background1" w:themeFillShade="F2"/>
            <w:noWrap/>
            <w:vAlign w:val="center"/>
          </w:tcPr>
          <w:p w14:paraId="6B0F4E42"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0.471</w:t>
            </w:r>
          </w:p>
        </w:tc>
        <w:tc>
          <w:tcPr>
            <w:tcW w:w="1036" w:type="dxa"/>
            <w:shd w:val="clear" w:color="auto" w:fill="auto"/>
            <w:noWrap/>
            <w:vAlign w:val="center"/>
          </w:tcPr>
          <w:p w14:paraId="453A1C82"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0.653</w:t>
            </w:r>
          </w:p>
        </w:tc>
        <w:tc>
          <w:tcPr>
            <w:tcW w:w="1214" w:type="dxa"/>
            <w:shd w:val="clear" w:color="auto" w:fill="auto"/>
            <w:noWrap/>
            <w:vAlign w:val="center"/>
          </w:tcPr>
          <w:p w14:paraId="61647BAB" w14:textId="77777777" w:rsidR="00474974" w:rsidRPr="00040878" w:rsidRDefault="00474974"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6.101</w:t>
            </w:r>
          </w:p>
        </w:tc>
      </w:tr>
      <w:tr w:rsidR="007D4B16" w:rsidRPr="003D0F72" w14:paraId="74C7FB31" w14:textId="77777777" w:rsidTr="007D4B16">
        <w:trPr>
          <w:trHeight w:hRule="exact" w:val="284"/>
        </w:trPr>
        <w:tc>
          <w:tcPr>
            <w:tcW w:w="1761" w:type="dxa"/>
            <w:vMerge/>
            <w:shd w:val="clear" w:color="auto" w:fill="auto"/>
            <w:noWrap/>
            <w:vAlign w:val="center"/>
          </w:tcPr>
          <w:p w14:paraId="1DE8A819"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01857A56"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Dunk North</w:t>
            </w:r>
          </w:p>
        </w:tc>
        <w:tc>
          <w:tcPr>
            <w:tcW w:w="1036" w:type="dxa"/>
            <w:shd w:val="clear" w:color="auto" w:fill="auto"/>
            <w:noWrap/>
            <w:vAlign w:val="center"/>
          </w:tcPr>
          <w:p w14:paraId="78B2F202"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0.053</w:t>
            </w:r>
          </w:p>
        </w:tc>
        <w:tc>
          <w:tcPr>
            <w:tcW w:w="1036" w:type="dxa"/>
            <w:shd w:val="clear" w:color="auto" w:fill="auto"/>
            <w:noWrap/>
            <w:vAlign w:val="center"/>
          </w:tcPr>
          <w:p w14:paraId="03FB1C7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0.739</w:t>
            </w:r>
          </w:p>
        </w:tc>
        <w:tc>
          <w:tcPr>
            <w:tcW w:w="1036" w:type="dxa"/>
            <w:shd w:val="clear" w:color="auto" w:fill="auto"/>
            <w:noWrap/>
            <w:vAlign w:val="center"/>
          </w:tcPr>
          <w:p w14:paraId="53807353"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0.110</w:t>
            </w:r>
          </w:p>
        </w:tc>
        <w:tc>
          <w:tcPr>
            <w:tcW w:w="1036" w:type="dxa"/>
            <w:shd w:val="clear" w:color="auto" w:fill="F2F2F2" w:themeFill="background1" w:themeFillShade="F2"/>
            <w:noWrap/>
            <w:vAlign w:val="center"/>
          </w:tcPr>
          <w:p w14:paraId="01D50C6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0.537</w:t>
            </w:r>
          </w:p>
        </w:tc>
        <w:tc>
          <w:tcPr>
            <w:tcW w:w="1036" w:type="dxa"/>
            <w:shd w:val="clear" w:color="auto" w:fill="auto"/>
            <w:noWrap/>
            <w:vAlign w:val="center"/>
          </w:tcPr>
          <w:p w14:paraId="654A59D5"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0.807</w:t>
            </w:r>
          </w:p>
        </w:tc>
        <w:tc>
          <w:tcPr>
            <w:tcW w:w="1214" w:type="dxa"/>
            <w:shd w:val="clear" w:color="auto" w:fill="auto"/>
            <w:noWrap/>
            <w:vAlign w:val="center"/>
          </w:tcPr>
          <w:p w14:paraId="70652EF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12.321</w:t>
            </w:r>
          </w:p>
        </w:tc>
      </w:tr>
      <w:tr w:rsidR="00426BAC" w:rsidRPr="003D0F72" w14:paraId="6E2D310C" w14:textId="77777777" w:rsidTr="007D4B16">
        <w:trPr>
          <w:trHeight w:hRule="exact" w:val="284"/>
        </w:trPr>
        <w:tc>
          <w:tcPr>
            <w:tcW w:w="1761" w:type="dxa"/>
            <w:vMerge/>
            <w:shd w:val="clear" w:color="auto" w:fill="auto"/>
            <w:noWrap/>
            <w:vAlign w:val="center"/>
          </w:tcPr>
          <w:p w14:paraId="36FC8701"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10D4031D"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King</w:t>
            </w:r>
          </w:p>
        </w:tc>
        <w:tc>
          <w:tcPr>
            <w:tcW w:w="1036" w:type="dxa"/>
            <w:shd w:val="clear" w:color="auto" w:fill="auto"/>
            <w:noWrap/>
            <w:vAlign w:val="center"/>
          </w:tcPr>
          <w:p w14:paraId="30882988"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0.061</w:t>
            </w:r>
          </w:p>
        </w:tc>
        <w:tc>
          <w:tcPr>
            <w:tcW w:w="1036" w:type="dxa"/>
            <w:shd w:val="clear" w:color="auto" w:fill="auto"/>
            <w:noWrap/>
            <w:vAlign w:val="center"/>
          </w:tcPr>
          <w:p w14:paraId="72AE1082"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0.632</w:t>
            </w:r>
          </w:p>
        </w:tc>
        <w:tc>
          <w:tcPr>
            <w:tcW w:w="1036" w:type="dxa"/>
            <w:shd w:val="clear" w:color="auto" w:fill="auto"/>
            <w:noWrap/>
            <w:vAlign w:val="center"/>
          </w:tcPr>
          <w:p w14:paraId="1ABC3DB8"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0.212</w:t>
            </w:r>
          </w:p>
        </w:tc>
        <w:tc>
          <w:tcPr>
            <w:tcW w:w="1036" w:type="dxa"/>
            <w:shd w:val="clear" w:color="auto" w:fill="F2F2F2" w:themeFill="background1" w:themeFillShade="F2"/>
            <w:noWrap/>
            <w:vAlign w:val="center"/>
          </w:tcPr>
          <w:p w14:paraId="4298844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0.543</w:t>
            </w:r>
          </w:p>
        </w:tc>
        <w:tc>
          <w:tcPr>
            <w:tcW w:w="1036" w:type="dxa"/>
            <w:shd w:val="clear" w:color="auto" w:fill="auto"/>
            <w:noWrap/>
            <w:vAlign w:val="center"/>
          </w:tcPr>
          <w:p w14:paraId="70184A3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0.692</w:t>
            </w:r>
          </w:p>
        </w:tc>
        <w:tc>
          <w:tcPr>
            <w:tcW w:w="1214" w:type="dxa"/>
            <w:shd w:val="clear" w:color="auto" w:fill="auto"/>
            <w:noWrap/>
            <w:vAlign w:val="center"/>
          </w:tcPr>
          <w:p w14:paraId="6EE54FA4"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2.200</w:t>
            </w:r>
          </w:p>
        </w:tc>
      </w:tr>
      <w:tr w:rsidR="007D4B16" w:rsidRPr="003D0F72" w14:paraId="4947952F" w14:textId="77777777" w:rsidTr="007D4B16">
        <w:trPr>
          <w:trHeight w:hRule="exact" w:val="284"/>
        </w:trPr>
        <w:tc>
          <w:tcPr>
            <w:tcW w:w="1761" w:type="dxa"/>
            <w:vMerge/>
            <w:shd w:val="clear" w:color="auto" w:fill="auto"/>
            <w:noWrap/>
            <w:vAlign w:val="center"/>
          </w:tcPr>
          <w:p w14:paraId="56BF9DE8"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1019B390"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Dunk South</w:t>
            </w:r>
          </w:p>
        </w:tc>
        <w:tc>
          <w:tcPr>
            <w:tcW w:w="1036" w:type="dxa"/>
            <w:shd w:val="clear" w:color="auto" w:fill="auto"/>
            <w:noWrap/>
            <w:vAlign w:val="center"/>
          </w:tcPr>
          <w:p w14:paraId="450A4C77"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0.107</w:t>
            </w:r>
          </w:p>
        </w:tc>
        <w:tc>
          <w:tcPr>
            <w:tcW w:w="1036" w:type="dxa"/>
            <w:shd w:val="clear" w:color="auto" w:fill="auto"/>
            <w:noWrap/>
            <w:vAlign w:val="center"/>
          </w:tcPr>
          <w:p w14:paraId="37245111"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0.706</w:t>
            </w:r>
          </w:p>
        </w:tc>
        <w:tc>
          <w:tcPr>
            <w:tcW w:w="1036" w:type="dxa"/>
            <w:shd w:val="clear" w:color="auto" w:fill="auto"/>
            <w:noWrap/>
            <w:vAlign w:val="center"/>
          </w:tcPr>
          <w:p w14:paraId="0746B8D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0.112</w:t>
            </w:r>
          </w:p>
        </w:tc>
        <w:tc>
          <w:tcPr>
            <w:tcW w:w="1036" w:type="dxa"/>
            <w:shd w:val="clear" w:color="auto" w:fill="F2F2F2" w:themeFill="background1" w:themeFillShade="F2"/>
            <w:noWrap/>
            <w:vAlign w:val="center"/>
          </w:tcPr>
          <w:p w14:paraId="3F2EDF43"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0.601</w:t>
            </w:r>
          </w:p>
        </w:tc>
        <w:tc>
          <w:tcPr>
            <w:tcW w:w="1036" w:type="dxa"/>
            <w:shd w:val="clear" w:color="auto" w:fill="auto"/>
            <w:noWrap/>
            <w:vAlign w:val="center"/>
          </w:tcPr>
          <w:p w14:paraId="0437D32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0.853</w:t>
            </w:r>
          </w:p>
        </w:tc>
        <w:tc>
          <w:tcPr>
            <w:tcW w:w="1214" w:type="dxa"/>
            <w:shd w:val="clear" w:color="auto" w:fill="auto"/>
            <w:noWrap/>
            <w:vAlign w:val="center"/>
          </w:tcPr>
          <w:p w14:paraId="6CAD23E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12.146</w:t>
            </w:r>
          </w:p>
        </w:tc>
      </w:tr>
      <w:tr w:rsidR="00426BAC" w:rsidRPr="003D0F72" w14:paraId="7D376D6F" w14:textId="77777777" w:rsidTr="007D4B16">
        <w:trPr>
          <w:trHeight w:hRule="exact" w:val="284"/>
        </w:trPr>
        <w:tc>
          <w:tcPr>
            <w:tcW w:w="1761" w:type="dxa"/>
            <w:vMerge w:val="restart"/>
            <w:shd w:val="clear" w:color="auto" w:fill="auto"/>
            <w:noWrap/>
            <w:vAlign w:val="center"/>
          </w:tcPr>
          <w:p w14:paraId="5A330982"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Burdekin</w:t>
            </w:r>
          </w:p>
        </w:tc>
        <w:tc>
          <w:tcPr>
            <w:tcW w:w="1607" w:type="dxa"/>
            <w:shd w:val="clear" w:color="auto" w:fill="auto"/>
            <w:noWrap/>
            <w:vAlign w:val="center"/>
          </w:tcPr>
          <w:p w14:paraId="7300AD78"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Palms East</w:t>
            </w:r>
          </w:p>
        </w:tc>
        <w:tc>
          <w:tcPr>
            <w:tcW w:w="1036" w:type="dxa"/>
            <w:shd w:val="clear" w:color="auto" w:fill="auto"/>
            <w:noWrap/>
            <w:vAlign w:val="center"/>
          </w:tcPr>
          <w:p w14:paraId="7C0BCE5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0.014</w:t>
            </w:r>
          </w:p>
        </w:tc>
        <w:tc>
          <w:tcPr>
            <w:tcW w:w="1036" w:type="dxa"/>
            <w:shd w:val="clear" w:color="auto" w:fill="auto"/>
            <w:noWrap/>
            <w:vAlign w:val="center"/>
          </w:tcPr>
          <w:p w14:paraId="6BF832FA"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0.134</w:t>
            </w:r>
          </w:p>
        </w:tc>
        <w:tc>
          <w:tcPr>
            <w:tcW w:w="1036" w:type="dxa"/>
            <w:shd w:val="clear" w:color="auto" w:fill="auto"/>
            <w:noWrap/>
            <w:vAlign w:val="center"/>
          </w:tcPr>
          <w:p w14:paraId="2BC88A65"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0.581</w:t>
            </w:r>
          </w:p>
        </w:tc>
        <w:tc>
          <w:tcPr>
            <w:tcW w:w="1036" w:type="dxa"/>
            <w:shd w:val="clear" w:color="auto" w:fill="F2F2F2" w:themeFill="background1" w:themeFillShade="F2"/>
            <w:noWrap/>
            <w:vAlign w:val="center"/>
          </w:tcPr>
          <w:p w14:paraId="47721BF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0.264</w:t>
            </w:r>
          </w:p>
        </w:tc>
        <w:tc>
          <w:tcPr>
            <w:tcW w:w="1036" w:type="dxa"/>
            <w:shd w:val="clear" w:color="auto" w:fill="auto"/>
            <w:noWrap/>
            <w:vAlign w:val="center"/>
          </w:tcPr>
          <w:p w14:paraId="7FA85D7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0.606</w:t>
            </w:r>
          </w:p>
        </w:tc>
        <w:tc>
          <w:tcPr>
            <w:tcW w:w="1214" w:type="dxa"/>
            <w:shd w:val="clear" w:color="auto" w:fill="auto"/>
            <w:noWrap/>
            <w:vAlign w:val="center"/>
          </w:tcPr>
          <w:p w14:paraId="7916DD5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0.480</w:t>
            </w:r>
          </w:p>
        </w:tc>
      </w:tr>
      <w:tr w:rsidR="00426BAC" w:rsidRPr="003D0F72" w14:paraId="11FA0FB9" w14:textId="77777777" w:rsidTr="007D4B16">
        <w:trPr>
          <w:trHeight w:hRule="exact" w:val="284"/>
        </w:trPr>
        <w:tc>
          <w:tcPr>
            <w:tcW w:w="1761" w:type="dxa"/>
            <w:vMerge/>
            <w:shd w:val="clear" w:color="auto" w:fill="auto"/>
            <w:noWrap/>
            <w:vAlign w:val="center"/>
          </w:tcPr>
          <w:p w14:paraId="526E3921"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69927FED"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Havannah North</w:t>
            </w:r>
          </w:p>
        </w:tc>
        <w:tc>
          <w:tcPr>
            <w:tcW w:w="1036" w:type="dxa"/>
            <w:shd w:val="clear" w:color="auto" w:fill="auto"/>
            <w:noWrap/>
            <w:vAlign w:val="center"/>
          </w:tcPr>
          <w:p w14:paraId="3442983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0.040</w:t>
            </w:r>
          </w:p>
        </w:tc>
        <w:tc>
          <w:tcPr>
            <w:tcW w:w="1036" w:type="dxa"/>
            <w:shd w:val="clear" w:color="auto" w:fill="auto"/>
            <w:noWrap/>
            <w:vAlign w:val="center"/>
          </w:tcPr>
          <w:p w14:paraId="79D740A3"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0.241</w:t>
            </w:r>
          </w:p>
        </w:tc>
        <w:tc>
          <w:tcPr>
            <w:tcW w:w="1036" w:type="dxa"/>
            <w:shd w:val="clear" w:color="auto" w:fill="auto"/>
            <w:noWrap/>
            <w:vAlign w:val="center"/>
          </w:tcPr>
          <w:p w14:paraId="51D79D4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0.608</w:t>
            </w:r>
          </w:p>
        </w:tc>
        <w:tc>
          <w:tcPr>
            <w:tcW w:w="1036" w:type="dxa"/>
            <w:shd w:val="clear" w:color="auto" w:fill="F2F2F2" w:themeFill="background1" w:themeFillShade="F2"/>
            <w:noWrap/>
            <w:vAlign w:val="center"/>
          </w:tcPr>
          <w:p w14:paraId="57BAAF5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0.380</w:t>
            </w:r>
          </w:p>
        </w:tc>
        <w:tc>
          <w:tcPr>
            <w:tcW w:w="1036" w:type="dxa"/>
            <w:shd w:val="clear" w:color="auto" w:fill="auto"/>
            <w:noWrap/>
            <w:vAlign w:val="center"/>
          </w:tcPr>
          <w:p w14:paraId="2FE5C665"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0.685</w:t>
            </w:r>
          </w:p>
        </w:tc>
        <w:tc>
          <w:tcPr>
            <w:tcW w:w="1214" w:type="dxa"/>
            <w:shd w:val="clear" w:color="auto" w:fill="auto"/>
            <w:noWrap/>
            <w:vAlign w:val="center"/>
          </w:tcPr>
          <w:p w14:paraId="1CF8DB1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7.100</w:t>
            </w:r>
          </w:p>
        </w:tc>
      </w:tr>
      <w:tr w:rsidR="00426BAC" w:rsidRPr="003D0F72" w14:paraId="4F55C922" w14:textId="77777777" w:rsidTr="007D4B16">
        <w:trPr>
          <w:trHeight w:hRule="exact" w:val="284"/>
        </w:trPr>
        <w:tc>
          <w:tcPr>
            <w:tcW w:w="1761" w:type="dxa"/>
            <w:vMerge/>
            <w:shd w:val="clear" w:color="auto" w:fill="auto"/>
            <w:noWrap/>
            <w:vAlign w:val="center"/>
          </w:tcPr>
          <w:p w14:paraId="4139E42E"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64F3867C"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Palms West</w:t>
            </w:r>
          </w:p>
        </w:tc>
        <w:tc>
          <w:tcPr>
            <w:tcW w:w="1036" w:type="dxa"/>
            <w:shd w:val="clear" w:color="auto" w:fill="auto"/>
            <w:noWrap/>
            <w:vAlign w:val="center"/>
          </w:tcPr>
          <w:p w14:paraId="6D7B31B7"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0.043</w:t>
            </w:r>
          </w:p>
        </w:tc>
        <w:tc>
          <w:tcPr>
            <w:tcW w:w="1036" w:type="dxa"/>
            <w:shd w:val="clear" w:color="auto" w:fill="auto"/>
            <w:noWrap/>
            <w:vAlign w:val="center"/>
          </w:tcPr>
          <w:p w14:paraId="2A2F1E30"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0.278</w:t>
            </w:r>
          </w:p>
        </w:tc>
        <w:tc>
          <w:tcPr>
            <w:tcW w:w="1036" w:type="dxa"/>
            <w:shd w:val="clear" w:color="auto" w:fill="auto"/>
            <w:noWrap/>
            <w:vAlign w:val="center"/>
          </w:tcPr>
          <w:p w14:paraId="6CA5CFB5"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0.575</w:t>
            </w:r>
          </w:p>
        </w:tc>
        <w:tc>
          <w:tcPr>
            <w:tcW w:w="1036" w:type="dxa"/>
            <w:shd w:val="clear" w:color="auto" w:fill="F2F2F2" w:themeFill="background1" w:themeFillShade="F2"/>
            <w:noWrap/>
            <w:vAlign w:val="center"/>
          </w:tcPr>
          <w:p w14:paraId="301E3C67"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0.381</w:t>
            </w:r>
          </w:p>
        </w:tc>
        <w:tc>
          <w:tcPr>
            <w:tcW w:w="1036" w:type="dxa"/>
            <w:shd w:val="clear" w:color="auto" w:fill="auto"/>
            <w:noWrap/>
            <w:vAlign w:val="center"/>
          </w:tcPr>
          <w:p w14:paraId="130019C1"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0.672</w:t>
            </w:r>
          </w:p>
        </w:tc>
        <w:tc>
          <w:tcPr>
            <w:tcW w:w="1214" w:type="dxa"/>
            <w:shd w:val="clear" w:color="auto" w:fill="auto"/>
            <w:noWrap/>
            <w:vAlign w:val="center"/>
          </w:tcPr>
          <w:p w14:paraId="05E8CEE5"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5.590</w:t>
            </w:r>
          </w:p>
        </w:tc>
      </w:tr>
      <w:tr w:rsidR="00426BAC" w:rsidRPr="003D0F72" w14:paraId="168FBB01" w14:textId="77777777" w:rsidTr="007D4B16">
        <w:trPr>
          <w:trHeight w:hRule="exact" w:val="284"/>
        </w:trPr>
        <w:tc>
          <w:tcPr>
            <w:tcW w:w="1761" w:type="dxa"/>
            <w:vMerge/>
            <w:shd w:val="clear" w:color="auto" w:fill="auto"/>
            <w:noWrap/>
            <w:vAlign w:val="center"/>
            <w:hideMark/>
          </w:tcPr>
          <w:p w14:paraId="2912020F"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hideMark/>
          </w:tcPr>
          <w:p w14:paraId="32E5B1B9"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Havannah</w:t>
            </w:r>
          </w:p>
        </w:tc>
        <w:tc>
          <w:tcPr>
            <w:tcW w:w="1036" w:type="dxa"/>
            <w:shd w:val="clear" w:color="auto" w:fill="auto"/>
            <w:noWrap/>
            <w:vAlign w:val="center"/>
            <w:hideMark/>
          </w:tcPr>
          <w:p w14:paraId="30DFC97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0.030</w:t>
            </w:r>
          </w:p>
        </w:tc>
        <w:tc>
          <w:tcPr>
            <w:tcW w:w="1036" w:type="dxa"/>
            <w:shd w:val="clear" w:color="auto" w:fill="auto"/>
            <w:noWrap/>
            <w:vAlign w:val="center"/>
            <w:hideMark/>
          </w:tcPr>
          <w:p w14:paraId="1441C4F6"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0.367</w:t>
            </w:r>
          </w:p>
        </w:tc>
        <w:tc>
          <w:tcPr>
            <w:tcW w:w="1036" w:type="dxa"/>
            <w:shd w:val="clear" w:color="auto" w:fill="auto"/>
            <w:noWrap/>
            <w:vAlign w:val="center"/>
            <w:hideMark/>
          </w:tcPr>
          <w:p w14:paraId="3A2DD135"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0.509</w:t>
            </w:r>
          </w:p>
        </w:tc>
        <w:tc>
          <w:tcPr>
            <w:tcW w:w="1036" w:type="dxa"/>
            <w:shd w:val="clear" w:color="auto" w:fill="F2F2F2" w:themeFill="background1" w:themeFillShade="F2"/>
            <w:noWrap/>
            <w:vAlign w:val="center"/>
            <w:hideMark/>
          </w:tcPr>
          <w:p w14:paraId="0ABFAEC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0.414</w:t>
            </w:r>
          </w:p>
        </w:tc>
        <w:tc>
          <w:tcPr>
            <w:tcW w:w="1036" w:type="dxa"/>
            <w:shd w:val="clear" w:color="auto" w:fill="auto"/>
            <w:noWrap/>
            <w:vAlign w:val="center"/>
            <w:hideMark/>
          </w:tcPr>
          <w:p w14:paraId="76A1D26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0.688</w:t>
            </w:r>
          </w:p>
        </w:tc>
        <w:tc>
          <w:tcPr>
            <w:tcW w:w="1214" w:type="dxa"/>
            <w:shd w:val="clear" w:color="auto" w:fill="auto"/>
            <w:noWrap/>
            <w:vAlign w:val="center"/>
            <w:hideMark/>
          </w:tcPr>
          <w:p w14:paraId="39128547"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7.049</w:t>
            </w:r>
          </w:p>
        </w:tc>
      </w:tr>
      <w:tr w:rsidR="00426BAC" w:rsidRPr="003D0F72" w14:paraId="4E892538" w14:textId="77777777" w:rsidTr="007D4B16">
        <w:trPr>
          <w:trHeight w:hRule="exact" w:val="284"/>
        </w:trPr>
        <w:tc>
          <w:tcPr>
            <w:tcW w:w="1761" w:type="dxa"/>
            <w:vMerge/>
            <w:shd w:val="clear" w:color="auto" w:fill="auto"/>
            <w:noWrap/>
            <w:vAlign w:val="center"/>
          </w:tcPr>
          <w:p w14:paraId="2305D069"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311904B7"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Pandora North</w:t>
            </w:r>
          </w:p>
        </w:tc>
        <w:tc>
          <w:tcPr>
            <w:tcW w:w="1036" w:type="dxa"/>
            <w:shd w:val="clear" w:color="auto" w:fill="auto"/>
            <w:noWrap/>
            <w:vAlign w:val="center"/>
          </w:tcPr>
          <w:p w14:paraId="27D6BFA4"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0.038</w:t>
            </w:r>
          </w:p>
        </w:tc>
        <w:tc>
          <w:tcPr>
            <w:tcW w:w="1036" w:type="dxa"/>
            <w:shd w:val="clear" w:color="auto" w:fill="auto"/>
            <w:noWrap/>
            <w:vAlign w:val="center"/>
          </w:tcPr>
          <w:p w14:paraId="7482C447"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0.564</w:t>
            </w:r>
          </w:p>
        </w:tc>
        <w:tc>
          <w:tcPr>
            <w:tcW w:w="1036" w:type="dxa"/>
            <w:shd w:val="clear" w:color="auto" w:fill="auto"/>
            <w:noWrap/>
            <w:vAlign w:val="center"/>
          </w:tcPr>
          <w:p w14:paraId="57B0BF7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0.338</w:t>
            </w:r>
          </w:p>
        </w:tc>
        <w:tc>
          <w:tcPr>
            <w:tcW w:w="1036" w:type="dxa"/>
            <w:shd w:val="clear" w:color="auto" w:fill="F2F2F2" w:themeFill="background1" w:themeFillShade="F2"/>
            <w:noWrap/>
            <w:vAlign w:val="center"/>
          </w:tcPr>
          <w:p w14:paraId="32AF2D9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0.473</w:t>
            </w:r>
          </w:p>
        </w:tc>
        <w:tc>
          <w:tcPr>
            <w:tcW w:w="1036" w:type="dxa"/>
            <w:shd w:val="clear" w:color="auto" w:fill="auto"/>
            <w:noWrap/>
            <w:vAlign w:val="center"/>
          </w:tcPr>
          <w:p w14:paraId="057524D9"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0.741</w:t>
            </w:r>
          </w:p>
        </w:tc>
        <w:tc>
          <w:tcPr>
            <w:tcW w:w="1214" w:type="dxa"/>
            <w:shd w:val="clear" w:color="auto" w:fill="auto"/>
            <w:noWrap/>
            <w:vAlign w:val="center"/>
          </w:tcPr>
          <w:p w14:paraId="7A133946"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46.000</w:t>
            </w:r>
          </w:p>
        </w:tc>
      </w:tr>
      <w:tr w:rsidR="00426BAC" w:rsidRPr="003D0F72" w14:paraId="191BC524" w14:textId="77777777" w:rsidTr="007D4B16">
        <w:trPr>
          <w:trHeight w:hRule="exact" w:val="284"/>
        </w:trPr>
        <w:tc>
          <w:tcPr>
            <w:tcW w:w="1761" w:type="dxa"/>
            <w:vMerge/>
            <w:shd w:val="clear" w:color="auto" w:fill="auto"/>
            <w:noWrap/>
            <w:vAlign w:val="center"/>
          </w:tcPr>
          <w:p w14:paraId="7E65B9AB"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1F90DDA5"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Pandora</w:t>
            </w:r>
          </w:p>
        </w:tc>
        <w:tc>
          <w:tcPr>
            <w:tcW w:w="1036" w:type="dxa"/>
            <w:shd w:val="clear" w:color="auto" w:fill="auto"/>
            <w:noWrap/>
            <w:vAlign w:val="center"/>
          </w:tcPr>
          <w:p w14:paraId="1393B49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0.034</w:t>
            </w:r>
          </w:p>
        </w:tc>
        <w:tc>
          <w:tcPr>
            <w:tcW w:w="1036" w:type="dxa"/>
            <w:shd w:val="clear" w:color="auto" w:fill="auto"/>
            <w:noWrap/>
            <w:vAlign w:val="center"/>
          </w:tcPr>
          <w:p w14:paraId="2484FBA6"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0.546</w:t>
            </w:r>
          </w:p>
        </w:tc>
        <w:tc>
          <w:tcPr>
            <w:tcW w:w="1036" w:type="dxa"/>
            <w:shd w:val="clear" w:color="auto" w:fill="auto"/>
            <w:noWrap/>
            <w:vAlign w:val="center"/>
          </w:tcPr>
          <w:p w14:paraId="1CB6D883"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0.353</w:t>
            </w:r>
          </w:p>
        </w:tc>
        <w:tc>
          <w:tcPr>
            <w:tcW w:w="1036" w:type="dxa"/>
            <w:shd w:val="clear" w:color="auto" w:fill="F2F2F2" w:themeFill="background1" w:themeFillShade="F2"/>
            <w:noWrap/>
            <w:vAlign w:val="center"/>
          </w:tcPr>
          <w:p w14:paraId="2D9CDED3"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0.486</w:t>
            </w:r>
          </w:p>
        </w:tc>
        <w:tc>
          <w:tcPr>
            <w:tcW w:w="1036" w:type="dxa"/>
            <w:shd w:val="clear" w:color="auto" w:fill="auto"/>
            <w:noWrap/>
            <w:vAlign w:val="center"/>
          </w:tcPr>
          <w:p w14:paraId="761D1832"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0.760</w:t>
            </w:r>
          </w:p>
        </w:tc>
        <w:tc>
          <w:tcPr>
            <w:tcW w:w="1214" w:type="dxa"/>
            <w:shd w:val="clear" w:color="auto" w:fill="auto"/>
            <w:noWrap/>
            <w:vAlign w:val="center"/>
          </w:tcPr>
          <w:p w14:paraId="5536244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4.141</w:t>
            </w:r>
          </w:p>
        </w:tc>
      </w:tr>
      <w:tr w:rsidR="00426BAC" w:rsidRPr="003D0F72" w14:paraId="1FAB9FDD" w14:textId="77777777" w:rsidTr="007D4B16">
        <w:trPr>
          <w:trHeight w:hRule="exact" w:val="284"/>
        </w:trPr>
        <w:tc>
          <w:tcPr>
            <w:tcW w:w="1761" w:type="dxa"/>
            <w:vMerge/>
            <w:shd w:val="clear" w:color="auto" w:fill="auto"/>
            <w:noWrap/>
            <w:vAlign w:val="center"/>
          </w:tcPr>
          <w:p w14:paraId="5966B2C5"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53E50E5A"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Lady Elliot</w:t>
            </w:r>
          </w:p>
        </w:tc>
        <w:tc>
          <w:tcPr>
            <w:tcW w:w="1036" w:type="dxa"/>
            <w:shd w:val="clear" w:color="auto" w:fill="auto"/>
            <w:noWrap/>
            <w:vAlign w:val="center"/>
          </w:tcPr>
          <w:p w14:paraId="156463E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0.134</w:t>
            </w:r>
          </w:p>
        </w:tc>
        <w:tc>
          <w:tcPr>
            <w:tcW w:w="1036" w:type="dxa"/>
            <w:shd w:val="clear" w:color="auto" w:fill="auto"/>
            <w:noWrap/>
            <w:vAlign w:val="center"/>
          </w:tcPr>
          <w:p w14:paraId="475A0450"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0.790</w:t>
            </w:r>
          </w:p>
        </w:tc>
        <w:tc>
          <w:tcPr>
            <w:tcW w:w="1036" w:type="dxa"/>
            <w:shd w:val="clear" w:color="auto" w:fill="auto"/>
            <w:noWrap/>
            <w:vAlign w:val="center"/>
          </w:tcPr>
          <w:p w14:paraId="63645803"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0.028</w:t>
            </w:r>
          </w:p>
        </w:tc>
        <w:tc>
          <w:tcPr>
            <w:tcW w:w="1036" w:type="dxa"/>
            <w:shd w:val="clear" w:color="auto" w:fill="F2F2F2" w:themeFill="background1" w:themeFillShade="F2"/>
            <w:noWrap/>
            <w:vAlign w:val="center"/>
          </w:tcPr>
          <w:p w14:paraId="1B915AF6"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0.658</w:t>
            </w:r>
          </w:p>
        </w:tc>
        <w:tc>
          <w:tcPr>
            <w:tcW w:w="1036" w:type="dxa"/>
            <w:shd w:val="clear" w:color="auto" w:fill="auto"/>
            <w:noWrap/>
            <w:vAlign w:val="center"/>
          </w:tcPr>
          <w:p w14:paraId="325B4A1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0.961</w:t>
            </w:r>
          </w:p>
        </w:tc>
        <w:tc>
          <w:tcPr>
            <w:tcW w:w="1214" w:type="dxa"/>
            <w:shd w:val="clear" w:color="auto" w:fill="auto"/>
            <w:noWrap/>
            <w:vAlign w:val="center"/>
          </w:tcPr>
          <w:p w14:paraId="7336FD98"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14.474</w:t>
            </w:r>
          </w:p>
        </w:tc>
      </w:tr>
      <w:tr w:rsidR="00426BAC" w:rsidRPr="003D0F72" w14:paraId="0BB822DA" w14:textId="77777777" w:rsidTr="007D4B16">
        <w:trPr>
          <w:trHeight w:hRule="exact" w:val="284"/>
        </w:trPr>
        <w:tc>
          <w:tcPr>
            <w:tcW w:w="1761" w:type="dxa"/>
            <w:vMerge/>
            <w:shd w:val="clear" w:color="auto" w:fill="auto"/>
            <w:noWrap/>
            <w:vAlign w:val="center"/>
          </w:tcPr>
          <w:p w14:paraId="1620ADA4"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7EB22392"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Magnetic</w:t>
            </w:r>
          </w:p>
        </w:tc>
        <w:tc>
          <w:tcPr>
            <w:tcW w:w="1036" w:type="dxa"/>
            <w:shd w:val="clear" w:color="auto" w:fill="auto"/>
            <w:noWrap/>
            <w:vAlign w:val="center"/>
          </w:tcPr>
          <w:p w14:paraId="130BA4A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0.114</w:t>
            </w:r>
          </w:p>
        </w:tc>
        <w:tc>
          <w:tcPr>
            <w:tcW w:w="1036" w:type="dxa"/>
            <w:shd w:val="clear" w:color="auto" w:fill="auto"/>
            <w:noWrap/>
            <w:vAlign w:val="center"/>
          </w:tcPr>
          <w:p w14:paraId="40B97EC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0.812</w:t>
            </w:r>
          </w:p>
        </w:tc>
        <w:tc>
          <w:tcPr>
            <w:tcW w:w="1036" w:type="dxa"/>
            <w:shd w:val="clear" w:color="auto" w:fill="auto"/>
            <w:noWrap/>
            <w:vAlign w:val="center"/>
          </w:tcPr>
          <w:p w14:paraId="27426547"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0.043</w:t>
            </w:r>
          </w:p>
        </w:tc>
        <w:tc>
          <w:tcPr>
            <w:tcW w:w="1036" w:type="dxa"/>
            <w:shd w:val="clear" w:color="auto" w:fill="F2F2F2" w:themeFill="background1" w:themeFillShade="F2"/>
            <w:noWrap/>
            <w:vAlign w:val="center"/>
          </w:tcPr>
          <w:p w14:paraId="3934105D"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0.714</w:t>
            </w:r>
          </w:p>
        </w:tc>
        <w:tc>
          <w:tcPr>
            <w:tcW w:w="1036" w:type="dxa"/>
            <w:shd w:val="clear" w:color="auto" w:fill="auto"/>
            <w:noWrap/>
            <w:vAlign w:val="center"/>
          </w:tcPr>
          <w:p w14:paraId="1D6482C6"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1.572</w:t>
            </w:r>
          </w:p>
        </w:tc>
        <w:tc>
          <w:tcPr>
            <w:tcW w:w="1214" w:type="dxa"/>
            <w:shd w:val="clear" w:color="auto" w:fill="auto"/>
            <w:noWrap/>
            <w:vAlign w:val="center"/>
          </w:tcPr>
          <w:p w14:paraId="33F9A83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9.963</w:t>
            </w:r>
          </w:p>
        </w:tc>
      </w:tr>
      <w:tr w:rsidR="00426BAC" w:rsidRPr="003D0F72" w14:paraId="5D6415FC" w14:textId="77777777" w:rsidTr="007D4B16">
        <w:trPr>
          <w:trHeight w:hRule="exact" w:val="284"/>
        </w:trPr>
        <w:tc>
          <w:tcPr>
            <w:tcW w:w="1761" w:type="dxa"/>
            <w:vMerge/>
            <w:shd w:val="clear" w:color="auto" w:fill="auto"/>
            <w:noWrap/>
            <w:vAlign w:val="center"/>
          </w:tcPr>
          <w:p w14:paraId="321DADE2" w14:textId="77777777" w:rsidR="00426BAC" w:rsidRPr="003D0F72"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37A482C8"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Middle Rf</w:t>
            </w:r>
          </w:p>
        </w:tc>
        <w:tc>
          <w:tcPr>
            <w:tcW w:w="1036" w:type="dxa"/>
            <w:shd w:val="clear" w:color="auto" w:fill="auto"/>
            <w:noWrap/>
            <w:vAlign w:val="center"/>
          </w:tcPr>
          <w:p w14:paraId="3D39F7AA"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0.188</w:t>
            </w:r>
          </w:p>
        </w:tc>
        <w:tc>
          <w:tcPr>
            <w:tcW w:w="1036" w:type="dxa"/>
            <w:shd w:val="clear" w:color="auto" w:fill="auto"/>
            <w:noWrap/>
            <w:vAlign w:val="center"/>
          </w:tcPr>
          <w:p w14:paraId="73DF19C2"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0.767</w:t>
            </w:r>
          </w:p>
        </w:tc>
        <w:tc>
          <w:tcPr>
            <w:tcW w:w="1036" w:type="dxa"/>
            <w:shd w:val="clear" w:color="auto" w:fill="auto"/>
            <w:noWrap/>
            <w:vAlign w:val="center"/>
          </w:tcPr>
          <w:p w14:paraId="50EC21F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0.007</w:t>
            </w:r>
          </w:p>
        </w:tc>
        <w:tc>
          <w:tcPr>
            <w:tcW w:w="1036" w:type="dxa"/>
            <w:shd w:val="clear" w:color="auto" w:fill="F2F2F2" w:themeFill="background1" w:themeFillShade="F2"/>
            <w:noWrap/>
            <w:vAlign w:val="center"/>
          </w:tcPr>
          <w:p w14:paraId="0DE099CA"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0.920</w:t>
            </w:r>
          </w:p>
        </w:tc>
        <w:tc>
          <w:tcPr>
            <w:tcW w:w="1036" w:type="dxa"/>
            <w:shd w:val="clear" w:color="auto" w:fill="auto"/>
            <w:noWrap/>
            <w:vAlign w:val="center"/>
          </w:tcPr>
          <w:p w14:paraId="7C789AAB"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2.781</w:t>
            </w:r>
          </w:p>
        </w:tc>
        <w:tc>
          <w:tcPr>
            <w:tcW w:w="1214" w:type="dxa"/>
            <w:shd w:val="clear" w:color="auto" w:fill="auto"/>
            <w:noWrap/>
            <w:vAlign w:val="center"/>
          </w:tcPr>
          <w:p w14:paraId="39D28C7B"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51.539</w:t>
            </w:r>
          </w:p>
        </w:tc>
      </w:tr>
      <w:tr w:rsidR="00426BAC" w:rsidRPr="003D0F72" w14:paraId="5D64C5E0" w14:textId="77777777" w:rsidTr="007D4B16">
        <w:trPr>
          <w:trHeight w:hRule="exact" w:val="284"/>
        </w:trPr>
        <w:tc>
          <w:tcPr>
            <w:tcW w:w="1761" w:type="dxa"/>
            <w:vMerge w:val="restart"/>
            <w:shd w:val="clear" w:color="auto" w:fill="auto"/>
            <w:noWrap/>
            <w:vAlign w:val="center"/>
          </w:tcPr>
          <w:p w14:paraId="63AC5370" w14:textId="77777777" w:rsidR="00426BAC" w:rsidRPr="003D0F72" w:rsidRDefault="00426BAC" w:rsidP="00040878">
            <w:pPr>
              <w:jc w:val="left"/>
              <w:rPr>
                <w:rFonts w:ascii="Arial Narrow" w:hAnsi="Arial Narrow" w:cs="Arial"/>
                <w:color w:val="000000"/>
                <w:sz w:val="20"/>
                <w:lang w:val="en-AU" w:eastAsia="en-AU"/>
              </w:rPr>
            </w:pPr>
            <w:r w:rsidRPr="00AC42FA">
              <w:rPr>
                <w:rFonts w:ascii="Arial Narrow" w:hAnsi="Arial Narrow" w:cs="Arial"/>
                <w:color w:val="000000"/>
                <w:sz w:val="20"/>
                <w:lang w:val="en-AU" w:eastAsia="en-AU"/>
              </w:rPr>
              <w:t>Mackay</w:t>
            </w:r>
            <w:r w:rsidRPr="003D0F72">
              <w:rPr>
                <w:rFonts w:ascii="Arial Narrow" w:hAnsi="Arial Narrow" w:cs="Arial"/>
                <w:color w:val="000000"/>
                <w:sz w:val="20"/>
                <w:lang w:val="en-AU" w:eastAsia="en-AU"/>
              </w:rPr>
              <w:t xml:space="preserve"> Whitsunday</w:t>
            </w:r>
          </w:p>
        </w:tc>
        <w:tc>
          <w:tcPr>
            <w:tcW w:w="1607" w:type="dxa"/>
            <w:shd w:val="clear" w:color="auto" w:fill="auto"/>
            <w:noWrap/>
            <w:vAlign w:val="center"/>
          </w:tcPr>
          <w:p w14:paraId="6509E94B"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Hayman</w:t>
            </w:r>
          </w:p>
        </w:tc>
        <w:tc>
          <w:tcPr>
            <w:tcW w:w="1036" w:type="dxa"/>
            <w:shd w:val="clear" w:color="auto" w:fill="auto"/>
            <w:noWrap/>
            <w:vAlign w:val="center"/>
          </w:tcPr>
          <w:p w14:paraId="4847DAE1"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0.010</w:t>
            </w:r>
          </w:p>
        </w:tc>
        <w:tc>
          <w:tcPr>
            <w:tcW w:w="1036" w:type="dxa"/>
            <w:shd w:val="clear" w:color="auto" w:fill="auto"/>
            <w:noWrap/>
            <w:vAlign w:val="center"/>
          </w:tcPr>
          <w:p w14:paraId="07A4D484"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0.083</w:t>
            </w:r>
          </w:p>
        </w:tc>
        <w:tc>
          <w:tcPr>
            <w:tcW w:w="1036" w:type="dxa"/>
            <w:shd w:val="clear" w:color="auto" w:fill="auto"/>
            <w:noWrap/>
            <w:vAlign w:val="center"/>
          </w:tcPr>
          <w:p w14:paraId="59797935"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0.642</w:t>
            </w:r>
          </w:p>
        </w:tc>
        <w:tc>
          <w:tcPr>
            <w:tcW w:w="1036" w:type="dxa"/>
            <w:shd w:val="clear" w:color="auto" w:fill="F2F2F2" w:themeFill="background1" w:themeFillShade="F2"/>
            <w:noWrap/>
            <w:vAlign w:val="center"/>
          </w:tcPr>
          <w:p w14:paraId="242BDB5E"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0.275</w:t>
            </w:r>
          </w:p>
        </w:tc>
        <w:tc>
          <w:tcPr>
            <w:tcW w:w="1036" w:type="dxa"/>
            <w:shd w:val="clear" w:color="auto" w:fill="auto"/>
            <w:noWrap/>
            <w:vAlign w:val="center"/>
          </w:tcPr>
          <w:p w14:paraId="418B7B51"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0.709</w:t>
            </w:r>
          </w:p>
        </w:tc>
        <w:tc>
          <w:tcPr>
            <w:tcW w:w="1214" w:type="dxa"/>
            <w:shd w:val="clear" w:color="auto" w:fill="auto"/>
            <w:noWrap/>
            <w:vAlign w:val="center"/>
          </w:tcPr>
          <w:p w14:paraId="1F06A7E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8.000</w:t>
            </w:r>
          </w:p>
        </w:tc>
      </w:tr>
      <w:tr w:rsidR="00426BAC" w:rsidRPr="003D0F72" w14:paraId="681824E1" w14:textId="77777777" w:rsidTr="007D4B16">
        <w:trPr>
          <w:trHeight w:hRule="exact" w:val="284"/>
        </w:trPr>
        <w:tc>
          <w:tcPr>
            <w:tcW w:w="1761" w:type="dxa"/>
            <w:vMerge/>
            <w:shd w:val="clear" w:color="auto" w:fill="auto"/>
            <w:noWrap/>
            <w:vAlign w:val="center"/>
          </w:tcPr>
          <w:p w14:paraId="7E08049A" w14:textId="77777777" w:rsidR="00426BAC" w:rsidRPr="00AC42FA" w:rsidRDefault="00426BAC"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14A58D2C" w14:textId="77777777" w:rsidR="00426BAC" w:rsidRPr="003D0F72" w:rsidRDefault="00426BAC"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Langford</w:t>
            </w:r>
          </w:p>
        </w:tc>
        <w:tc>
          <w:tcPr>
            <w:tcW w:w="1036" w:type="dxa"/>
            <w:shd w:val="clear" w:color="auto" w:fill="auto"/>
            <w:noWrap/>
            <w:vAlign w:val="center"/>
          </w:tcPr>
          <w:p w14:paraId="2E2582F7"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0.010</w:t>
            </w:r>
          </w:p>
        </w:tc>
        <w:tc>
          <w:tcPr>
            <w:tcW w:w="1036" w:type="dxa"/>
            <w:shd w:val="clear" w:color="auto" w:fill="auto"/>
            <w:noWrap/>
            <w:vAlign w:val="center"/>
          </w:tcPr>
          <w:p w14:paraId="701DF71F"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0.120</w:t>
            </w:r>
          </w:p>
        </w:tc>
        <w:tc>
          <w:tcPr>
            <w:tcW w:w="1036" w:type="dxa"/>
            <w:shd w:val="clear" w:color="auto" w:fill="auto"/>
            <w:noWrap/>
            <w:vAlign w:val="center"/>
          </w:tcPr>
          <w:p w14:paraId="489E65B5"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0.690</w:t>
            </w:r>
          </w:p>
        </w:tc>
        <w:tc>
          <w:tcPr>
            <w:tcW w:w="1036" w:type="dxa"/>
            <w:shd w:val="clear" w:color="auto" w:fill="F2F2F2" w:themeFill="background1" w:themeFillShade="F2"/>
            <w:noWrap/>
            <w:vAlign w:val="center"/>
          </w:tcPr>
          <w:p w14:paraId="7FB0BDEC"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0.301</w:t>
            </w:r>
          </w:p>
        </w:tc>
        <w:tc>
          <w:tcPr>
            <w:tcW w:w="1036" w:type="dxa"/>
            <w:shd w:val="clear" w:color="auto" w:fill="auto"/>
            <w:noWrap/>
            <w:vAlign w:val="center"/>
          </w:tcPr>
          <w:p w14:paraId="3A72F986"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0.831</w:t>
            </w:r>
          </w:p>
        </w:tc>
        <w:tc>
          <w:tcPr>
            <w:tcW w:w="1214" w:type="dxa"/>
            <w:shd w:val="clear" w:color="auto" w:fill="auto"/>
            <w:noWrap/>
            <w:vAlign w:val="center"/>
          </w:tcPr>
          <w:p w14:paraId="67DB6E02" w14:textId="77777777" w:rsidR="00426BAC" w:rsidRPr="00040878" w:rsidRDefault="00426BAC"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46.000</w:t>
            </w:r>
          </w:p>
        </w:tc>
      </w:tr>
      <w:tr w:rsidR="007D4B16" w:rsidRPr="003D0F72" w14:paraId="1AE1DC4E" w14:textId="77777777" w:rsidTr="007D4B16">
        <w:trPr>
          <w:trHeight w:hRule="exact" w:val="284"/>
        </w:trPr>
        <w:tc>
          <w:tcPr>
            <w:tcW w:w="1761" w:type="dxa"/>
            <w:vMerge/>
            <w:shd w:val="clear" w:color="auto" w:fill="auto"/>
            <w:noWrap/>
            <w:vAlign w:val="center"/>
          </w:tcPr>
          <w:p w14:paraId="014BC9FF"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5390F196"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Hook</w:t>
            </w:r>
          </w:p>
        </w:tc>
        <w:tc>
          <w:tcPr>
            <w:tcW w:w="1036" w:type="dxa"/>
            <w:shd w:val="clear" w:color="auto" w:fill="auto"/>
            <w:noWrap/>
            <w:vAlign w:val="center"/>
          </w:tcPr>
          <w:p w14:paraId="7A90D8F0"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0.014</w:t>
            </w:r>
          </w:p>
        </w:tc>
        <w:tc>
          <w:tcPr>
            <w:tcW w:w="1036" w:type="dxa"/>
            <w:shd w:val="clear" w:color="auto" w:fill="auto"/>
            <w:noWrap/>
            <w:vAlign w:val="center"/>
          </w:tcPr>
          <w:p w14:paraId="21DF6580"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0.300</w:t>
            </w:r>
          </w:p>
        </w:tc>
        <w:tc>
          <w:tcPr>
            <w:tcW w:w="1036" w:type="dxa"/>
            <w:shd w:val="clear" w:color="auto" w:fill="auto"/>
            <w:noWrap/>
            <w:vAlign w:val="center"/>
          </w:tcPr>
          <w:p w14:paraId="1245B226"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0.599</w:t>
            </w:r>
          </w:p>
        </w:tc>
        <w:tc>
          <w:tcPr>
            <w:tcW w:w="1036" w:type="dxa"/>
            <w:shd w:val="clear" w:color="auto" w:fill="F2F2F2" w:themeFill="background1" w:themeFillShade="F2"/>
            <w:noWrap/>
            <w:vAlign w:val="center"/>
          </w:tcPr>
          <w:p w14:paraId="16D01CB2"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0.336</w:t>
            </w:r>
          </w:p>
        </w:tc>
        <w:tc>
          <w:tcPr>
            <w:tcW w:w="1036" w:type="dxa"/>
            <w:shd w:val="clear" w:color="auto" w:fill="auto"/>
            <w:noWrap/>
            <w:vAlign w:val="center"/>
          </w:tcPr>
          <w:p w14:paraId="48E997AE"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0.987</w:t>
            </w:r>
          </w:p>
        </w:tc>
        <w:tc>
          <w:tcPr>
            <w:tcW w:w="1214" w:type="dxa"/>
            <w:shd w:val="clear" w:color="auto" w:fill="auto"/>
            <w:noWrap/>
            <w:vAlign w:val="center"/>
          </w:tcPr>
          <w:p w14:paraId="446CBED5"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35.636</w:t>
            </w:r>
          </w:p>
        </w:tc>
      </w:tr>
      <w:tr w:rsidR="007D4B16" w:rsidRPr="003D0F72" w14:paraId="6C31EB69" w14:textId="77777777" w:rsidTr="007D4B16">
        <w:trPr>
          <w:trHeight w:hRule="exact" w:val="284"/>
        </w:trPr>
        <w:tc>
          <w:tcPr>
            <w:tcW w:w="1761" w:type="dxa"/>
            <w:vMerge/>
            <w:shd w:val="clear" w:color="auto" w:fill="auto"/>
            <w:noWrap/>
            <w:vAlign w:val="center"/>
          </w:tcPr>
          <w:p w14:paraId="65CD5787"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11A3C2EB"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Border</w:t>
            </w:r>
          </w:p>
        </w:tc>
        <w:tc>
          <w:tcPr>
            <w:tcW w:w="1036" w:type="dxa"/>
            <w:shd w:val="clear" w:color="auto" w:fill="auto"/>
            <w:noWrap/>
            <w:vAlign w:val="center"/>
          </w:tcPr>
          <w:p w14:paraId="527961ED"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0.003</w:t>
            </w:r>
          </w:p>
        </w:tc>
        <w:tc>
          <w:tcPr>
            <w:tcW w:w="1036" w:type="dxa"/>
            <w:shd w:val="clear" w:color="auto" w:fill="auto"/>
            <w:noWrap/>
            <w:vAlign w:val="center"/>
          </w:tcPr>
          <w:p w14:paraId="15AE8F8D"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0.244</w:t>
            </w:r>
          </w:p>
        </w:tc>
        <w:tc>
          <w:tcPr>
            <w:tcW w:w="1036" w:type="dxa"/>
            <w:shd w:val="clear" w:color="auto" w:fill="auto"/>
            <w:noWrap/>
            <w:vAlign w:val="center"/>
          </w:tcPr>
          <w:p w14:paraId="64C5CE84"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0.639</w:t>
            </w:r>
          </w:p>
        </w:tc>
        <w:tc>
          <w:tcPr>
            <w:tcW w:w="1036" w:type="dxa"/>
            <w:shd w:val="clear" w:color="auto" w:fill="F2F2F2" w:themeFill="background1" w:themeFillShade="F2"/>
            <w:noWrap/>
            <w:vAlign w:val="center"/>
          </w:tcPr>
          <w:p w14:paraId="139083EF"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0.342</w:t>
            </w:r>
          </w:p>
        </w:tc>
        <w:tc>
          <w:tcPr>
            <w:tcW w:w="1036" w:type="dxa"/>
            <w:shd w:val="clear" w:color="auto" w:fill="auto"/>
            <w:noWrap/>
            <w:vAlign w:val="center"/>
          </w:tcPr>
          <w:p w14:paraId="2A222378"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0.968</w:t>
            </w:r>
          </w:p>
        </w:tc>
        <w:tc>
          <w:tcPr>
            <w:tcW w:w="1214" w:type="dxa"/>
            <w:shd w:val="clear" w:color="auto" w:fill="auto"/>
            <w:noWrap/>
            <w:vAlign w:val="center"/>
          </w:tcPr>
          <w:p w14:paraId="7AB77C8B"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12.500</w:t>
            </w:r>
          </w:p>
        </w:tc>
      </w:tr>
      <w:tr w:rsidR="007D4B16" w:rsidRPr="003D0F72" w14:paraId="2C6AC453" w14:textId="77777777" w:rsidTr="007D4B16">
        <w:trPr>
          <w:trHeight w:hRule="exact" w:val="284"/>
        </w:trPr>
        <w:tc>
          <w:tcPr>
            <w:tcW w:w="1761" w:type="dxa"/>
            <w:vMerge/>
            <w:shd w:val="clear" w:color="auto" w:fill="auto"/>
            <w:noWrap/>
            <w:vAlign w:val="center"/>
          </w:tcPr>
          <w:p w14:paraId="5221125B"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59CA0699"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Double Cone</w:t>
            </w:r>
          </w:p>
        </w:tc>
        <w:tc>
          <w:tcPr>
            <w:tcW w:w="1036" w:type="dxa"/>
            <w:shd w:val="clear" w:color="auto" w:fill="auto"/>
            <w:noWrap/>
            <w:vAlign w:val="center"/>
          </w:tcPr>
          <w:p w14:paraId="366BF7BF"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0.009</w:t>
            </w:r>
          </w:p>
        </w:tc>
        <w:tc>
          <w:tcPr>
            <w:tcW w:w="1036" w:type="dxa"/>
            <w:shd w:val="clear" w:color="auto" w:fill="auto"/>
            <w:noWrap/>
            <w:vAlign w:val="center"/>
          </w:tcPr>
          <w:p w14:paraId="670C1DE5"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0.387</w:t>
            </w:r>
          </w:p>
        </w:tc>
        <w:tc>
          <w:tcPr>
            <w:tcW w:w="1036" w:type="dxa"/>
            <w:shd w:val="clear" w:color="auto" w:fill="auto"/>
            <w:noWrap/>
            <w:vAlign w:val="center"/>
          </w:tcPr>
          <w:p w14:paraId="56E3CD48"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0.527</w:t>
            </w:r>
          </w:p>
        </w:tc>
        <w:tc>
          <w:tcPr>
            <w:tcW w:w="1036" w:type="dxa"/>
            <w:shd w:val="clear" w:color="auto" w:fill="F2F2F2" w:themeFill="background1" w:themeFillShade="F2"/>
            <w:noWrap/>
            <w:vAlign w:val="center"/>
          </w:tcPr>
          <w:p w14:paraId="7C471CFE"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0.358</w:t>
            </w:r>
          </w:p>
        </w:tc>
        <w:tc>
          <w:tcPr>
            <w:tcW w:w="1036" w:type="dxa"/>
            <w:shd w:val="clear" w:color="auto" w:fill="auto"/>
            <w:noWrap/>
            <w:vAlign w:val="center"/>
          </w:tcPr>
          <w:p w14:paraId="4F30344F"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1.146</w:t>
            </w:r>
          </w:p>
        </w:tc>
        <w:tc>
          <w:tcPr>
            <w:tcW w:w="1214" w:type="dxa"/>
            <w:shd w:val="clear" w:color="auto" w:fill="auto"/>
            <w:noWrap/>
            <w:vAlign w:val="center"/>
          </w:tcPr>
          <w:p w14:paraId="0753943E"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36.103</w:t>
            </w:r>
          </w:p>
        </w:tc>
      </w:tr>
      <w:tr w:rsidR="007D4B16" w:rsidRPr="003D0F72" w14:paraId="727F49B5" w14:textId="77777777" w:rsidTr="007D4B16">
        <w:trPr>
          <w:trHeight w:hRule="exact" w:val="284"/>
        </w:trPr>
        <w:tc>
          <w:tcPr>
            <w:tcW w:w="1761" w:type="dxa"/>
            <w:vMerge/>
            <w:shd w:val="clear" w:color="auto" w:fill="auto"/>
            <w:noWrap/>
            <w:vAlign w:val="center"/>
          </w:tcPr>
          <w:p w14:paraId="16FA67AA"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1F67B17D"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Seaforth</w:t>
            </w:r>
          </w:p>
        </w:tc>
        <w:tc>
          <w:tcPr>
            <w:tcW w:w="1036" w:type="dxa"/>
            <w:shd w:val="clear" w:color="auto" w:fill="auto"/>
            <w:noWrap/>
            <w:vAlign w:val="center"/>
          </w:tcPr>
          <w:p w14:paraId="6810BBE2"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0.006</w:t>
            </w:r>
          </w:p>
        </w:tc>
        <w:tc>
          <w:tcPr>
            <w:tcW w:w="1036" w:type="dxa"/>
            <w:shd w:val="clear" w:color="auto" w:fill="auto"/>
            <w:noWrap/>
            <w:vAlign w:val="center"/>
          </w:tcPr>
          <w:p w14:paraId="6504C522"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0.536</w:t>
            </w:r>
          </w:p>
        </w:tc>
        <w:tc>
          <w:tcPr>
            <w:tcW w:w="1036" w:type="dxa"/>
            <w:shd w:val="clear" w:color="auto" w:fill="auto"/>
            <w:noWrap/>
            <w:vAlign w:val="center"/>
          </w:tcPr>
          <w:p w14:paraId="030BA91C"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0.417</w:t>
            </w:r>
          </w:p>
        </w:tc>
        <w:tc>
          <w:tcPr>
            <w:tcW w:w="1036" w:type="dxa"/>
            <w:shd w:val="clear" w:color="auto" w:fill="F2F2F2" w:themeFill="background1" w:themeFillShade="F2"/>
            <w:noWrap/>
            <w:vAlign w:val="center"/>
          </w:tcPr>
          <w:p w14:paraId="71633F08"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0.420</w:t>
            </w:r>
          </w:p>
        </w:tc>
        <w:tc>
          <w:tcPr>
            <w:tcW w:w="1036" w:type="dxa"/>
            <w:shd w:val="clear" w:color="auto" w:fill="auto"/>
            <w:noWrap/>
            <w:vAlign w:val="center"/>
          </w:tcPr>
          <w:p w14:paraId="07760807"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1.112</w:t>
            </w:r>
          </w:p>
        </w:tc>
        <w:tc>
          <w:tcPr>
            <w:tcW w:w="1214" w:type="dxa"/>
            <w:shd w:val="clear" w:color="auto" w:fill="auto"/>
            <w:noWrap/>
            <w:vAlign w:val="center"/>
          </w:tcPr>
          <w:p w14:paraId="561EB129"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37.121</w:t>
            </w:r>
          </w:p>
        </w:tc>
      </w:tr>
      <w:tr w:rsidR="007D4B16" w:rsidRPr="003D0F72" w14:paraId="56A6E7DD" w14:textId="77777777" w:rsidTr="007D4B16">
        <w:trPr>
          <w:trHeight w:hRule="exact" w:val="284"/>
        </w:trPr>
        <w:tc>
          <w:tcPr>
            <w:tcW w:w="1761" w:type="dxa"/>
            <w:vMerge/>
            <w:shd w:val="clear" w:color="auto" w:fill="auto"/>
            <w:noWrap/>
            <w:vAlign w:val="center"/>
          </w:tcPr>
          <w:p w14:paraId="183BA077"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4287A483"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Dent</w:t>
            </w:r>
          </w:p>
        </w:tc>
        <w:tc>
          <w:tcPr>
            <w:tcW w:w="1036" w:type="dxa"/>
            <w:shd w:val="clear" w:color="auto" w:fill="auto"/>
            <w:noWrap/>
            <w:vAlign w:val="center"/>
          </w:tcPr>
          <w:p w14:paraId="68BF00AA"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0.007</w:t>
            </w:r>
          </w:p>
        </w:tc>
        <w:tc>
          <w:tcPr>
            <w:tcW w:w="1036" w:type="dxa"/>
            <w:shd w:val="clear" w:color="auto" w:fill="auto"/>
            <w:noWrap/>
            <w:vAlign w:val="center"/>
          </w:tcPr>
          <w:p w14:paraId="02897A1D"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0.651</w:t>
            </w:r>
          </w:p>
        </w:tc>
        <w:tc>
          <w:tcPr>
            <w:tcW w:w="1036" w:type="dxa"/>
            <w:shd w:val="clear" w:color="auto" w:fill="auto"/>
            <w:noWrap/>
            <w:vAlign w:val="center"/>
          </w:tcPr>
          <w:p w14:paraId="6F1E63C7"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0.290</w:t>
            </w:r>
          </w:p>
        </w:tc>
        <w:tc>
          <w:tcPr>
            <w:tcW w:w="1036" w:type="dxa"/>
            <w:shd w:val="clear" w:color="auto" w:fill="F2F2F2" w:themeFill="background1" w:themeFillShade="F2"/>
            <w:noWrap/>
            <w:vAlign w:val="center"/>
          </w:tcPr>
          <w:p w14:paraId="7BE6C0CD"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0.440</w:t>
            </w:r>
          </w:p>
        </w:tc>
        <w:tc>
          <w:tcPr>
            <w:tcW w:w="1036" w:type="dxa"/>
            <w:shd w:val="clear" w:color="auto" w:fill="auto"/>
            <w:noWrap/>
            <w:vAlign w:val="center"/>
          </w:tcPr>
          <w:p w14:paraId="5E7F84D0"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1.204</w:t>
            </w:r>
          </w:p>
        </w:tc>
        <w:tc>
          <w:tcPr>
            <w:tcW w:w="1214" w:type="dxa"/>
            <w:shd w:val="clear" w:color="auto" w:fill="auto"/>
            <w:noWrap/>
            <w:vAlign w:val="center"/>
          </w:tcPr>
          <w:p w14:paraId="5D1701A4"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53.768</w:t>
            </w:r>
          </w:p>
        </w:tc>
      </w:tr>
      <w:tr w:rsidR="007D4B16" w:rsidRPr="003D0F72" w14:paraId="44916D8A" w14:textId="77777777" w:rsidTr="007D4B16">
        <w:trPr>
          <w:trHeight w:hRule="exact" w:val="284"/>
        </w:trPr>
        <w:tc>
          <w:tcPr>
            <w:tcW w:w="1761" w:type="dxa"/>
            <w:vMerge/>
            <w:shd w:val="clear" w:color="auto" w:fill="auto"/>
            <w:noWrap/>
            <w:vAlign w:val="center"/>
          </w:tcPr>
          <w:p w14:paraId="5C19E9B7"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692808EA"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Daydream</w:t>
            </w:r>
          </w:p>
        </w:tc>
        <w:tc>
          <w:tcPr>
            <w:tcW w:w="1036" w:type="dxa"/>
            <w:shd w:val="clear" w:color="auto" w:fill="auto"/>
            <w:noWrap/>
            <w:vAlign w:val="center"/>
          </w:tcPr>
          <w:p w14:paraId="3FEAE761"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0.016</w:t>
            </w:r>
          </w:p>
        </w:tc>
        <w:tc>
          <w:tcPr>
            <w:tcW w:w="1036" w:type="dxa"/>
            <w:shd w:val="clear" w:color="auto" w:fill="auto"/>
            <w:noWrap/>
            <w:vAlign w:val="center"/>
          </w:tcPr>
          <w:p w14:paraId="31BB3D12"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0.650</w:t>
            </w:r>
          </w:p>
        </w:tc>
        <w:tc>
          <w:tcPr>
            <w:tcW w:w="1036" w:type="dxa"/>
            <w:shd w:val="clear" w:color="auto" w:fill="auto"/>
            <w:noWrap/>
            <w:vAlign w:val="center"/>
          </w:tcPr>
          <w:p w14:paraId="7722A44B"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0.270</w:t>
            </w:r>
          </w:p>
        </w:tc>
        <w:tc>
          <w:tcPr>
            <w:tcW w:w="1036" w:type="dxa"/>
            <w:shd w:val="clear" w:color="auto" w:fill="F2F2F2" w:themeFill="background1" w:themeFillShade="F2"/>
            <w:noWrap/>
            <w:vAlign w:val="center"/>
          </w:tcPr>
          <w:p w14:paraId="0705B966"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0.447</w:t>
            </w:r>
          </w:p>
        </w:tc>
        <w:tc>
          <w:tcPr>
            <w:tcW w:w="1036" w:type="dxa"/>
            <w:shd w:val="clear" w:color="auto" w:fill="auto"/>
            <w:noWrap/>
            <w:vAlign w:val="center"/>
          </w:tcPr>
          <w:p w14:paraId="01A6441E"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1.150</w:t>
            </w:r>
          </w:p>
        </w:tc>
        <w:tc>
          <w:tcPr>
            <w:tcW w:w="1214" w:type="dxa"/>
            <w:shd w:val="clear" w:color="auto" w:fill="auto"/>
            <w:noWrap/>
            <w:vAlign w:val="center"/>
          </w:tcPr>
          <w:p w14:paraId="628FE001"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72.426</w:t>
            </w:r>
          </w:p>
        </w:tc>
      </w:tr>
      <w:tr w:rsidR="007D4B16" w:rsidRPr="003D0F72" w14:paraId="0C7B5E8F" w14:textId="77777777" w:rsidTr="007D4B16">
        <w:trPr>
          <w:trHeight w:hRule="exact" w:val="284"/>
        </w:trPr>
        <w:tc>
          <w:tcPr>
            <w:tcW w:w="1761" w:type="dxa"/>
            <w:vMerge/>
            <w:shd w:val="clear" w:color="auto" w:fill="auto"/>
            <w:noWrap/>
            <w:vAlign w:val="center"/>
          </w:tcPr>
          <w:p w14:paraId="1A243102"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7978E673"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Shute Harbour</w:t>
            </w:r>
          </w:p>
        </w:tc>
        <w:tc>
          <w:tcPr>
            <w:tcW w:w="1036" w:type="dxa"/>
            <w:shd w:val="clear" w:color="auto" w:fill="auto"/>
            <w:noWrap/>
            <w:vAlign w:val="center"/>
          </w:tcPr>
          <w:p w14:paraId="2E2DC9FB"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0.014</w:t>
            </w:r>
          </w:p>
        </w:tc>
        <w:tc>
          <w:tcPr>
            <w:tcW w:w="1036" w:type="dxa"/>
            <w:shd w:val="clear" w:color="auto" w:fill="auto"/>
            <w:noWrap/>
            <w:vAlign w:val="center"/>
          </w:tcPr>
          <w:p w14:paraId="2DAA73EF"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0.692</w:t>
            </w:r>
          </w:p>
        </w:tc>
        <w:tc>
          <w:tcPr>
            <w:tcW w:w="1036" w:type="dxa"/>
            <w:shd w:val="clear" w:color="auto" w:fill="auto"/>
            <w:noWrap/>
            <w:vAlign w:val="center"/>
          </w:tcPr>
          <w:p w14:paraId="7F2E51D1"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0.226</w:t>
            </w:r>
          </w:p>
        </w:tc>
        <w:tc>
          <w:tcPr>
            <w:tcW w:w="1036" w:type="dxa"/>
            <w:shd w:val="clear" w:color="auto" w:fill="F2F2F2" w:themeFill="background1" w:themeFillShade="F2"/>
            <w:noWrap/>
            <w:vAlign w:val="center"/>
          </w:tcPr>
          <w:p w14:paraId="2F05AF65"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0.458</w:t>
            </w:r>
          </w:p>
        </w:tc>
        <w:tc>
          <w:tcPr>
            <w:tcW w:w="1036" w:type="dxa"/>
            <w:shd w:val="clear" w:color="auto" w:fill="auto"/>
            <w:noWrap/>
            <w:vAlign w:val="center"/>
          </w:tcPr>
          <w:p w14:paraId="082681E6"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1.207</w:t>
            </w:r>
          </w:p>
        </w:tc>
        <w:tc>
          <w:tcPr>
            <w:tcW w:w="1214" w:type="dxa"/>
            <w:shd w:val="clear" w:color="auto" w:fill="auto"/>
            <w:noWrap/>
            <w:vAlign w:val="center"/>
          </w:tcPr>
          <w:p w14:paraId="4851FD9D"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53.872</w:t>
            </w:r>
          </w:p>
        </w:tc>
      </w:tr>
      <w:tr w:rsidR="007D4B16" w:rsidRPr="003D0F72" w14:paraId="12DB9A6C" w14:textId="77777777" w:rsidTr="007D4B16">
        <w:trPr>
          <w:trHeight w:hRule="exact" w:val="284"/>
        </w:trPr>
        <w:tc>
          <w:tcPr>
            <w:tcW w:w="1761" w:type="dxa"/>
            <w:vMerge/>
            <w:shd w:val="clear" w:color="auto" w:fill="auto"/>
            <w:noWrap/>
            <w:vAlign w:val="center"/>
          </w:tcPr>
          <w:p w14:paraId="73E7445A"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0A361793"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Pine</w:t>
            </w:r>
          </w:p>
        </w:tc>
        <w:tc>
          <w:tcPr>
            <w:tcW w:w="1036" w:type="dxa"/>
            <w:shd w:val="clear" w:color="auto" w:fill="auto"/>
            <w:noWrap/>
            <w:vAlign w:val="center"/>
          </w:tcPr>
          <w:p w14:paraId="58332503"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0.003</w:t>
            </w:r>
          </w:p>
        </w:tc>
        <w:tc>
          <w:tcPr>
            <w:tcW w:w="1036" w:type="dxa"/>
            <w:shd w:val="clear" w:color="auto" w:fill="auto"/>
            <w:noWrap/>
            <w:vAlign w:val="center"/>
          </w:tcPr>
          <w:p w14:paraId="3D1FD049"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0.727</w:t>
            </w:r>
          </w:p>
        </w:tc>
        <w:tc>
          <w:tcPr>
            <w:tcW w:w="1036" w:type="dxa"/>
            <w:shd w:val="clear" w:color="auto" w:fill="auto"/>
            <w:noWrap/>
            <w:vAlign w:val="center"/>
          </w:tcPr>
          <w:p w14:paraId="08866574"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0.198</w:t>
            </w:r>
          </w:p>
        </w:tc>
        <w:tc>
          <w:tcPr>
            <w:tcW w:w="1036" w:type="dxa"/>
            <w:shd w:val="clear" w:color="auto" w:fill="F2F2F2" w:themeFill="background1" w:themeFillShade="F2"/>
            <w:noWrap/>
            <w:vAlign w:val="center"/>
          </w:tcPr>
          <w:p w14:paraId="26EEB9F5"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0.476</w:t>
            </w:r>
          </w:p>
        </w:tc>
        <w:tc>
          <w:tcPr>
            <w:tcW w:w="1036" w:type="dxa"/>
            <w:shd w:val="clear" w:color="auto" w:fill="auto"/>
            <w:noWrap/>
            <w:vAlign w:val="center"/>
          </w:tcPr>
          <w:p w14:paraId="2F60A2ED"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1.421</w:t>
            </w:r>
          </w:p>
        </w:tc>
        <w:tc>
          <w:tcPr>
            <w:tcW w:w="1214" w:type="dxa"/>
            <w:shd w:val="clear" w:color="auto" w:fill="auto"/>
            <w:noWrap/>
            <w:vAlign w:val="center"/>
          </w:tcPr>
          <w:p w14:paraId="29573D68"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60.969</w:t>
            </w:r>
          </w:p>
        </w:tc>
      </w:tr>
      <w:tr w:rsidR="007D4B16" w:rsidRPr="003D0F72" w14:paraId="7DEFB78E" w14:textId="77777777" w:rsidTr="007D4B16">
        <w:trPr>
          <w:trHeight w:hRule="exact" w:val="284"/>
        </w:trPr>
        <w:tc>
          <w:tcPr>
            <w:tcW w:w="1761" w:type="dxa"/>
            <w:vMerge w:val="restart"/>
            <w:shd w:val="clear" w:color="auto" w:fill="auto"/>
            <w:noWrap/>
            <w:vAlign w:val="center"/>
          </w:tcPr>
          <w:p w14:paraId="0DBFDA55"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Fitzroy</w:t>
            </w:r>
          </w:p>
        </w:tc>
        <w:tc>
          <w:tcPr>
            <w:tcW w:w="1607" w:type="dxa"/>
            <w:shd w:val="clear" w:color="auto" w:fill="auto"/>
            <w:noWrap/>
            <w:vAlign w:val="center"/>
          </w:tcPr>
          <w:p w14:paraId="1427B218"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Barren</w:t>
            </w:r>
          </w:p>
        </w:tc>
        <w:tc>
          <w:tcPr>
            <w:tcW w:w="1036" w:type="dxa"/>
            <w:shd w:val="clear" w:color="auto" w:fill="auto"/>
            <w:noWrap/>
            <w:vAlign w:val="center"/>
          </w:tcPr>
          <w:p w14:paraId="51E7F392"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0.060</w:t>
            </w:r>
          </w:p>
        </w:tc>
        <w:tc>
          <w:tcPr>
            <w:tcW w:w="1036" w:type="dxa"/>
            <w:shd w:val="clear" w:color="auto" w:fill="auto"/>
            <w:noWrap/>
            <w:vAlign w:val="center"/>
          </w:tcPr>
          <w:p w14:paraId="4A78125D"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0.222</w:t>
            </w:r>
          </w:p>
        </w:tc>
        <w:tc>
          <w:tcPr>
            <w:tcW w:w="1036" w:type="dxa"/>
            <w:shd w:val="clear" w:color="auto" w:fill="auto"/>
            <w:noWrap/>
            <w:vAlign w:val="center"/>
          </w:tcPr>
          <w:p w14:paraId="7B6549F5"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0.507</w:t>
            </w:r>
          </w:p>
        </w:tc>
        <w:tc>
          <w:tcPr>
            <w:tcW w:w="1036" w:type="dxa"/>
            <w:shd w:val="clear" w:color="auto" w:fill="F2F2F2" w:themeFill="background1" w:themeFillShade="F2"/>
            <w:noWrap/>
            <w:vAlign w:val="center"/>
          </w:tcPr>
          <w:p w14:paraId="77D3237A"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0.324</w:t>
            </w:r>
          </w:p>
        </w:tc>
        <w:tc>
          <w:tcPr>
            <w:tcW w:w="1036" w:type="dxa"/>
            <w:shd w:val="clear" w:color="auto" w:fill="auto"/>
            <w:noWrap/>
            <w:vAlign w:val="center"/>
          </w:tcPr>
          <w:p w14:paraId="7A04F9AD"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0.393</w:t>
            </w:r>
          </w:p>
        </w:tc>
        <w:tc>
          <w:tcPr>
            <w:tcW w:w="1214" w:type="dxa"/>
            <w:shd w:val="clear" w:color="auto" w:fill="auto"/>
            <w:noWrap/>
            <w:vAlign w:val="center"/>
          </w:tcPr>
          <w:p w14:paraId="2BEB5384"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4.236</w:t>
            </w:r>
          </w:p>
        </w:tc>
      </w:tr>
      <w:tr w:rsidR="007D4B16" w:rsidRPr="003D0F72" w14:paraId="78453FCE" w14:textId="77777777" w:rsidTr="007D4B16">
        <w:trPr>
          <w:trHeight w:hRule="exact" w:val="284"/>
        </w:trPr>
        <w:tc>
          <w:tcPr>
            <w:tcW w:w="1761" w:type="dxa"/>
            <w:vMerge/>
            <w:shd w:val="clear" w:color="auto" w:fill="auto"/>
            <w:noWrap/>
            <w:vAlign w:val="center"/>
          </w:tcPr>
          <w:p w14:paraId="7061C329"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7188F068"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Keppels South</w:t>
            </w:r>
          </w:p>
        </w:tc>
        <w:tc>
          <w:tcPr>
            <w:tcW w:w="1036" w:type="dxa"/>
            <w:shd w:val="clear" w:color="auto" w:fill="auto"/>
            <w:noWrap/>
            <w:vAlign w:val="center"/>
          </w:tcPr>
          <w:p w14:paraId="2D7BB101"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0.130</w:t>
            </w:r>
          </w:p>
        </w:tc>
        <w:tc>
          <w:tcPr>
            <w:tcW w:w="1036" w:type="dxa"/>
            <w:shd w:val="clear" w:color="auto" w:fill="auto"/>
            <w:noWrap/>
            <w:vAlign w:val="center"/>
          </w:tcPr>
          <w:p w14:paraId="7D424A80"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0.546</w:t>
            </w:r>
          </w:p>
        </w:tc>
        <w:tc>
          <w:tcPr>
            <w:tcW w:w="1036" w:type="dxa"/>
            <w:shd w:val="clear" w:color="auto" w:fill="auto"/>
            <w:noWrap/>
            <w:vAlign w:val="center"/>
          </w:tcPr>
          <w:p w14:paraId="73311A37"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0.289</w:t>
            </w:r>
          </w:p>
        </w:tc>
        <w:tc>
          <w:tcPr>
            <w:tcW w:w="1036" w:type="dxa"/>
            <w:shd w:val="clear" w:color="auto" w:fill="F2F2F2" w:themeFill="background1" w:themeFillShade="F2"/>
            <w:noWrap/>
            <w:vAlign w:val="center"/>
          </w:tcPr>
          <w:p w14:paraId="3DC7AACA"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0.446</w:t>
            </w:r>
          </w:p>
        </w:tc>
        <w:tc>
          <w:tcPr>
            <w:tcW w:w="1036" w:type="dxa"/>
            <w:shd w:val="clear" w:color="auto" w:fill="auto"/>
            <w:noWrap/>
            <w:vAlign w:val="center"/>
          </w:tcPr>
          <w:p w14:paraId="2FEFD622"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0.553</w:t>
            </w:r>
          </w:p>
        </w:tc>
        <w:tc>
          <w:tcPr>
            <w:tcW w:w="1214" w:type="dxa"/>
            <w:shd w:val="clear" w:color="auto" w:fill="auto"/>
            <w:noWrap/>
            <w:vAlign w:val="center"/>
          </w:tcPr>
          <w:p w14:paraId="1EF6AC85"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9.785</w:t>
            </w:r>
          </w:p>
        </w:tc>
      </w:tr>
      <w:tr w:rsidR="007D4B16" w:rsidRPr="003D0F72" w14:paraId="5C5408A2" w14:textId="77777777" w:rsidTr="007D4B16">
        <w:trPr>
          <w:trHeight w:hRule="exact" w:val="284"/>
        </w:trPr>
        <w:tc>
          <w:tcPr>
            <w:tcW w:w="1761" w:type="dxa"/>
            <w:vMerge/>
            <w:shd w:val="clear" w:color="auto" w:fill="auto"/>
            <w:noWrap/>
            <w:vAlign w:val="center"/>
          </w:tcPr>
          <w:p w14:paraId="13ADCBB5"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0D6C9AA0"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North Keppel</w:t>
            </w:r>
          </w:p>
        </w:tc>
        <w:tc>
          <w:tcPr>
            <w:tcW w:w="1036" w:type="dxa"/>
            <w:shd w:val="clear" w:color="auto" w:fill="auto"/>
            <w:noWrap/>
            <w:vAlign w:val="center"/>
          </w:tcPr>
          <w:p w14:paraId="1A74A4A0"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0.088</w:t>
            </w:r>
          </w:p>
        </w:tc>
        <w:tc>
          <w:tcPr>
            <w:tcW w:w="1036" w:type="dxa"/>
            <w:shd w:val="clear" w:color="auto" w:fill="auto"/>
            <w:noWrap/>
            <w:vAlign w:val="center"/>
          </w:tcPr>
          <w:p w14:paraId="07DC3FF5"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0.579</w:t>
            </w:r>
          </w:p>
        </w:tc>
        <w:tc>
          <w:tcPr>
            <w:tcW w:w="1036" w:type="dxa"/>
            <w:shd w:val="clear" w:color="auto" w:fill="auto"/>
            <w:noWrap/>
            <w:vAlign w:val="center"/>
          </w:tcPr>
          <w:p w14:paraId="278E4577"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0.299</w:t>
            </w:r>
          </w:p>
        </w:tc>
        <w:tc>
          <w:tcPr>
            <w:tcW w:w="1036" w:type="dxa"/>
            <w:shd w:val="clear" w:color="auto" w:fill="F2F2F2" w:themeFill="background1" w:themeFillShade="F2"/>
            <w:noWrap/>
            <w:vAlign w:val="center"/>
          </w:tcPr>
          <w:p w14:paraId="180BA732"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0.463</w:t>
            </w:r>
          </w:p>
        </w:tc>
        <w:tc>
          <w:tcPr>
            <w:tcW w:w="1036" w:type="dxa"/>
            <w:shd w:val="clear" w:color="auto" w:fill="auto"/>
            <w:noWrap/>
            <w:vAlign w:val="center"/>
          </w:tcPr>
          <w:p w14:paraId="1219EF26"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0.612</w:t>
            </w:r>
          </w:p>
        </w:tc>
        <w:tc>
          <w:tcPr>
            <w:tcW w:w="1214" w:type="dxa"/>
            <w:shd w:val="clear" w:color="auto" w:fill="auto"/>
            <w:noWrap/>
            <w:vAlign w:val="center"/>
          </w:tcPr>
          <w:p w14:paraId="07F8514F"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21.317</w:t>
            </w:r>
          </w:p>
        </w:tc>
      </w:tr>
      <w:tr w:rsidR="007D4B16" w:rsidRPr="003D0F72" w14:paraId="0F031B67" w14:textId="77777777" w:rsidTr="007D4B16">
        <w:trPr>
          <w:trHeight w:hRule="exact" w:val="284"/>
        </w:trPr>
        <w:tc>
          <w:tcPr>
            <w:tcW w:w="1761" w:type="dxa"/>
            <w:vMerge/>
            <w:shd w:val="clear" w:color="auto" w:fill="auto"/>
            <w:noWrap/>
            <w:vAlign w:val="center"/>
          </w:tcPr>
          <w:p w14:paraId="1EDC0CE4"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7AE738BA"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Middle</w:t>
            </w:r>
          </w:p>
        </w:tc>
        <w:tc>
          <w:tcPr>
            <w:tcW w:w="1036" w:type="dxa"/>
            <w:shd w:val="clear" w:color="auto" w:fill="auto"/>
            <w:noWrap/>
            <w:vAlign w:val="center"/>
          </w:tcPr>
          <w:p w14:paraId="137836BA"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0.056</w:t>
            </w:r>
          </w:p>
        </w:tc>
        <w:tc>
          <w:tcPr>
            <w:tcW w:w="1036" w:type="dxa"/>
            <w:shd w:val="clear" w:color="auto" w:fill="auto"/>
            <w:noWrap/>
            <w:vAlign w:val="center"/>
          </w:tcPr>
          <w:p w14:paraId="05D83A7E"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0.632</w:t>
            </w:r>
          </w:p>
        </w:tc>
        <w:tc>
          <w:tcPr>
            <w:tcW w:w="1036" w:type="dxa"/>
            <w:shd w:val="clear" w:color="auto" w:fill="auto"/>
            <w:noWrap/>
            <w:vAlign w:val="center"/>
          </w:tcPr>
          <w:p w14:paraId="53489ABC"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0.280</w:t>
            </w:r>
          </w:p>
        </w:tc>
        <w:tc>
          <w:tcPr>
            <w:tcW w:w="1036" w:type="dxa"/>
            <w:shd w:val="clear" w:color="auto" w:fill="F2F2F2" w:themeFill="background1" w:themeFillShade="F2"/>
            <w:noWrap/>
            <w:vAlign w:val="center"/>
          </w:tcPr>
          <w:p w14:paraId="23650985"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0.471</w:t>
            </w:r>
          </w:p>
        </w:tc>
        <w:tc>
          <w:tcPr>
            <w:tcW w:w="1036" w:type="dxa"/>
            <w:shd w:val="clear" w:color="auto" w:fill="auto"/>
            <w:noWrap/>
            <w:vAlign w:val="center"/>
          </w:tcPr>
          <w:p w14:paraId="762B0A61"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0.671</w:t>
            </w:r>
          </w:p>
        </w:tc>
        <w:tc>
          <w:tcPr>
            <w:tcW w:w="1214" w:type="dxa"/>
            <w:shd w:val="clear" w:color="auto" w:fill="auto"/>
            <w:noWrap/>
            <w:vAlign w:val="center"/>
          </w:tcPr>
          <w:p w14:paraId="6C3A2DFC"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4.766</w:t>
            </w:r>
          </w:p>
        </w:tc>
      </w:tr>
      <w:tr w:rsidR="007D4B16" w:rsidRPr="003D0F72" w14:paraId="081F9268" w14:textId="77777777" w:rsidTr="007D4B16">
        <w:trPr>
          <w:trHeight w:hRule="exact" w:val="284"/>
        </w:trPr>
        <w:tc>
          <w:tcPr>
            <w:tcW w:w="1761" w:type="dxa"/>
            <w:vMerge/>
            <w:shd w:val="clear" w:color="auto" w:fill="auto"/>
            <w:noWrap/>
            <w:vAlign w:val="center"/>
          </w:tcPr>
          <w:p w14:paraId="053F05D4"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5DCF4D76"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Pelican</w:t>
            </w:r>
          </w:p>
        </w:tc>
        <w:tc>
          <w:tcPr>
            <w:tcW w:w="1036" w:type="dxa"/>
            <w:shd w:val="clear" w:color="auto" w:fill="auto"/>
            <w:noWrap/>
            <w:vAlign w:val="center"/>
          </w:tcPr>
          <w:p w14:paraId="74DB9197"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0.282</w:t>
            </w:r>
          </w:p>
        </w:tc>
        <w:tc>
          <w:tcPr>
            <w:tcW w:w="1036" w:type="dxa"/>
            <w:shd w:val="clear" w:color="auto" w:fill="auto"/>
            <w:noWrap/>
            <w:vAlign w:val="center"/>
          </w:tcPr>
          <w:p w14:paraId="266D3303"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0.647</w:t>
            </w:r>
          </w:p>
        </w:tc>
        <w:tc>
          <w:tcPr>
            <w:tcW w:w="1036" w:type="dxa"/>
            <w:shd w:val="clear" w:color="auto" w:fill="auto"/>
            <w:noWrap/>
            <w:vAlign w:val="center"/>
          </w:tcPr>
          <w:p w14:paraId="464AB5F5"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0.040</w:t>
            </w:r>
          </w:p>
        </w:tc>
        <w:tc>
          <w:tcPr>
            <w:tcW w:w="1036" w:type="dxa"/>
            <w:shd w:val="clear" w:color="auto" w:fill="F2F2F2" w:themeFill="background1" w:themeFillShade="F2"/>
            <w:noWrap/>
            <w:vAlign w:val="center"/>
          </w:tcPr>
          <w:p w14:paraId="3B3356DD"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0.631</w:t>
            </w:r>
          </w:p>
        </w:tc>
        <w:tc>
          <w:tcPr>
            <w:tcW w:w="1036" w:type="dxa"/>
            <w:shd w:val="clear" w:color="auto" w:fill="auto"/>
            <w:noWrap/>
            <w:vAlign w:val="center"/>
          </w:tcPr>
          <w:p w14:paraId="3B98347A"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1.036</w:t>
            </w:r>
          </w:p>
        </w:tc>
        <w:tc>
          <w:tcPr>
            <w:tcW w:w="1214" w:type="dxa"/>
            <w:shd w:val="clear" w:color="auto" w:fill="auto"/>
            <w:noWrap/>
            <w:vAlign w:val="center"/>
          </w:tcPr>
          <w:p w14:paraId="5921FE24"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2.125</w:t>
            </w:r>
          </w:p>
        </w:tc>
      </w:tr>
      <w:tr w:rsidR="007D4B16" w:rsidRPr="003D0F72" w14:paraId="40D9971E" w14:textId="77777777" w:rsidTr="007D4B16">
        <w:trPr>
          <w:trHeight w:hRule="exact" w:val="284"/>
        </w:trPr>
        <w:tc>
          <w:tcPr>
            <w:tcW w:w="1761" w:type="dxa"/>
            <w:vMerge/>
            <w:shd w:val="clear" w:color="auto" w:fill="auto"/>
            <w:noWrap/>
            <w:vAlign w:val="center"/>
          </w:tcPr>
          <w:p w14:paraId="3E4065C4" w14:textId="77777777" w:rsidR="007D4B16" w:rsidRPr="003D0F72" w:rsidRDefault="007D4B16" w:rsidP="00040878">
            <w:pPr>
              <w:jc w:val="left"/>
              <w:rPr>
                <w:rFonts w:ascii="Arial Narrow" w:hAnsi="Arial Narrow" w:cs="Arial"/>
                <w:color w:val="000000"/>
                <w:sz w:val="20"/>
                <w:lang w:val="en-AU" w:eastAsia="en-AU"/>
              </w:rPr>
            </w:pPr>
          </w:p>
        </w:tc>
        <w:tc>
          <w:tcPr>
            <w:tcW w:w="1607" w:type="dxa"/>
            <w:shd w:val="clear" w:color="auto" w:fill="auto"/>
            <w:noWrap/>
            <w:vAlign w:val="center"/>
          </w:tcPr>
          <w:p w14:paraId="478CDCB4" w14:textId="77777777" w:rsidR="007D4B16" w:rsidRPr="003D0F72" w:rsidRDefault="007D4B16" w:rsidP="00040878">
            <w:pPr>
              <w:jc w:val="left"/>
              <w:rPr>
                <w:rFonts w:ascii="Arial Narrow" w:hAnsi="Arial Narrow" w:cs="Arial"/>
                <w:color w:val="000000"/>
                <w:sz w:val="20"/>
                <w:lang w:val="en-AU" w:eastAsia="en-AU"/>
              </w:rPr>
            </w:pPr>
            <w:r w:rsidRPr="003D0F72">
              <w:rPr>
                <w:rFonts w:ascii="Arial Narrow" w:hAnsi="Arial Narrow" w:cs="Arial"/>
                <w:color w:val="000000"/>
                <w:sz w:val="20"/>
                <w:lang w:val="en-AU" w:eastAsia="en-AU"/>
              </w:rPr>
              <w:t>Peak</w:t>
            </w:r>
          </w:p>
        </w:tc>
        <w:tc>
          <w:tcPr>
            <w:tcW w:w="1036" w:type="dxa"/>
            <w:shd w:val="clear" w:color="auto" w:fill="auto"/>
            <w:noWrap/>
            <w:vAlign w:val="center"/>
          </w:tcPr>
          <w:p w14:paraId="01FBD0B1"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0.223</w:t>
            </w:r>
          </w:p>
        </w:tc>
        <w:tc>
          <w:tcPr>
            <w:tcW w:w="1036" w:type="dxa"/>
            <w:shd w:val="clear" w:color="auto" w:fill="auto"/>
            <w:noWrap/>
            <w:vAlign w:val="center"/>
          </w:tcPr>
          <w:p w14:paraId="3481CDF9"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0.724</w:t>
            </w:r>
          </w:p>
        </w:tc>
        <w:tc>
          <w:tcPr>
            <w:tcW w:w="1036" w:type="dxa"/>
            <w:shd w:val="clear" w:color="auto" w:fill="auto"/>
            <w:noWrap/>
            <w:vAlign w:val="center"/>
          </w:tcPr>
          <w:p w14:paraId="72C7A1B9"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0.033</w:t>
            </w:r>
          </w:p>
        </w:tc>
        <w:tc>
          <w:tcPr>
            <w:tcW w:w="1036" w:type="dxa"/>
            <w:shd w:val="clear" w:color="auto" w:fill="F2F2F2" w:themeFill="background1" w:themeFillShade="F2"/>
            <w:noWrap/>
            <w:vAlign w:val="center"/>
          </w:tcPr>
          <w:p w14:paraId="6F9425FF"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0.651</w:t>
            </w:r>
          </w:p>
        </w:tc>
        <w:tc>
          <w:tcPr>
            <w:tcW w:w="1036" w:type="dxa"/>
            <w:shd w:val="clear" w:color="auto" w:fill="auto"/>
            <w:noWrap/>
            <w:vAlign w:val="center"/>
          </w:tcPr>
          <w:p w14:paraId="2182A824"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1.656</w:t>
            </w:r>
          </w:p>
        </w:tc>
        <w:tc>
          <w:tcPr>
            <w:tcW w:w="1214" w:type="dxa"/>
            <w:shd w:val="clear" w:color="auto" w:fill="auto"/>
            <w:noWrap/>
            <w:vAlign w:val="center"/>
          </w:tcPr>
          <w:p w14:paraId="2C793456" w14:textId="77777777" w:rsidR="007D4B16" w:rsidRPr="00040878" w:rsidRDefault="007D4B16" w:rsidP="00040878">
            <w:pPr>
              <w:jc w:val="left"/>
              <w:rPr>
                <w:rFonts w:ascii="Arial Narrow" w:hAnsi="Arial Narrow" w:cs="Arial"/>
                <w:color w:val="000000"/>
                <w:sz w:val="20"/>
                <w:lang w:val="en-AU" w:eastAsia="en-AU"/>
              </w:rPr>
            </w:pPr>
            <w:r w:rsidRPr="00040878">
              <w:rPr>
                <w:rFonts w:ascii="Arial Narrow" w:hAnsi="Arial Narrow" w:cs="Arial"/>
                <w:color w:val="000000"/>
                <w:sz w:val="20"/>
                <w:lang w:val="en-AU" w:eastAsia="en-AU"/>
              </w:rPr>
              <w:t>9.532</w:t>
            </w:r>
          </w:p>
        </w:tc>
      </w:tr>
      <w:tr w:rsidR="007D4B16" w:rsidRPr="003D0F72" w14:paraId="577C38B3" w14:textId="77777777" w:rsidTr="007D4B16">
        <w:trPr>
          <w:trHeight w:hRule="exact" w:val="284"/>
        </w:trPr>
        <w:tc>
          <w:tcPr>
            <w:tcW w:w="1761" w:type="dxa"/>
            <w:tcBorders>
              <w:left w:val="nil"/>
              <w:bottom w:val="nil"/>
              <w:right w:val="nil"/>
            </w:tcBorders>
            <w:shd w:val="clear" w:color="auto" w:fill="auto"/>
            <w:noWrap/>
            <w:vAlign w:val="center"/>
          </w:tcPr>
          <w:p w14:paraId="76872580" w14:textId="77777777" w:rsidR="007D4B16" w:rsidRPr="003D0F72" w:rsidRDefault="007D4B16" w:rsidP="00406BD7">
            <w:pPr>
              <w:rPr>
                <w:rFonts w:ascii="Arial Narrow" w:hAnsi="Arial Narrow" w:cs="Arial"/>
                <w:color w:val="000000"/>
                <w:sz w:val="20"/>
                <w:lang w:val="en-AU" w:eastAsia="en-AU"/>
              </w:rPr>
            </w:pPr>
          </w:p>
        </w:tc>
        <w:tc>
          <w:tcPr>
            <w:tcW w:w="1607" w:type="dxa"/>
            <w:tcBorders>
              <w:left w:val="nil"/>
              <w:bottom w:val="nil"/>
              <w:right w:val="nil"/>
            </w:tcBorders>
            <w:shd w:val="clear" w:color="auto" w:fill="auto"/>
            <w:noWrap/>
            <w:vAlign w:val="center"/>
          </w:tcPr>
          <w:p w14:paraId="39B683E8" w14:textId="77777777" w:rsidR="007D4B16" w:rsidRPr="003D0F72" w:rsidRDefault="007D4B16" w:rsidP="00406BD7">
            <w:pPr>
              <w:rPr>
                <w:rFonts w:ascii="Arial Narrow" w:hAnsi="Arial Narrow" w:cs="Arial"/>
                <w:color w:val="000000"/>
                <w:sz w:val="20"/>
                <w:lang w:val="en-AU" w:eastAsia="en-AU"/>
              </w:rPr>
            </w:pPr>
          </w:p>
        </w:tc>
        <w:tc>
          <w:tcPr>
            <w:tcW w:w="1036" w:type="dxa"/>
            <w:tcBorders>
              <w:left w:val="nil"/>
              <w:bottom w:val="nil"/>
              <w:right w:val="nil"/>
            </w:tcBorders>
            <w:shd w:val="clear" w:color="auto" w:fill="auto"/>
            <w:noWrap/>
            <w:vAlign w:val="center"/>
          </w:tcPr>
          <w:p w14:paraId="29EF1E0B" w14:textId="77777777" w:rsidR="007D4B16" w:rsidRPr="003D0F72" w:rsidRDefault="007D4B16">
            <w:pPr>
              <w:jc w:val="center"/>
              <w:rPr>
                <w:rFonts w:ascii="Arial Narrow" w:hAnsi="Arial Narrow" w:cs="Arial"/>
                <w:color w:val="000000"/>
                <w:sz w:val="20"/>
                <w:lang w:val="en-AU" w:eastAsia="en-AU"/>
              </w:rPr>
            </w:pPr>
          </w:p>
        </w:tc>
        <w:tc>
          <w:tcPr>
            <w:tcW w:w="1036" w:type="dxa"/>
            <w:tcBorders>
              <w:left w:val="nil"/>
              <w:bottom w:val="nil"/>
              <w:right w:val="nil"/>
            </w:tcBorders>
            <w:shd w:val="clear" w:color="auto" w:fill="auto"/>
            <w:noWrap/>
            <w:vAlign w:val="center"/>
          </w:tcPr>
          <w:p w14:paraId="55605FC4" w14:textId="77777777" w:rsidR="007D4B16" w:rsidRPr="003D0F72" w:rsidRDefault="007D4B16">
            <w:pPr>
              <w:jc w:val="center"/>
              <w:rPr>
                <w:rFonts w:ascii="Arial Narrow" w:hAnsi="Arial Narrow" w:cs="Arial"/>
                <w:color w:val="000000"/>
                <w:sz w:val="20"/>
                <w:lang w:val="en-AU" w:eastAsia="en-AU"/>
              </w:rPr>
            </w:pPr>
          </w:p>
        </w:tc>
        <w:tc>
          <w:tcPr>
            <w:tcW w:w="1036" w:type="dxa"/>
            <w:tcBorders>
              <w:left w:val="nil"/>
              <w:bottom w:val="nil"/>
              <w:right w:val="nil"/>
            </w:tcBorders>
            <w:shd w:val="clear" w:color="auto" w:fill="auto"/>
            <w:noWrap/>
            <w:vAlign w:val="center"/>
          </w:tcPr>
          <w:p w14:paraId="6D46BEE3" w14:textId="77777777" w:rsidR="007D4B16" w:rsidRPr="003D0F72" w:rsidRDefault="007D4B16">
            <w:pPr>
              <w:jc w:val="center"/>
              <w:rPr>
                <w:rFonts w:ascii="Arial Narrow" w:hAnsi="Arial Narrow" w:cs="Arial"/>
                <w:color w:val="000000"/>
                <w:sz w:val="20"/>
                <w:lang w:val="en-AU" w:eastAsia="en-AU"/>
              </w:rPr>
            </w:pPr>
          </w:p>
        </w:tc>
        <w:tc>
          <w:tcPr>
            <w:tcW w:w="1036" w:type="dxa"/>
            <w:tcBorders>
              <w:left w:val="nil"/>
              <w:bottom w:val="nil"/>
              <w:right w:val="nil"/>
            </w:tcBorders>
            <w:shd w:val="clear" w:color="auto" w:fill="auto"/>
            <w:noWrap/>
            <w:vAlign w:val="center"/>
          </w:tcPr>
          <w:p w14:paraId="4E15FEC1" w14:textId="77777777" w:rsidR="007D4B16" w:rsidRPr="003D0F72" w:rsidRDefault="007D4B16">
            <w:pPr>
              <w:jc w:val="center"/>
              <w:rPr>
                <w:rFonts w:ascii="Arial Narrow" w:hAnsi="Arial Narrow" w:cs="Arial"/>
                <w:color w:val="000000"/>
                <w:sz w:val="20"/>
                <w:lang w:val="en-AU" w:eastAsia="en-AU"/>
              </w:rPr>
            </w:pPr>
          </w:p>
        </w:tc>
        <w:tc>
          <w:tcPr>
            <w:tcW w:w="1036" w:type="dxa"/>
            <w:tcBorders>
              <w:left w:val="nil"/>
              <w:bottom w:val="nil"/>
              <w:right w:val="nil"/>
            </w:tcBorders>
            <w:shd w:val="clear" w:color="auto" w:fill="auto"/>
            <w:noWrap/>
            <w:vAlign w:val="center"/>
          </w:tcPr>
          <w:p w14:paraId="3CDB085B" w14:textId="77777777" w:rsidR="007D4B16" w:rsidRPr="003D0F72" w:rsidRDefault="007D4B16">
            <w:pPr>
              <w:jc w:val="center"/>
              <w:rPr>
                <w:rFonts w:ascii="Arial Narrow" w:hAnsi="Arial Narrow" w:cs="Arial"/>
                <w:color w:val="000000"/>
                <w:sz w:val="20"/>
                <w:lang w:val="en-AU" w:eastAsia="en-AU"/>
              </w:rPr>
            </w:pPr>
          </w:p>
        </w:tc>
        <w:tc>
          <w:tcPr>
            <w:tcW w:w="1214" w:type="dxa"/>
            <w:tcBorders>
              <w:left w:val="nil"/>
              <w:bottom w:val="nil"/>
              <w:right w:val="nil"/>
            </w:tcBorders>
            <w:shd w:val="clear" w:color="auto" w:fill="auto"/>
            <w:noWrap/>
            <w:vAlign w:val="center"/>
          </w:tcPr>
          <w:p w14:paraId="39DC6785" w14:textId="77777777" w:rsidR="007D4B16" w:rsidRPr="003D0F72" w:rsidRDefault="007D4B16">
            <w:pPr>
              <w:jc w:val="center"/>
              <w:rPr>
                <w:rFonts w:ascii="Arial Narrow" w:hAnsi="Arial Narrow" w:cs="Arial"/>
                <w:color w:val="000000"/>
                <w:sz w:val="20"/>
                <w:lang w:val="en-AU" w:eastAsia="en-AU"/>
              </w:rPr>
            </w:pPr>
          </w:p>
        </w:tc>
      </w:tr>
    </w:tbl>
    <w:p w14:paraId="53980DA2" w14:textId="77777777" w:rsidR="003D0F72" w:rsidRPr="007672BF" w:rsidRDefault="003D0F72">
      <w:pPr>
        <w:pStyle w:val="Table"/>
        <w:rPr>
          <w:b/>
          <w:color w:val="0070C0"/>
          <w:szCs w:val="22"/>
        </w:rPr>
        <w:sectPr w:rsidR="003D0F72" w:rsidRPr="007672BF" w:rsidSect="006608FC">
          <w:pgSz w:w="11907" w:h="16840" w:code="9"/>
          <w:pgMar w:top="1440" w:right="1134" w:bottom="1440" w:left="1134" w:header="709" w:footer="709" w:gutter="0"/>
          <w:cols w:space="708"/>
          <w:docGrid w:linePitch="360"/>
        </w:sectPr>
      </w:pPr>
    </w:p>
    <w:p w14:paraId="0B4FDB31" w14:textId="77777777" w:rsidR="006D561F" w:rsidRDefault="00254101" w:rsidP="006D561F">
      <w:r w:rsidRPr="001778B8">
        <w:rPr>
          <w:noProof/>
          <w:lang w:val="en-AU" w:eastAsia="en-AU"/>
        </w:rPr>
        <w:lastRenderedPageBreak/>
        <w:drawing>
          <wp:inline distT="0" distB="0" distL="0" distR="0" wp14:anchorId="49A0EA12" wp14:editId="3D40A322">
            <wp:extent cx="8858188" cy="4916245"/>
            <wp:effectExtent l="0" t="0" r="635" b="0"/>
            <wp:docPr id="19" name="Picture 19" descr="Figure A1 1: Cover of major benthic groups and density of hard coral juveniles at reefs in the Daintree sub-region. 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 title="Figure A1 1: Cover of major benthic groups and density of hard coral juveniles at reefs in the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intreebar_1.png"/>
                    <pic:cNvPicPr/>
                  </pic:nvPicPr>
                  <pic:blipFill rotWithShape="1">
                    <a:blip r:embed="rId69" cstate="print">
                      <a:extLst>
                        <a:ext uri="{28A0092B-C50C-407E-A947-70E740481C1C}">
                          <a14:useLocalDpi xmlns:a14="http://schemas.microsoft.com/office/drawing/2010/main" val="0"/>
                        </a:ext>
                      </a:extLst>
                    </a:blip>
                    <a:srcRect b="7490"/>
                    <a:stretch/>
                  </pic:blipFill>
                  <pic:spPr bwMode="auto">
                    <a:xfrm>
                      <a:off x="0" y="0"/>
                      <a:ext cx="8864600" cy="4919804"/>
                    </a:xfrm>
                    <a:prstGeom prst="rect">
                      <a:avLst/>
                    </a:prstGeom>
                    <a:ln>
                      <a:noFill/>
                    </a:ln>
                    <a:extLst>
                      <a:ext uri="{53640926-AAD7-44D8-BBD7-CCE9431645EC}">
                        <a14:shadowObscured xmlns:a14="http://schemas.microsoft.com/office/drawing/2010/main"/>
                      </a:ext>
                    </a:extLst>
                  </pic:spPr>
                </pic:pic>
              </a:graphicData>
            </a:graphic>
          </wp:inline>
        </w:drawing>
      </w:r>
      <w:bookmarkStart w:id="449" w:name="_Toc374701408"/>
      <w:bookmarkStart w:id="450" w:name="_Toc392929576"/>
      <w:bookmarkStart w:id="451" w:name="_Toc430268217"/>
    </w:p>
    <w:p w14:paraId="1198AA64" w14:textId="77777777" w:rsidR="006E3C16" w:rsidRPr="006E3C16" w:rsidRDefault="0063376B" w:rsidP="0063376B">
      <w:pPr>
        <w:pStyle w:val="Caption"/>
        <w:rPr>
          <w:rStyle w:val="IntenseReference"/>
          <w:rFonts w:eastAsia="SimSun"/>
          <w:vanish/>
        </w:rPr>
      </w:pPr>
      <w:bookmarkStart w:id="452" w:name="_Ref460423943"/>
      <w:bookmarkStart w:id="453" w:name="_Toc453243768"/>
      <w:bookmarkStart w:id="454" w:name="_Toc460491398"/>
      <w:r>
        <w:t xml:space="preserve">Figure A </w:t>
      </w:r>
      <w:r>
        <w:fldChar w:fldCharType="begin"/>
      </w:r>
      <w:r>
        <w:instrText xml:space="preserve"> SEQ Figure_A \* ARABIC </w:instrText>
      </w:r>
      <w:r>
        <w:fldChar w:fldCharType="separate"/>
      </w:r>
      <w:r w:rsidR="00B61881">
        <w:rPr>
          <w:noProof/>
        </w:rPr>
        <w:t>1</w:t>
      </w:r>
      <w:r>
        <w:fldChar w:fldCharType="end"/>
      </w:r>
      <w:bookmarkEnd w:id="452"/>
      <w:r w:rsidR="006E3C16">
        <w:t xml:space="preserve">: </w:t>
      </w:r>
      <w:r w:rsidR="008A1A24" w:rsidRPr="0017016E">
        <w:t xml:space="preserve">Cover of major benthic groups and density of hard coral juveniles </w:t>
      </w:r>
      <w:r w:rsidR="0017016E">
        <w:t>at</w:t>
      </w:r>
      <w:r w:rsidR="008A1A24" w:rsidRPr="0017016E">
        <w:t xml:space="preserve"> reefs in the Daintree sub-region</w:t>
      </w:r>
      <w:r w:rsidR="008A1A24" w:rsidRPr="00B202AC">
        <w:rPr>
          <w:rStyle w:val="IntenseReference"/>
          <w:rFonts w:eastAsia="SimSun"/>
        </w:rPr>
        <w:t>.</w:t>
      </w:r>
      <w:bookmarkEnd w:id="449"/>
      <w:bookmarkEnd w:id="450"/>
      <w:bookmarkEnd w:id="451"/>
      <w:bookmarkEnd w:id="453"/>
      <w:bookmarkEnd w:id="454"/>
    </w:p>
    <w:p w14:paraId="28CD6BA9" w14:textId="77777777" w:rsidR="00F73646" w:rsidRDefault="008A1A24" w:rsidP="00E56CF1">
      <w:pPr>
        <w:pStyle w:val="Caption"/>
        <w:rPr>
          <w:rStyle w:val="IntenseReference"/>
          <w:rFonts w:eastAsia="SimSun"/>
        </w:rPr>
      </w:pPr>
      <w:r w:rsidRPr="002710DB">
        <w:t> </w:t>
      </w:r>
      <w:bookmarkStart w:id="455" w:name="_Toc437424324"/>
      <w:bookmarkStart w:id="456" w:name="_Toc437432377"/>
      <w:r w:rsidRPr="00EB2425">
        <w:rPr>
          <w:rStyle w:val="IntenseReference"/>
          <w:rFonts w:eastAsia="SimSun"/>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455"/>
      <w:bookmarkEnd w:id="456"/>
    </w:p>
    <w:p w14:paraId="6BA8081C" w14:textId="77777777" w:rsidR="00F73646" w:rsidRPr="00F73646" w:rsidRDefault="00F73646" w:rsidP="00F73646">
      <w:pPr>
        <w:rPr>
          <w:rFonts w:ascii="Arial Narrow" w:eastAsia="SimSun" w:hAnsi="Arial Narrow"/>
          <w:bCs/>
          <w:color w:val="000000" w:themeColor="text1"/>
          <w:sz w:val="20"/>
        </w:rPr>
      </w:pPr>
      <w:r>
        <w:rPr>
          <w:rStyle w:val="IntenseReference"/>
          <w:rFonts w:eastAsia="SimSun"/>
        </w:rPr>
        <w:br w:type="page"/>
      </w:r>
      <w:bookmarkStart w:id="457" w:name="_Toc374701409"/>
      <w:bookmarkStart w:id="458" w:name="_Toc392929577"/>
      <w:bookmarkStart w:id="459" w:name="_Toc430268218"/>
      <w:bookmarkStart w:id="460" w:name="_Toc453243769"/>
    </w:p>
    <w:p w14:paraId="284C1295" w14:textId="77777777" w:rsidR="00F73646" w:rsidRDefault="00F73646" w:rsidP="00F73646">
      <w:r w:rsidRPr="001778B8">
        <w:rPr>
          <w:noProof/>
          <w:lang w:val="en-AU" w:eastAsia="en-AU"/>
        </w:rPr>
        <w:lastRenderedPageBreak/>
        <w:drawing>
          <wp:inline distT="0" distB="0" distL="0" distR="0" wp14:anchorId="73BF2D16" wp14:editId="083187C0">
            <wp:extent cx="8862060" cy="4851699"/>
            <wp:effectExtent l="0" t="0" r="0" b="6350"/>
            <wp:docPr id="4" name="Picture 4" descr="Figure A1 2: Cover of major benthic groups and density of hard coral juveniles at reefs in the Johnstone sub-region. 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 title="Figure A1 2: Cover of major benthic groups and density of hard coral juveniles at reefs in the Johnston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hnstonebar_1.png"/>
                    <pic:cNvPicPr/>
                  </pic:nvPicPr>
                  <pic:blipFill rotWithShape="1">
                    <a:blip r:embed="rId70" cstate="print">
                      <a:extLst>
                        <a:ext uri="{28A0092B-C50C-407E-A947-70E740481C1C}">
                          <a14:useLocalDpi xmlns:a14="http://schemas.microsoft.com/office/drawing/2010/main" val="0"/>
                        </a:ext>
                      </a:extLst>
                    </a:blip>
                    <a:srcRect b="8744"/>
                    <a:stretch/>
                  </pic:blipFill>
                  <pic:spPr bwMode="auto">
                    <a:xfrm>
                      <a:off x="0" y="0"/>
                      <a:ext cx="8862060" cy="4851699"/>
                    </a:xfrm>
                    <a:prstGeom prst="rect">
                      <a:avLst/>
                    </a:prstGeom>
                    <a:ln>
                      <a:noFill/>
                    </a:ln>
                    <a:extLst>
                      <a:ext uri="{53640926-AAD7-44D8-BBD7-CCE9431645EC}">
                        <a14:shadowObscured xmlns:a14="http://schemas.microsoft.com/office/drawing/2010/main"/>
                      </a:ext>
                    </a:extLst>
                  </pic:spPr>
                </pic:pic>
              </a:graphicData>
            </a:graphic>
          </wp:inline>
        </w:drawing>
      </w:r>
    </w:p>
    <w:p w14:paraId="0971B413" w14:textId="77777777" w:rsidR="00F73646" w:rsidRDefault="00F73646" w:rsidP="00F73646"/>
    <w:p w14:paraId="6A15FD7D" w14:textId="77777777" w:rsidR="00F73646" w:rsidRPr="006A31B8" w:rsidRDefault="0063376B" w:rsidP="00F73646">
      <w:pPr>
        <w:pStyle w:val="Caption"/>
        <w:rPr>
          <w:rStyle w:val="IntenseReference"/>
          <w:rFonts w:eastAsia="SimSun"/>
        </w:rPr>
      </w:pPr>
      <w:bookmarkStart w:id="461" w:name="_Ref460484697"/>
      <w:bookmarkStart w:id="462" w:name="_Toc460491399"/>
      <w:r w:rsidRPr="006A31B8">
        <w:t xml:space="preserve">Figure A </w:t>
      </w:r>
      <w:r w:rsidRPr="006A31B8">
        <w:fldChar w:fldCharType="begin"/>
      </w:r>
      <w:r w:rsidRPr="006A31B8">
        <w:instrText xml:space="preserve"> SEQ Figure_A \* ARABIC </w:instrText>
      </w:r>
      <w:r w:rsidRPr="006A31B8">
        <w:fldChar w:fldCharType="separate"/>
      </w:r>
      <w:r w:rsidR="00B61881">
        <w:rPr>
          <w:noProof/>
        </w:rPr>
        <w:t>2</w:t>
      </w:r>
      <w:r w:rsidRPr="006A31B8">
        <w:fldChar w:fldCharType="end"/>
      </w:r>
      <w:bookmarkEnd w:id="461"/>
      <w:r w:rsidR="006E3C16" w:rsidRPr="006A31B8">
        <w:t xml:space="preserve">: </w:t>
      </w:r>
      <w:r w:rsidR="008A1A24" w:rsidRPr="006A31B8">
        <w:t xml:space="preserve">Cover of major benthic groups and density of hard coral juveniles </w:t>
      </w:r>
      <w:r w:rsidR="0017016E" w:rsidRPr="006A31B8">
        <w:t>at</w:t>
      </w:r>
      <w:r w:rsidR="008A1A24" w:rsidRPr="006A31B8">
        <w:t xml:space="preserve"> reefs in the Johnstone sub-region</w:t>
      </w:r>
      <w:r w:rsidR="008A1A24" w:rsidRPr="006A31B8">
        <w:rPr>
          <w:rStyle w:val="IntenseReference"/>
          <w:rFonts w:eastAsia="SimSun"/>
        </w:rPr>
        <w:t>.</w:t>
      </w:r>
      <w:bookmarkStart w:id="463" w:name="_Toc437424325"/>
      <w:bookmarkStart w:id="464" w:name="_Toc437432378"/>
      <w:bookmarkEnd w:id="457"/>
      <w:bookmarkEnd w:id="458"/>
      <w:bookmarkEnd w:id="459"/>
      <w:r w:rsidR="00040878" w:rsidRPr="006A31B8">
        <w:rPr>
          <w:rStyle w:val="IntenseReference"/>
          <w:rFonts w:eastAsia="SimSun"/>
        </w:rPr>
        <w:t xml:space="preserve"> </w:t>
      </w:r>
      <w:r w:rsidR="008A1A24" w:rsidRPr="006A31B8">
        <w:rPr>
          <w:rStyle w:val="IntenseReference"/>
          <w:rFonts w:eastAsia="SimSun"/>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460"/>
      <w:bookmarkEnd w:id="462"/>
      <w:bookmarkEnd w:id="463"/>
      <w:bookmarkEnd w:id="464"/>
    </w:p>
    <w:p w14:paraId="68AA9447" w14:textId="77777777" w:rsidR="00F73646" w:rsidRDefault="00F73646" w:rsidP="00F73646">
      <w:pPr>
        <w:rPr>
          <w:rStyle w:val="IntenseReference"/>
          <w:rFonts w:eastAsia="SimSun"/>
        </w:rPr>
      </w:pPr>
      <w:r>
        <w:rPr>
          <w:rStyle w:val="IntenseReference"/>
          <w:rFonts w:eastAsia="SimSun"/>
        </w:rPr>
        <w:br w:type="page"/>
      </w:r>
    </w:p>
    <w:p w14:paraId="730748E6" w14:textId="77777777" w:rsidR="008A1A24" w:rsidRPr="00B202AC" w:rsidRDefault="00254101" w:rsidP="00F73646">
      <w:pPr>
        <w:pStyle w:val="Caption"/>
        <w:rPr>
          <w:rStyle w:val="IntenseReference"/>
          <w:rFonts w:ascii="Arial" w:eastAsia="SimSun" w:hAnsi="Arial"/>
          <w:bCs w:val="0"/>
          <w:color w:val="auto"/>
          <w:sz w:val="22"/>
          <w:lang w:val="en-AU"/>
        </w:rPr>
      </w:pPr>
      <w:r w:rsidRPr="001778B8">
        <w:rPr>
          <w:noProof/>
          <w:lang w:val="en-AU" w:eastAsia="en-AU"/>
        </w:rPr>
        <w:lastRenderedPageBreak/>
        <w:drawing>
          <wp:inline distT="0" distB="0" distL="0" distR="0" wp14:anchorId="6F3193CF" wp14:editId="5C005BD7">
            <wp:extent cx="8864600" cy="5318125"/>
            <wp:effectExtent l="0" t="0" r="0" b="0"/>
            <wp:docPr id="22" name="Picture 22" descr="Figure A1-2 Continued." title="Figure A1-2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hnstonebar_2.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8864600" cy="5318125"/>
                    </a:xfrm>
                    <a:prstGeom prst="rect">
                      <a:avLst/>
                    </a:prstGeom>
                  </pic:spPr>
                </pic:pic>
              </a:graphicData>
            </a:graphic>
          </wp:inline>
        </w:drawing>
      </w:r>
      <w:r w:rsidR="008A1A24" w:rsidRPr="002710DB">
        <w:rPr>
          <w:rStyle w:val="IntenseReference"/>
          <w:rFonts w:eastAsia="SimSun"/>
          <w:color w:val="auto"/>
        </w:rPr>
        <w:t xml:space="preserve">Figure </w:t>
      </w:r>
      <w:proofErr w:type="gramStart"/>
      <w:r w:rsidR="008A1A24" w:rsidRPr="002710DB">
        <w:rPr>
          <w:rStyle w:val="IntenseReference"/>
          <w:rFonts w:eastAsia="SimSun"/>
          <w:color w:val="auto"/>
        </w:rPr>
        <w:t>A</w:t>
      </w:r>
      <w:proofErr w:type="gramEnd"/>
      <w:r w:rsidR="0096504D">
        <w:rPr>
          <w:rStyle w:val="IntenseReference"/>
          <w:rFonts w:eastAsia="SimSun"/>
          <w:color w:val="auto"/>
        </w:rPr>
        <w:t xml:space="preserve"> </w:t>
      </w:r>
      <w:r w:rsidR="00C356AC">
        <w:rPr>
          <w:rStyle w:val="IntenseReference"/>
          <w:rFonts w:eastAsia="SimSun"/>
          <w:color w:val="auto"/>
        </w:rPr>
        <w:t>2</w:t>
      </w:r>
      <w:r w:rsidR="0063376B">
        <w:rPr>
          <w:rStyle w:val="IntenseReference"/>
          <w:rFonts w:eastAsia="SimSun"/>
          <w:color w:val="auto"/>
        </w:rPr>
        <w:t xml:space="preserve"> c</w:t>
      </w:r>
      <w:r w:rsidR="008A1A24" w:rsidRPr="002710DB">
        <w:rPr>
          <w:rStyle w:val="IntenseReference"/>
          <w:rFonts w:eastAsia="SimSun"/>
          <w:color w:val="auto"/>
        </w:rPr>
        <w:t>ontinued</w:t>
      </w:r>
    </w:p>
    <w:p w14:paraId="798488FA" w14:textId="77777777" w:rsidR="004462C7" w:rsidRDefault="00DA1B4E" w:rsidP="001778B8">
      <w:r>
        <w:br w:type="page"/>
      </w:r>
      <w:r w:rsidR="00254101">
        <w:rPr>
          <w:noProof/>
          <w:lang w:val="en-AU" w:eastAsia="en-AU"/>
        </w:rPr>
        <w:lastRenderedPageBreak/>
        <w:drawing>
          <wp:inline distT="0" distB="0" distL="0" distR="0" wp14:anchorId="14D039D3" wp14:editId="13470AA7">
            <wp:extent cx="8864600" cy="3988435"/>
            <wp:effectExtent l="0" t="0" r="0" b="0"/>
            <wp:docPr id="23" name="Picture 23" descr="Figure A1-2 Continued." title="Figure A1-2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hnstonebar_3.pn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8864600" cy="3988435"/>
                    </a:xfrm>
                    <a:prstGeom prst="rect">
                      <a:avLst/>
                    </a:prstGeom>
                  </pic:spPr>
                </pic:pic>
              </a:graphicData>
            </a:graphic>
          </wp:inline>
        </w:drawing>
      </w:r>
    </w:p>
    <w:p w14:paraId="6C87CE89" w14:textId="77777777" w:rsidR="004462C7" w:rsidRPr="002710DB" w:rsidRDefault="004462C7">
      <w:pPr>
        <w:rPr>
          <w:rStyle w:val="IntenseReference"/>
          <w:color w:val="auto"/>
        </w:rPr>
      </w:pPr>
      <w:r w:rsidRPr="002710DB">
        <w:rPr>
          <w:rStyle w:val="IntenseReference"/>
          <w:color w:val="auto"/>
        </w:rPr>
        <w:t xml:space="preserve">Figure </w:t>
      </w:r>
      <w:proofErr w:type="gramStart"/>
      <w:r w:rsidRPr="002710DB">
        <w:rPr>
          <w:rStyle w:val="IntenseReference"/>
          <w:color w:val="auto"/>
        </w:rPr>
        <w:t>A</w:t>
      </w:r>
      <w:proofErr w:type="gramEnd"/>
      <w:r w:rsidR="0096504D">
        <w:rPr>
          <w:rStyle w:val="IntenseReference"/>
          <w:color w:val="auto"/>
        </w:rPr>
        <w:t xml:space="preserve"> </w:t>
      </w:r>
      <w:r w:rsidR="00C356AC">
        <w:rPr>
          <w:rStyle w:val="IntenseReference"/>
          <w:color w:val="auto"/>
        </w:rPr>
        <w:t>2</w:t>
      </w:r>
      <w:r w:rsidRPr="002710DB">
        <w:rPr>
          <w:rStyle w:val="IntenseReference"/>
          <w:color w:val="auto"/>
        </w:rPr>
        <w:t xml:space="preserve"> </w:t>
      </w:r>
      <w:r w:rsidR="0063376B">
        <w:rPr>
          <w:rStyle w:val="IntenseReference"/>
          <w:color w:val="auto"/>
        </w:rPr>
        <w:t>continued</w:t>
      </w:r>
    </w:p>
    <w:p w14:paraId="310B5761" w14:textId="77777777" w:rsidR="004462C7" w:rsidRDefault="004462C7">
      <w:pPr>
        <w:rPr>
          <w:rFonts w:ascii="Arial Narrow" w:hAnsi="Arial Narrow"/>
        </w:rPr>
      </w:pPr>
    </w:p>
    <w:p w14:paraId="1B23F696" w14:textId="77777777" w:rsidR="00DA1B4E" w:rsidRDefault="00DA1B4E">
      <w:pPr>
        <w:rPr>
          <w:rFonts w:ascii="Arial Narrow" w:hAnsi="Arial Narrow"/>
        </w:rPr>
      </w:pPr>
    </w:p>
    <w:p w14:paraId="4DB7A3DF" w14:textId="77777777" w:rsidR="001778B8" w:rsidRDefault="00254101" w:rsidP="001778B8">
      <w:r w:rsidRPr="001778B8">
        <w:rPr>
          <w:noProof/>
          <w:lang w:val="en-AU" w:eastAsia="en-AU"/>
        </w:rPr>
        <w:lastRenderedPageBreak/>
        <w:drawing>
          <wp:inline distT="0" distB="0" distL="0" distR="0" wp14:anchorId="27706895" wp14:editId="1E68F3A6">
            <wp:extent cx="8858188" cy="5002306"/>
            <wp:effectExtent l="0" t="0" r="635" b="8255"/>
            <wp:docPr id="24" name="Picture 24" descr="Figure A1 3: Cover of major benthic groups and density of hard coral juveniles at reefs in the Tully sub- region.&#10;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1 3: Cover of major benthic groups and density of hard coral juveniles at reefs in the Tully sub-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bar_1.png"/>
                    <pic:cNvPicPr/>
                  </pic:nvPicPr>
                  <pic:blipFill rotWithShape="1">
                    <a:blip r:embed="rId73" cstate="print">
                      <a:extLst>
                        <a:ext uri="{28A0092B-C50C-407E-A947-70E740481C1C}">
                          <a14:useLocalDpi xmlns:a14="http://schemas.microsoft.com/office/drawing/2010/main" val="0"/>
                        </a:ext>
                      </a:extLst>
                    </a:blip>
                    <a:srcRect b="5870"/>
                    <a:stretch/>
                  </pic:blipFill>
                  <pic:spPr bwMode="auto">
                    <a:xfrm>
                      <a:off x="0" y="0"/>
                      <a:ext cx="8864600" cy="5005927"/>
                    </a:xfrm>
                    <a:prstGeom prst="rect">
                      <a:avLst/>
                    </a:prstGeom>
                    <a:ln>
                      <a:noFill/>
                    </a:ln>
                    <a:extLst>
                      <a:ext uri="{53640926-AAD7-44D8-BBD7-CCE9431645EC}">
                        <a14:shadowObscured xmlns:a14="http://schemas.microsoft.com/office/drawing/2010/main"/>
                      </a:ext>
                    </a:extLst>
                  </pic:spPr>
                </pic:pic>
              </a:graphicData>
            </a:graphic>
          </wp:inline>
        </w:drawing>
      </w:r>
      <w:bookmarkStart w:id="465" w:name="_Toc374701410"/>
      <w:bookmarkStart w:id="466" w:name="_Toc392929578"/>
      <w:bookmarkStart w:id="467" w:name="_Toc430268219"/>
    </w:p>
    <w:p w14:paraId="19167183" w14:textId="77777777" w:rsidR="006E3C16" w:rsidRPr="001778B8" w:rsidRDefault="0063376B" w:rsidP="0063376B">
      <w:pPr>
        <w:pStyle w:val="Caption"/>
      </w:pPr>
      <w:bookmarkStart w:id="468" w:name="_Ref460485602"/>
      <w:bookmarkStart w:id="469" w:name="_Toc453243770"/>
      <w:bookmarkStart w:id="470" w:name="_Toc460491400"/>
      <w:r>
        <w:t xml:space="preserve">Figure A </w:t>
      </w:r>
      <w:r>
        <w:fldChar w:fldCharType="begin"/>
      </w:r>
      <w:r>
        <w:instrText xml:space="preserve"> SEQ Figure_A \* ARABIC </w:instrText>
      </w:r>
      <w:r>
        <w:fldChar w:fldCharType="separate"/>
      </w:r>
      <w:r w:rsidR="00B61881">
        <w:rPr>
          <w:noProof/>
        </w:rPr>
        <w:t>3</w:t>
      </w:r>
      <w:r>
        <w:fldChar w:fldCharType="end"/>
      </w:r>
      <w:bookmarkEnd w:id="468"/>
      <w:r w:rsidR="006E3C16" w:rsidRPr="001778B8">
        <w:t xml:space="preserve">: </w:t>
      </w:r>
      <w:r w:rsidR="008A1A24" w:rsidRPr="001778B8">
        <w:t xml:space="preserve">Cover of major benthic groups and density of hard coral juveniles </w:t>
      </w:r>
      <w:r w:rsidR="0017016E" w:rsidRPr="001778B8">
        <w:t>at</w:t>
      </w:r>
      <w:r w:rsidR="008A1A24" w:rsidRPr="001778B8">
        <w:t xml:space="preserve"> reefs in the Tully sub- region.</w:t>
      </w:r>
      <w:bookmarkEnd w:id="465"/>
      <w:bookmarkEnd w:id="466"/>
      <w:bookmarkEnd w:id="467"/>
      <w:bookmarkEnd w:id="469"/>
      <w:bookmarkEnd w:id="470"/>
    </w:p>
    <w:p w14:paraId="0D0D7DB8" w14:textId="77777777" w:rsidR="00DA1B4E" w:rsidRDefault="008A1A24" w:rsidP="00E56CF1">
      <w:pPr>
        <w:pStyle w:val="Caption"/>
        <w:rPr>
          <w:rStyle w:val="IntenseReference"/>
          <w:rFonts w:eastAsia="SimSun"/>
          <w:color w:val="auto"/>
        </w:rPr>
      </w:pPr>
      <w:r w:rsidRPr="00840D3B">
        <w:t> </w:t>
      </w:r>
      <w:bookmarkStart w:id="471" w:name="_Toc437424326"/>
      <w:bookmarkStart w:id="472" w:name="_Toc437432379"/>
      <w:r w:rsidRPr="002710DB">
        <w:rPr>
          <w:rStyle w:val="IntenseReference"/>
          <w:rFonts w:eastAsia="SimSun"/>
          <w:color w:val="auto"/>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71"/>
      <w:bookmarkEnd w:id="472"/>
    </w:p>
    <w:p w14:paraId="599CA820" w14:textId="77777777" w:rsidR="008A1A24" w:rsidRPr="002710DB" w:rsidRDefault="00DA1B4E" w:rsidP="00406BD7">
      <w:pPr>
        <w:rPr>
          <w:color w:val="0070C0"/>
        </w:rPr>
      </w:pPr>
      <w:r>
        <w:rPr>
          <w:rStyle w:val="IntenseReference"/>
          <w:rFonts w:eastAsia="SimSun"/>
          <w:color w:val="auto"/>
        </w:rPr>
        <w:br w:type="page"/>
      </w:r>
      <w:r w:rsidR="00254101">
        <w:rPr>
          <w:noProof/>
          <w:color w:val="0070C0"/>
          <w:lang w:val="en-AU" w:eastAsia="en-AU"/>
        </w:rPr>
        <w:lastRenderedPageBreak/>
        <w:drawing>
          <wp:inline distT="0" distB="0" distL="0" distR="0" wp14:anchorId="3B57E0C6" wp14:editId="3556F1FC">
            <wp:extent cx="8864600" cy="3988435"/>
            <wp:effectExtent l="0" t="0" r="0" b="0"/>
            <wp:docPr id="25" name="Picture 25" descr="Figure A1-3 continued." title="Figure A1-3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bar_2.pn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8864600" cy="3988435"/>
                    </a:xfrm>
                    <a:prstGeom prst="rect">
                      <a:avLst/>
                    </a:prstGeom>
                  </pic:spPr>
                </pic:pic>
              </a:graphicData>
            </a:graphic>
          </wp:inline>
        </w:drawing>
      </w:r>
    </w:p>
    <w:p w14:paraId="69EABAE0" w14:textId="77777777" w:rsidR="00DA1B4E" w:rsidRDefault="008A1A24" w:rsidP="00406BD7">
      <w:pPr>
        <w:rPr>
          <w:rStyle w:val="IntenseReference"/>
          <w:color w:val="auto"/>
        </w:rPr>
      </w:pPr>
      <w:r w:rsidRPr="002710DB">
        <w:rPr>
          <w:rStyle w:val="IntenseReference"/>
          <w:color w:val="auto"/>
        </w:rPr>
        <w:t xml:space="preserve">Figure </w:t>
      </w:r>
      <w:proofErr w:type="gramStart"/>
      <w:r w:rsidRPr="002710DB">
        <w:rPr>
          <w:rStyle w:val="IntenseReference"/>
          <w:color w:val="auto"/>
        </w:rPr>
        <w:t>A</w:t>
      </w:r>
      <w:proofErr w:type="gramEnd"/>
      <w:r w:rsidR="0096504D">
        <w:rPr>
          <w:rStyle w:val="IntenseReference"/>
          <w:color w:val="auto"/>
        </w:rPr>
        <w:t xml:space="preserve"> </w:t>
      </w:r>
      <w:r w:rsidR="00C356AC">
        <w:rPr>
          <w:rStyle w:val="IntenseReference"/>
          <w:color w:val="auto"/>
        </w:rPr>
        <w:t>3</w:t>
      </w:r>
      <w:r w:rsidR="00C356AC" w:rsidRPr="002710DB">
        <w:rPr>
          <w:rStyle w:val="IntenseReference"/>
          <w:color w:val="auto"/>
        </w:rPr>
        <w:t xml:space="preserve"> </w:t>
      </w:r>
      <w:r w:rsidRPr="002710DB">
        <w:rPr>
          <w:rStyle w:val="IntenseReference"/>
          <w:color w:val="auto"/>
        </w:rPr>
        <w:t>continued</w:t>
      </w:r>
    </w:p>
    <w:p w14:paraId="6D1008C0" w14:textId="77777777" w:rsidR="00DA1B4E" w:rsidRDefault="00DA1B4E">
      <w:pPr>
        <w:rPr>
          <w:rStyle w:val="IntenseReference"/>
          <w:color w:val="auto"/>
        </w:rPr>
      </w:pPr>
      <w:r>
        <w:rPr>
          <w:rStyle w:val="IntenseReference"/>
          <w:color w:val="auto"/>
        </w:rPr>
        <w:br w:type="page"/>
      </w:r>
    </w:p>
    <w:p w14:paraId="1B2CA4BD" w14:textId="77777777" w:rsidR="008A1A24" w:rsidRPr="002710DB" w:rsidRDefault="00254101" w:rsidP="001778B8">
      <w:r>
        <w:rPr>
          <w:noProof/>
          <w:lang w:val="en-AU" w:eastAsia="en-AU"/>
        </w:rPr>
        <w:lastRenderedPageBreak/>
        <w:drawing>
          <wp:inline distT="0" distB="0" distL="0" distR="0" wp14:anchorId="638E1328" wp14:editId="5C81D1BA">
            <wp:extent cx="8858188" cy="4948518"/>
            <wp:effectExtent l="0" t="0" r="635" b="5080"/>
            <wp:docPr id="26" name="Picture 26" descr="Figure A1 4: Cover of major benthic groups and density of hard coral juveniles at reefs in the Burdekin region.&#10;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10;" title="Figure A1 4: Cover of major benthic groups and density of hard coral juveniles at reef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_1.png"/>
                    <pic:cNvPicPr/>
                  </pic:nvPicPr>
                  <pic:blipFill rotWithShape="1">
                    <a:blip r:embed="rId75" cstate="print">
                      <a:extLst>
                        <a:ext uri="{28A0092B-C50C-407E-A947-70E740481C1C}">
                          <a14:useLocalDpi xmlns:a14="http://schemas.microsoft.com/office/drawing/2010/main" val="0"/>
                        </a:ext>
                      </a:extLst>
                    </a:blip>
                    <a:srcRect b="6883"/>
                    <a:stretch/>
                  </pic:blipFill>
                  <pic:spPr bwMode="auto">
                    <a:xfrm>
                      <a:off x="0" y="0"/>
                      <a:ext cx="8864600" cy="4952100"/>
                    </a:xfrm>
                    <a:prstGeom prst="rect">
                      <a:avLst/>
                    </a:prstGeom>
                    <a:ln>
                      <a:noFill/>
                    </a:ln>
                    <a:extLst>
                      <a:ext uri="{53640926-AAD7-44D8-BBD7-CCE9431645EC}">
                        <a14:shadowObscured xmlns:a14="http://schemas.microsoft.com/office/drawing/2010/main"/>
                      </a:ext>
                    </a:extLst>
                  </pic:spPr>
                </pic:pic>
              </a:graphicData>
            </a:graphic>
          </wp:inline>
        </w:drawing>
      </w:r>
    </w:p>
    <w:p w14:paraId="1AB8AB39" w14:textId="77777777" w:rsidR="006E3C16" w:rsidRPr="001778B8" w:rsidRDefault="0063376B" w:rsidP="0063376B">
      <w:pPr>
        <w:pStyle w:val="Caption"/>
      </w:pPr>
      <w:bookmarkStart w:id="473" w:name="_Ref460485785"/>
      <w:bookmarkStart w:id="474" w:name="_Toc374701411"/>
      <w:bookmarkStart w:id="475" w:name="_Toc392929579"/>
      <w:bookmarkStart w:id="476" w:name="_Toc430268220"/>
      <w:bookmarkStart w:id="477" w:name="_Toc453243771"/>
      <w:bookmarkStart w:id="478" w:name="_Toc460491401"/>
      <w:r>
        <w:t xml:space="preserve">Figure A </w:t>
      </w:r>
      <w:r>
        <w:fldChar w:fldCharType="begin"/>
      </w:r>
      <w:r>
        <w:instrText xml:space="preserve"> SEQ Figure_A \* ARABIC </w:instrText>
      </w:r>
      <w:r>
        <w:fldChar w:fldCharType="separate"/>
      </w:r>
      <w:r w:rsidR="00B61881">
        <w:rPr>
          <w:noProof/>
        </w:rPr>
        <w:t>4</w:t>
      </w:r>
      <w:r>
        <w:fldChar w:fldCharType="end"/>
      </w:r>
      <w:bookmarkEnd w:id="473"/>
      <w:r w:rsidR="006E3C16" w:rsidRPr="001778B8">
        <w:t xml:space="preserve">: </w:t>
      </w:r>
      <w:r w:rsidR="008A1A24" w:rsidRPr="001778B8">
        <w:t xml:space="preserve">Cover of major benthic groups and density of hard coral juveniles </w:t>
      </w:r>
      <w:r w:rsidR="0017016E" w:rsidRPr="001778B8">
        <w:t xml:space="preserve">at </w:t>
      </w:r>
      <w:r w:rsidR="008A1A24" w:rsidRPr="001778B8">
        <w:t>reefs in the Burdekin region.</w:t>
      </w:r>
      <w:bookmarkEnd w:id="474"/>
      <w:bookmarkEnd w:id="475"/>
      <w:bookmarkEnd w:id="476"/>
      <w:bookmarkEnd w:id="477"/>
      <w:bookmarkEnd w:id="478"/>
    </w:p>
    <w:p w14:paraId="398D64E7" w14:textId="77777777" w:rsidR="00DA1B4E" w:rsidRDefault="008A1A24" w:rsidP="00E56CF1">
      <w:pPr>
        <w:pStyle w:val="Caption"/>
        <w:rPr>
          <w:rStyle w:val="IntenseReference"/>
          <w:rFonts w:eastAsia="SimSun"/>
          <w:color w:val="auto"/>
        </w:rPr>
      </w:pPr>
      <w:r w:rsidRPr="002710DB">
        <w:t> </w:t>
      </w:r>
      <w:bookmarkStart w:id="479" w:name="_Toc437424327"/>
      <w:bookmarkStart w:id="480" w:name="_Toc437432380"/>
      <w:r w:rsidRPr="002710DB">
        <w:rPr>
          <w:rStyle w:val="IntenseReference"/>
          <w:rFonts w:eastAsia="SimSun"/>
          <w:color w:val="auto"/>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79"/>
      <w:bookmarkEnd w:id="480"/>
    </w:p>
    <w:p w14:paraId="0064B86E" w14:textId="77777777" w:rsidR="008A1A24" w:rsidRPr="002710DB" w:rsidRDefault="00DA1B4E" w:rsidP="001778B8">
      <w:r>
        <w:rPr>
          <w:rStyle w:val="IntenseReference"/>
          <w:rFonts w:eastAsia="SimSun"/>
          <w:color w:val="auto"/>
        </w:rPr>
        <w:br w:type="page"/>
      </w:r>
      <w:r w:rsidR="00254101">
        <w:rPr>
          <w:noProof/>
          <w:lang w:val="en-AU" w:eastAsia="en-AU"/>
        </w:rPr>
        <w:lastRenderedPageBreak/>
        <w:drawing>
          <wp:inline distT="0" distB="0" distL="0" distR="0" wp14:anchorId="7B57B17F" wp14:editId="6E4148AC">
            <wp:extent cx="8864600" cy="5318125"/>
            <wp:effectExtent l="0" t="0" r="0" b="0"/>
            <wp:docPr id="27" name="Picture 27" descr="Figure A1-4 continued." title="Figure A1-4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_2.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8864600" cy="5318125"/>
                    </a:xfrm>
                    <a:prstGeom prst="rect">
                      <a:avLst/>
                    </a:prstGeom>
                  </pic:spPr>
                </pic:pic>
              </a:graphicData>
            </a:graphic>
          </wp:inline>
        </w:drawing>
      </w:r>
    </w:p>
    <w:p w14:paraId="33040484" w14:textId="77777777" w:rsidR="00DA1B4E" w:rsidRDefault="008A1A24" w:rsidP="00406BD7">
      <w:pPr>
        <w:rPr>
          <w:rStyle w:val="IntenseReference"/>
          <w:color w:val="auto"/>
        </w:rPr>
      </w:pPr>
      <w:r>
        <w:rPr>
          <w:rStyle w:val="IntenseReference"/>
          <w:color w:val="auto"/>
        </w:rPr>
        <w:t xml:space="preserve">Figure </w:t>
      </w:r>
      <w:proofErr w:type="gramStart"/>
      <w:r>
        <w:rPr>
          <w:rStyle w:val="IntenseReference"/>
          <w:color w:val="auto"/>
        </w:rPr>
        <w:t>A</w:t>
      </w:r>
      <w:proofErr w:type="gramEnd"/>
      <w:r w:rsidR="0096504D">
        <w:rPr>
          <w:rStyle w:val="IntenseReference"/>
          <w:color w:val="auto"/>
        </w:rPr>
        <w:t xml:space="preserve"> </w:t>
      </w:r>
      <w:r w:rsidR="00C356AC">
        <w:rPr>
          <w:rStyle w:val="IntenseReference"/>
          <w:color w:val="auto"/>
        </w:rPr>
        <w:t>4</w:t>
      </w:r>
      <w:r w:rsidR="0063376B">
        <w:rPr>
          <w:rStyle w:val="IntenseReference"/>
          <w:color w:val="auto"/>
        </w:rPr>
        <w:t xml:space="preserve"> continued</w:t>
      </w:r>
    </w:p>
    <w:p w14:paraId="3C2E0A68" w14:textId="77777777" w:rsidR="00DA1B4E" w:rsidRDefault="00DA1B4E">
      <w:pPr>
        <w:rPr>
          <w:rStyle w:val="IntenseReference"/>
          <w:color w:val="auto"/>
        </w:rPr>
      </w:pPr>
      <w:r>
        <w:rPr>
          <w:rStyle w:val="IntenseReference"/>
          <w:color w:val="auto"/>
        </w:rPr>
        <w:br w:type="page"/>
      </w:r>
    </w:p>
    <w:p w14:paraId="4D520076" w14:textId="77777777" w:rsidR="008A1A24" w:rsidRPr="002710DB" w:rsidRDefault="00254101" w:rsidP="001778B8">
      <w:r>
        <w:rPr>
          <w:noProof/>
          <w:lang w:val="en-AU" w:eastAsia="en-AU"/>
        </w:rPr>
        <w:lastRenderedPageBreak/>
        <w:drawing>
          <wp:inline distT="0" distB="0" distL="0" distR="0" wp14:anchorId="598DF248" wp14:editId="3594A17A">
            <wp:extent cx="8864600" cy="5318125"/>
            <wp:effectExtent l="0" t="0" r="0" b="0"/>
            <wp:docPr id="28" name="Picture 28" descr="Figure A1-4 continued." title="Figure A1-4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_3.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8864600" cy="5318125"/>
                    </a:xfrm>
                    <a:prstGeom prst="rect">
                      <a:avLst/>
                    </a:prstGeom>
                  </pic:spPr>
                </pic:pic>
              </a:graphicData>
            </a:graphic>
          </wp:inline>
        </w:drawing>
      </w:r>
    </w:p>
    <w:p w14:paraId="5DE8900C" w14:textId="77777777" w:rsidR="00DA1B4E" w:rsidRDefault="008A1A24">
      <w:pPr>
        <w:rPr>
          <w:rStyle w:val="IntenseReference"/>
          <w:color w:val="auto"/>
        </w:rPr>
      </w:pPr>
      <w:r>
        <w:rPr>
          <w:rStyle w:val="IntenseReference"/>
          <w:color w:val="auto"/>
        </w:rPr>
        <w:t xml:space="preserve">Figure </w:t>
      </w:r>
      <w:proofErr w:type="gramStart"/>
      <w:r>
        <w:rPr>
          <w:rStyle w:val="IntenseReference"/>
          <w:color w:val="auto"/>
        </w:rPr>
        <w:t>A</w:t>
      </w:r>
      <w:proofErr w:type="gramEnd"/>
      <w:r w:rsidR="0096504D">
        <w:rPr>
          <w:rStyle w:val="IntenseReference"/>
          <w:color w:val="auto"/>
        </w:rPr>
        <w:t xml:space="preserve"> </w:t>
      </w:r>
      <w:r w:rsidR="00C356AC">
        <w:rPr>
          <w:rStyle w:val="IntenseReference"/>
          <w:color w:val="auto"/>
        </w:rPr>
        <w:t>4</w:t>
      </w:r>
      <w:r w:rsidR="0063376B">
        <w:rPr>
          <w:rStyle w:val="IntenseReference"/>
          <w:color w:val="auto"/>
        </w:rPr>
        <w:t xml:space="preserve"> continued</w:t>
      </w:r>
    </w:p>
    <w:p w14:paraId="3DEB0CC1" w14:textId="77777777" w:rsidR="00DA1B4E" w:rsidRDefault="00DA1B4E">
      <w:pPr>
        <w:rPr>
          <w:rStyle w:val="IntenseReference"/>
          <w:color w:val="auto"/>
        </w:rPr>
      </w:pPr>
      <w:r>
        <w:rPr>
          <w:rStyle w:val="IntenseReference"/>
          <w:color w:val="auto"/>
        </w:rPr>
        <w:br w:type="page"/>
      </w:r>
    </w:p>
    <w:p w14:paraId="7D550D45" w14:textId="77777777" w:rsidR="008A1A24" w:rsidRDefault="00254101" w:rsidP="001778B8">
      <w:r>
        <w:rPr>
          <w:noProof/>
          <w:lang w:val="en-AU" w:eastAsia="en-AU"/>
        </w:rPr>
        <w:lastRenderedPageBreak/>
        <w:drawing>
          <wp:inline distT="0" distB="0" distL="0" distR="0" wp14:anchorId="22039FB0" wp14:editId="0011D8AA">
            <wp:extent cx="8864600" cy="2659380"/>
            <wp:effectExtent l="0" t="0" r="0" b="7620"/>
            <wp:docPr id="30" name="Picture 30" descr="Figure A1-4 continued." title="Figure A1-4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_4.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8864600" cy="2659380"/>
                    </a:xfrm>
                    <a:prstGeom prst="rect">
                      <a:avLst/>
                    </a:prstGeom>
                  </pic:spPr>
                </pic:pic>
              </a:graphicData>
            </a:graphic>
          </wp:inline>
        </w:drawing>
      </w:r>
    </w:p>
    <w:p w14:paraId="42EB0302" w14:textId="77777777" w:rsidR="004462C7" w:rsidRDefault="004462C7">
      <w:pPr>
        <w:rPr>
          <w:rStyle w:val="IntenseReference"/>
          <w:color w:val="auto"/>
        </w:rPr>
      </w:pPr>
      <w:r>
        <w:rPr>
          <w:rStyle w:val="IntenseReference"/>
          <w:color w:val="auto"/>
        </w:rPr>
        <w:t xml:space="preserve">Figure </w:t>
      </w:r>
      <w:proofErr w:type="gramStart"/>
      <w:r>
        <w:rPr>
          <w:rStyle w:val="IntenseReference"/>
          <w:color w:val="auto"/>
        </w:rPr>
        <w:t>A</w:t>
      </w:r>
      <w:proofErr w:type="gramEnd"/>
      <w:r w:rsidR="0096504D">
        <w:rPr>
          <w:rStyle w:val="IntenseReference"/>
          <w:color w:val="auto"/>
        </w:rPr>
        <w:t xml:space="preserve"> </w:t>
      </w:r>
      <w:r w:rsidR="00C356AC">
        <w:rPr>
          <w:rStyle w:val="IntenseReference"/>
          <w:color w:val="auto"/>
        </w:rPr>
        <w:t>4</w:t>
      </w:r>
      <w:r w:rsidR="0063376B">
        <w:rPr>
          <w:rStyle w:val="IntenseReference"/>
          <w:color w:val="auto"/>
        </w:rPr>
        <w:t xml:space="preserve"> continued</w:t>
      </w:r>
    </w:p>
    <w:p w14:paraId="4CDF2FC7" w14:textId="77777777" w:rsidR="004462C7" w:rsidRDefault="004462C7">
      <w:pPr>
        <w:rPr>
          <w:color w:val="0070C0"/>
        </w:rPr>
      </w:pPr>
      <w:r>
        <w:rPr>
          <w:color w:val="0070C0"/>
        </w:rPr>
        <w:br w:type="page"/>
      </w:r>
    </w:p>
    <w:p w14:paraId="2938CD25" w14:textId="77777777" w:rsidR="001778B8" w:rsidRDefault="00254101" w:rsidP="001778B8">
      <w:r>
        <w:rPr>
          <w:noProof/>
          <w:lang w:val="en-AU" w:eastAsia="en-AU"/>
        </w:rPr>
        <w:lastRenderedPageBreak/>
        <w:drawing>
          <wp:inline distT="0" distB="0" distL="0" distR="0" wp14:anchorId="47B1AE4D" wp14:editId="067890D3">
            <wp:extent cx="8858188" cy="5013064"/>
            <wp:effectExtent l="0" t="0" r="635" b="0"/>
            <wp:docPr id="31" name="Picture 31" descr="Figure A1 5: Cover of major benthic groups and density of hard coral juveniles at reefs in the Mackay Whitsunda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 title="Figure A1 5: Cover of major benthic groups and density of hard coral juveniles at reef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_1.png"/>
                    <pic:cNvPicPr/>
                  </pic:nvPicPr>
                  <pic:blipFill rotWithShape="1">
                    <a:blip r:embed="rId79" cstate="print">
                      <a:extLst>
                        <a:ext uri="{28A0092B-C50C-407E-A947-70E740481C1C}">
                          <a14:useLocalDpi xmlns:a14="http://schemas.microsoft.com/office/drawing/2010/main" val="0"/>
                        </a:ext>
                      </a:extLst>
                    </a:blip>
                    <a:srcRect b="5668"/>
                    <a:stretch/>
                  </pic:blipFill>
                  <pic:spPr bwMode="auto">
                    <a:xfrm>
                      <a:off x="0" y="0"/>
                      <a:ext cx="8864600" cy="5016693"/>
                    </a:xfrm>
                    <a:prstGeom prst="rect">
                      <a:avLst/>
                    </a:prstGeom>
                    <a:ln>
                      <a:noFill/>
                    </a:ln>
                    <a:extLst>
                      <a:ext uri="{53640926-AAD7-44D8-BBD7-CCE9431645EC}">
                        <a14:shadowObscured xmlns:a14="http://schemas.microsoft.com/office/drawing/2010/main"/>
                      </a:ext>
                    </a:extLst>
                  </pic:spPr>
                </pic:pic>
              </a:graphicData>
            </a:graphic>
          </wp:inline>
        </w:drawing>
      </w:r>
      <w:bookmarkStart w:id="481" w:name="_Toc374701412"/>
      <w:bookmarkStart w:id="482" w:name="_Toc392929580"/>
      <w:bookmarkStart w:id="483" w:name="_Toc430268221"/>
    </w:p>
    <w:p w14:paraId="0322D4D8" w14:textId="77777777" w:rsidR="006E3C16" w:rsidRPr="006E3C16" w:rsidRDefault="0063376B" w:rsidP="0063376B">
      <w:pPr>
        <w:pStyle w:val="Caption"/>
        <w:rPr>
          <w:vanish/>
        </w:rPr>
      </w:pPr>
      <w:bookmarkStart w:id="484" w:name="_Ref460486933"/>
      <w:bookmarkStart w:id="485" w:name="_Toc453243772"/>
      <w:bookmarkStart w:id="486" w:name="_Toc460491402"/>
      <w:r>
        <w:t xml:space="preserve">Figure A </w:t>
      </w:r>
      <w:r>
        <w:fldChar w:fldCharType="begin"/>
      </w:r>
      <w:r>
        <w:instrText xml:space="preserve"> SEQ Figure_A \* ARABIC </w:instrText>
      </w:r>
      <w:r>
        <w:fldChar w:fldCharType="separate"/>
      </w:r>
      <w:r w:rsidR="00B61881">
        <w:rPr>
          <w:noProof/>
        </w:rPr>
        <w:t>5</w:t>
      </w:r>
      <w:r>
        <w:fldChar w:fldCharType="end"/>
      </w:r>
      <w:bookmarkEnd w:id="484"/>
      <w:r w:rsidR="006E3C16">
        <w:t xml:space="preserve">: </w:t>
      </w:r>
      <w:r w:rsidR="008A1A24" w:rsidRPr="002710DB">
        <w:t xml:space="preserve">Cover of major benthic groups and density of hard coral juveniles </w:t>
      </w:r>
      <w:r w:rsidR="0017016E">
        <w:t>at</w:t>
      </w:r>
      <w:r w:rsidR="008A1A24" w:rsidRPr="002710DB">
        <w:t xml:space="preserve"> reefs in the Mackay Whitsunday region.</w:t>
      </w:r>
      <w:bookmarkEnd w:id="481"/>
      <w:bookmarkEnd w:id="482"/>
      <w:bookmarkEnd w:id="483"/>
      <w:bookmarkEnd w:id="485"/>
      <w:bookmarkEnd w:id="486"/>
    </w:p>
    <w:p w14:paraId="6A4C121F" w14:textId="77777777" w:rsidR="008A1A24" w:rsidRPr="002710DB" w:rsidRDefault="008A1A24" w:rsidP="00E56CF1">
      <w:pPr>
        <w:pStyle w:val="Caption"/>
        <w:rPr>
          <w:rStyle w:val="IntenseReference"/>
          <w:rFonts w:eastAsia="SimSun"/>
          <w:color w:val="auto"/>
        </w:rPr>
      </w:pPr>
      <w:r w:rsidRPr="002710DB">
        <w:t> </w:t>
      </w:r>
      <w:bookmarkStart w:id="487" w:name="_Toc437424328"/>
      <w:bookmarkStart w:id="488" w:name="_Toc437432381"/>
      <w:r w:rsidRPr="002710DB">
        <w:rPr>
          <w:rStyle w:val="IntenseReference"/>
          <w:rFonts w:eastAsia="SimSun"/>
          <w:color w:val="auto"/>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87"/>
      <w:bookmarkEnd w:id="488"/>
    </w:p>
    <w:p w14:paraId="03601D30" w14:textId="77777777" w:rsidR="008A1A24" w:rsidRPr="002710DB" w:rsidRDefault="008A1A24" w:rsidP="00406BD7">
      <w:pPr>
        <w:rPr>
          <w:color w:val="0070C0"/>
        </w:rPr>
      </w:pPr>
    </w:p>
    <w:p w14:paraId="194C7077" w14:textId="77777777" w:rsidR="008A1A24" w:rsidRPr="002710DB" w:rsidRDefault="00254101" w:rsidP="001778B8">
      <w:r>
        <w:rPr>
          <w:noProof/>
          <w:lang w:val="en-AU" w:eastAsia="en-AU"/>
        </w:rPr>
        <w:lastRenderedPageBreak/>
        <w:drawing>
          <wp:inline distT="0" distB="0" distL="0" distR="0" wp14:anchorId="5A58AF64" wp14:editId="174D66C6">
            <wp:extent cx="8864600" cy="5318125"/>
            <wp:effectExtent l="0" t="0" r="0" b="0"/>
            <wp:docPr id="225" name="Picture 225" descr="Figure A1-5 continued." title="Figure A1-5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_2.pn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8864600" cy="5318125"/>
                    </a:xfrm>
                    <a:prstGeom prst="rect">
                      <a:avLst/>
                    </a:prstGeom>
                  </pic:spPr>
                </pic:pic>
              </a:graphicData>
            </a:graphic>
          </wp:inline>
        </w:drawing>
      </w:r>
    </w:p>
    <w:p w14:paraId="24833749" w14:textId="77777777" w:rsidR="008A1A24" w:rsidRPr="002710DB" w:rsidRDefault="008A1A24">
      <w:pPr>
        <w:rPr>
          <w:rStyle w:val="IntenseReference"/>
          <w:color w:val="auto"/>
        </w:rPr>
      </w:pPr>
      <w:r w:rsidRPr="002710DB">
        <w:rPr>
          <w:rStyle w:val="IntenseReference"/>
          <w:color w:val="auto"/>
        </w:rPr>
        <w:t xml:space="preserve">Figure </w:t>
      </w:r>
      <w:proofErr w:type="gramStart"/>
      <w:r w:rsidRPr="002710DB">
        <w:rPr>
          <w:rStyle w:val="IntenseReference"/>
          <w:color w:val="auto"/>
        </w:rPr>
        <w:t>A</w:t>
      </w:r>
      <w:proofErr w:type="gramEnd"/>
      <w:r w:rsidR="0096504D">
        <w:rPr>
          <w:rStyle w:val="IntenseReference"/>
          <w:color w:val="auto"/>
        </w:rPr>
        <w:t xml:space="preserve"> </w:t>
      </w:r>
      <w:r w:rsidR="00C356AC">
        <w:rPr>
          <w:rStyle w:val="IntenseReference"/>
          <w:color w:val="auto"/>
        </w:rPr>
        <w:t>5</w:t>
      </w:r>
      <w:r w:rsidR="0063376B">
        <w:rPr>
          <w:rStyle w:val="IntenseReference"/>
          <w:color w:val="auto"/>
        </w:rPr>
        <w:t xml:space="preserve"> continued</w:t>
      </w:r>
    </w:p>
    <w:p w14:paraId="58ECABE2" w14:textId="77777777" w:rsidR="008A1A24" w:rsidRPr="002710DB" w:rsidRDefault="008A1A24">
      <w:pPr>
        <w:rPr>
          <w:color w:val="0070C0"/>
        </w:rPr>
      </w:pPr>
    </w:p>
    <w:p w14:paraId="0A8AD811" w14:textId="77777777" w:rsidR="008A1A24" w:rsidRPr="002710DB" w:rsidRDefault="00254101" w:rsidP="001778B8">
      <w:r>
        <w:rPr>
          <w:noProof/>
          <w:lang w:val="en-AU" w:eastAsia="en-AU"/>
        </w:rPr>
        <w:lastRenderedPageBreak/>
        <w:drawing>
          <wp:inline distT="0" distB="0" distL="0" distR="0" wp14:anchorId="0F6C6C6F" wp14:editId="4D88A222">
            <wp:extent cx="8864600" cy="5318125"/>
            <wp:effectExtent l="0" t="0" r="0" b="0"/>
            <wp:docPr id="227" name="Picture 227" descr="Figure A1-5 continued." title="Figure A1-5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_3.pn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8864600" cy="5318125"/>
                    </a:xfrm>
                    <a:prstGeom prst="rect">
                      <a:avLst/>
                    </a:prstGeom>
                  </pic:spPr>
                </pic:pic>
              </a:graphicData>
            </a:graphic>
          </wp:inline>
        </w:drawing>
      </w:r>
    </w:p>
    <w:p w14:paraId="0B8FCB49" w14:textId="77777777" w:rsidR="00DA1B4E" w:rsidRDefault="008A1A24">
      <w:pPr>
        <w:rPr>
          <w:rStyle w:val="IntenseReference"/>
          <w:color w:val="auto"/>
        </w:rPr>
      </w:pPr>
      <w:r>
        <w:rPr>
          <w:rStyle w:val="IntenseReference"/>
          <w:color w:val="auto"/>
        </w:rPr>
        <w:t xml:space="preserve">Figure </w:t>
      </w:r>
      <w:proofErr w:type="gramStart"/>
      <w:r>
        <w:rPr>
          <w:rStyle w:val="IntenseReference"/>
          <w:color w:val="auto"/>
        </w:rPr>
        <w:t>A</w:t>
      </w:r>
      <w:proofErr w:type="gramEnd"/>
      <w:r w:rsidR="0096504D">
        <w:rPr>
          <w:rStyle w:val="IntenseReference"/>
          <w:color w:val="auto"/>
        </w:rPr>
        <w:t xml:space="preserve"> </w:t>
      </w:r>
      <w:r w:rsidR="00C356AC">
        <w:rPr>
          <w:rStyle w:val="IntenseReference"/>
          <w:color w:val="auto"/>
        </w:rPr>
        <w:t>5</w:t>
      </w:r>
      <w:r w:rsidRPr="002710DB">
        <w:rPr>
          <w:rStyle w:val="IntenseReference"/>
          <w:color w:val="auto"/>
        </w:rPr>
        <w:t xml:space="preserve"> continued</w:t>
      </w:r>
    </w:p>
    <w:p w14:paraId="26767175" w14:textId="77777777" w:rsidR="008A1A24" w:rsidRDefault="00DA1B4E" w:rsidP="001778B8">
      <w:r>
        <w:rPr>
          <w:rStyle w:val="IntenseReference"/>
          <w:color w:val="auto"/>
        </w:rPr>
        <w:br w:type="page"/>
      </w:r>
      <w:r w:rsidR="00254101">
        <w:rPr>
          <w:noProof/>
          <w:lang w:val="en-AU" w:eastAsia="en-AU"/>
        </w:rPr>
        <w:lastRenderedPageBreak/>
        <w:drawing>
          <wp:inline distT="0" distB="0" distL="0" distR="0" wp14:anchorId="0DC0DAF4" wp14:editId="3A9C8BFF">
            <wp:extent cx="8864600" cy="2659380"/>
            <wp:effectExtent l="0" t="0" r="0" b="7620"/>
            <wp:docPr id="228" name="Picture 228" descr="Figure A1-5 continued." title="Figure A1-5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_4.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8864600" cy="2659380"/>
                    </a:xfrm>
                    <a:prstGeom prst="rect">
                      <a:avLst/>
                    </a:prstGeom>
                  </pic:spPr>
                </pic:pic>
              </a:graphicData>
            </a:graphic>
          </wp:inline>
        </w:drawing>
      </w:r>
    </w:p>
    <w:p w14:paraId="28EB695A" w14:textId="77777777" w:rsidR="004462C7" w:rsidRDefault="0096504D">
      <w:pPr>
        <w:rPr>
          <w:rStyle w:val="IntenseReference"/>
          <w:color w:val="auto"/>
        </w:rPr>
      </w:pPr>
      <w:proofErr w:type="gramStart"/>
      <w:r>
        <w:rPr>
          <w:rStyle w:val="IntenseReference"/>
          <w:color w:val="auto"/>
        </w:rPr>
        <w:t xml:space="preserve">Figure  </w:t>
      </w:r>
      <w:r w:rsidR="00C356AC">
        <w:rPr>
          <w:rStyle w:val="IntenseReference"/>
          <w:color w:val="auto"/>
        </w:rPr>
        <w:t>5</w:t>
      </w:r>
      <w:proofErr w:type="gramEnd"/>
      <w:r w:rsidR="0063376B">
        <w:rPr>
          <w:rStyle w:val="IntenseReference"/>
          <w:color w:val="auto"/>
        </w:rPr>
        <w:t xml:space="preserve"> continued</w:t>
      </w:r>
    </w:p>
    <w:p w14:paraId="6A355EFC" w14:textId="77777777" w:rsidR="004462C7" w:rsidRDefault="004462C7">
      <w:pPr>
        <w:rPr>
          <w:color w:val="0070C0"/>
        </w:rPr>
      </w:pPr>
      <w:r>
        <w:rPr>
          <w:color w:val="0070C0"/>
        </w:rPr>
        <w:br w:type="page"/>
      </w:r>
    </w:p>
    <w:p w14:paraId="1C89D9B8" w14:textId="77777777" w:rsidR="001778B8" w:rsidRDefault="00254101" w:rsidP="001778B8">
      <w:r>
        <w:rPr>
          <w:noProof/>
          <w:lang w:val="en-AU" w:eastAsia="en-AU"/>
        </w:rPr>
        <w:lastRenderedPageBreak/>
        <w:drawing>
          <wp:inline distT="0" distB="0" distL="0" distR="0" wp14:anchorId="22B388CF" wp14:editId="5C943880">
            <wp:extent cx="8858188" cy="4894729"/>
            <wp:effectExtent l="0" t="0" r="635" b="1270"/>
            <wp:docPr id="229" name="Picture 229" descr="Figure A1 6: Cover of major benthic groups and density of hard coral juveniles at reefs in the Fitzro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 title="Figure A1 6: Cover of major benthic groups and density of hard coral juveniles at reef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bar_1.png"/>
                    <pic:cNvPicPr/>
                  </pic:nvPicPr>
                  <pic:blipFill rotWithShape="1">
                    <a:blip r:embed="rId83" cstate="print">
                      <a:extLst>
                        <a:ext uri="{28A0092B-C50C-407E-A947-70E740481C1C}">
                          <a14:useLocalDpi xmlns:a14="http://schemas.microsoft.com/office/drawing/2010/main" val="0"/>
                        </a:ext>
                      </a:extLst>
                    </a:blip>
                    <a:srcRect b="7895"/>
                    <a:stretch/>
                  </pic:blipFill>
                  <pic:spPr bwMode="auto">
                    <a:xfrm>
                      <a:off x="0" y="0"/>
                      <a:ext cx="8864600" cy="4898272"/>
                    </a:xfrm>
                    <a:prstGeom prst="rect">
                      <a:avLst/>
                    </a:prstGeom>
                    <a:ln>
                      <a:noFill/>
                    </a:ln>
                    <a:extLst>
                      <a:ext uri="{53640926-AAD7-44D8-BBD7-CCE9431645EC}">
                        <a14:shadowObscured xmlns:a14="http://schemas.microsoft.com/office/drawing/2010/main"/>
                      </a:ext>
                    </a:extLst>
                  </pic:spPr>
                </pic:pic>
              </a:graphicData>
            </a:graphic>
          </wp:inline>
        </w:drawing>
      </w:r>
      <w:bookmarkStart w:id="489" w:name="_Toc374701413"/>
      <w:bookmarkStart w:id="490" w:name="_Toc392929581"/>
      <w:bookmarkStart w:id="491" w:name="_Toc430268222"/>
    </w:p>
    <w:p w14:paraId="6F721818" w14:textId="77777777" w:rsidR="006E3C16" w:rsidRPr="006E3C16" w:rsidRDefault="00823331" w:rsidP="00823331">
      <w:pPr>
        <w:pStyle w:val="Caption"/>
        <w:rPr>
          <w:vanish/>
        </w:rPr>
      </w:pPr>
      <w:bookmarkStart w:id="492" w:name="_Ref460423959"/>
      <w:bookmarkStart w:id="493" w:name="_Toc453243773"/>
      <w:bookmarkStart w:id="494" w:name="_Toc460491403"/>
      <w:r>
        <w:t xml:space="preserve">Figure A </w:t>
      </w:r>
      <w:r>
        <w:fldChar w:fldCharType="begin"/>
      </w:r>
      <w:r>
        <w:instrText xml:space="preserve"> SEQ Figure_A \* ARABIC </w:instrText>
      </w:r>
      <w:r>
        <w:fldChar w:fldCharType="separate"/>
      </w:r>
      <w:r w:rsidR="00B61881">
        <w:rPr>
          <w:noProof/>
        </w:rPr>
        <w:t>6</w:t>
      </w:r>
      <w:r>
        <w:fldChar w:fldCharType="end"/>
      </w:r>
      <w:bookmarkEnd w:id="492"/>
      <w:r w:rsidR="006E3C16">
        <w:t xml:space="preserve">: </w:t>
      </w:r>
      <w:r w:rsidR="008A1A24" w:rsidRPr="00840D3B">
        <w:t>Cover of major benthic groups and density</w:t>
      </w:r>
      <w:r w:rsidR="00EB2425">
        <w:t xml:space="preserve"> </w:t>
      </w:r>
      <w:r w:rsidR="008A1A24" w:rsidRPr="00840D3B">
        <w:t>of hard coral juveniles at reefs in the Fitzroy region.</w:t>
      </w:r>
      <w:bookmarkEnd w:id="489"/>
      <w:bookmarkEnd w:id="490"/>
      <w:bookmarkEnd w:id="491"/>
      <w:bookmarkEnd w:id="493"/>
      <w:bookmarkEnd w:id="494"/>
    </w:p>
    <w:p w14:paraId="07135007" w14:textId="77777777" w:rsidR="00DA1B4E" w:rsidRPr="00EB2425" w:rsidRDefault="008A1A24" w:rsidP="00E56CF1">
      <w:pPr>
        <w:pStyle w:val="Caption"/>
        <w:rPr>
          <w:rStyle w:val="IntenseReference"/>
          <w:rFonts w:eastAsia="SimSun"/>
        </w:rPr>
      </w:pPr>
      <w:r w:rsidRPr="00840D3B">
        <w:t> </w:t>
      </w:r>
      <w:bookmarkStart w:id="495" w:name="_Toc437424329"/>
      <w:bookmarkStart w:id="496" w:name="_Toc437432382"/>
      <w:r w:rsidRPr="00EB2425">
        <w:rPr>
          <w:rStyle w:val="IntenseReference"/>
          <w:rFonts w:eastAsia="SimSun"/>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95"/>
      <w:bookmarkEnd w:id="496"/>
    </w:p>
    <w:p w14:paraId="0AF1C109" w14:textId="77777777" w:rsidR="008A1A24" w:rsidRPr="002710DB" w:rsidRDefault="00DA1B4E" w:rsidP="001778B8">
      <w:pPr>
        <w:rPr>
          <w:rStyle w:val="IntenseReference"/>
          <w:color w:val="auto"/>
        </w:rPr>
      </w:pPr>
      <w:r>
        <w:rPr>
          <w:rStyle w:val="IntenseReference"/>
          <w:rFonts w:eastAsia="SimSun"/>
          <w:color w:val="auto"/>
        </w:rPr>
        <w:br w:type="page"/>
      </w:r>
      <w:r w:rsidR="00254101">
        <w:rPr>
          <w:noProof/>
          <w:lang w:val="en-AU" w:eastAsia="en-AU"/>
        </w:rPr>
        <w:lastRenderedPageBreak/>
        <w:drawing>
          <wp:inline distT="0" distB="0" distL="0" distR="0" wp14:anchorId="3D487565" wp14:editId="1FCC76F0">
            <wp:extent cx="8864600" cy="5318125"/>
            <wp:effectExtent l="0" t="0" r="0" b="0"/>
            <wp:docPr id="230" name="Picture 230" descr="Figure A1-6 continued." title="Figure A1-6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bar_2.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8864600" cy="5318125"/>
                    </a:xfrm>
                    <a:prstGeom prst="rect">
                      <a:avLst/>
                    </a:prstGeom>
                  </pic:spPr>
                </pic:pic>
              </a:graphicData>
            </a:graphic>
          </wp:inline>
        </w:drawing>
      </w:r>
      <w:r w:rsidR="008A1A24">
        <w:rPr>
          <w:rStyle w:val="IntenseReference"/>
          <w:color w:val="auto"/>
        </w:rPr>
        <w:t xml:space="preserve">Figure </w:t>
      </w:r>
      <w:proofErr w:type="gramStart"/>
      <w:r w:rsidR="008A1A24">
        <w:rPr>
          <w:rStyle w:val="IntenseReference"/>
          <w:color w:val="auto"/>
        </w:rPr>
        <w:t>A</w:t>
      </w:r>
      <w:proofErr w:type="gramEnd"/>
      <w:r w:rsidR="0096504D">
        <w:rPr>
          <w:rStyle w:val="IntenseReference"/>
          <w:color w:val="auto"/>
        </w:rPr>
        <w:t xml:space="preserve"> </w:t>
      </w:r>
      <w:r w:rsidR="00C356AC">
        <w:rPr>
          <w:rStyle w:val="IntenseReference"/>
          <w:color w:val="auto"/>
        </w:rPr>
        <w:t>6</w:t>
      </w:r>
      <w:r w:rsidR="00C356AC" w:rsidRPr="002710DB">
        <w:rPr>
          <w:rStyle w:val="IntenseReference"/>
          <w:color w:val="auto"/>
        </w:rPr>
        <w:t xml:space="preserve"> </w:t>
      </w:r>
      <w:r w:rsidR="00823331">
        <w:rPr>
          <w:rStyle w:val="IntenseReference"/>
          <w:color w:val="auto"/>
        </w:rPr>
        <w:t>continued</w:t>
      </w:r>
    </w:p>
    <w:p w14:paraId="77873B5A" w14:textId="77777777" w:rsidR="00DA1B4E" w:rsidRDefault="00DA1B4E" w:rsidP="00406BD7">
      <w:pPr>
        <w:rPr>
          <w:color w:val="0070C0"/>
        </w:rPr>
      </w:pPr>
      <w:r>
        <w:rPr>
          <w:color w:val="0070C0"/>
        </w:rPr>
        <w:br w:type="page"/>
      </w:r>
    </w:p>
    <w:p w14:paraId="19FCD7AB" w14:textId="77777777" w:rsidR="008A1A24" w:rsidRPr="002710DB" w:rsidRDefault="008A1A24">
      <w:pPr>
        <w:rPr>
          <w:color w:val="0070C0"/>
        </w:rPr>
        <w:sectPr w:rsidR="008A1A24" w:rsidRPr="002710DB" w:rsidSect="000E5535">
          <w:pgSz w:w="16840" w:h="11907" w:orient="landscape" w:code="9"/>
          <w:pgMar w:top="993" w:right="1440" w:bottom="1134" w:left="1440" w:header="709" w:footer="709" w:gutter="0"/>
          <w:cols w:space="708"/>
          <w:docGrid w:linePitch="360"/>
        </w:sectPr>
      </w:pPr>
    </w:p>
    <w:p w14:paraId="13EA8B39" w14:textId="77777777" w:rsidR="001778B8" w:rsidRDefault="004922D2" w:rsidP="001778B8">
      <w:bookmarkStart w:id="497" w:name="_Toc358712538"/>
      <w:r>
        <w:rPr>
          <w:noProof/>
          <w:lang w:val="en-AU" w:eastAsia="en-AU"/>
        </w:rPr>
        <w:lastRenderedPageBreak/>
        <w:drawing>
          <wp:inline distT="0" distB="0" distL="0" distR="0" wp14:anchorId="01FBA776" wp14:editId="2E541E47">
            <wp:extent cx="8862078" cy="5039878"/>
            <wp:effectExtent l="0" t="0" r="0" b="8890"/>
            <wp:docPr id="239" name="Picture 239" descr="Figure A1 7: Coral disease by year in each region. Boxplots include the number of coral colonies suffering ongoing mortality attributed to either disease, sedimentation or ‘unknown causes’ for each reef, depth and year standardised to the reef and depth mean across years.  " title="Figure A1 7: Coral disease by year in each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al disease boxplots.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8862078" cy="5039878"/>
                    </a:xfrm>
                    <a:prstGeom prst="rect">
                      <a:avLst/>
                    </a:prstGeom>
                  </pic:spPr>
                </pic:pic>
              </a:graphicData>
            </a:graphic>
          </wp:inline>
        </w:drawing>
      </w:r>
      <w:bookmarkStart w:id="498" w:name="_Toc374701415"/>
      <w:bookmarkStart w:id="499" w:name="_Toc392929583"/>
      <w:bookmarkStart w:id="500" w:name="_Toc430268223"/>
    </w:p>
    <w:p w14:paraId="27EBC3DA" w14:textId="77777777" w:rsidR="006E3C16" w:rsidRPr="006E3C16" w:rsidRDefault="00823331" w:rsidP="00823331">
      <w:pPr>
        <w:pStyle w:val="Caption"/>
        <w:rPr>
          <w:vanish/>
        </w:rPr>
      </w:pPr>
      <w:bookmarkStart w:id="501" w:name="_Ref460423979"/>
      <w:bookmarkStart w:id="502" w:name="_Toc453243774"/>
      <w:bookmarkStart w:id="503" w:name="_Toc460491404"/>
      <w:r>
        <w:t xml:space="preserve">Figure A </w:t>
      </w:r>
      <w:r>
        <w:fldChar w:fldCharType="begin"/>
      </w:r>
      <w:r>
        <w:instrText xml:space="preserve"> SEQ Figure_A \* ARABIC </w:instrText>
      </w:r>
      <w:r>
        <w:fldChar w:fldCharType="separate"/>
      </w:r>
      <w:r w:rsidR="00B61881">
        <w:rPr>
          <w:noProof/>
        </w:rPr>
        <w:t>7</w:t>
      </w:r>
      <w:r>
        <w:fldChar w:fldCharType="end"/>
      </w:r>
      <w:bookmarkEnd w:id="501"/>
      <w:r w:rsidR="006E3C16">
        <w:t xml:space="preserve">: </w:t>
      </w:r>
      <w:r w:rsidR="0017016E">
        <w:t>Co</w:t>
      </w:r>
      <w:r w:rsidR="00E4136F">
        <w:t>r</w:t>
      </w:r>
      <w:r w:rsidR="0017016E">
        <w:t>al disease by year in each region</w:t>
      </w:r>
      <w:bookmarkEnd w:id="502"/>
      <w:bookmarkEnd w:id="503"/>
    </w:p>
    <w:p w14:paraId="1AC55A3D" w14:textId="77777777" w:rsidR="00CA2954" w:rsidRPr="00DE500F" w:rsidRDefault="008A1A24" w:rsidP="00E56CF1">
      <w:pPr>
        <w:pStyle w:val="Caption"/>
        <w:rPr>
          <w:rStyle w:val="IntenseReference"/>
          <w:rFonts w:eastAsia="SimSun"/>
        </w:rPr>
      </w:pPr>
      <w:r w:rsidRPr="00DE500F">
        <w:t>.</w:t>
      </w:r>
      <w:bookmarkEnd w:id="498"/>
      <w:bookmarkEnd w:id="499"/>
      <w:bookmarkEnd w:id="500"/>
      <w:r w:rsidRPr="00DE500F">
        <w:t xml:space="preserve"> </w:t>
      </w:r>
      <w:r w:rsidRPr="00DE500F">
        <w:rPr>
          <w:rStyle w:val="IntenseReference"/>
          <w:rFonts w:eastAsia="SimSun"/>
        </w:rPr>
        <w:t xml:space="preserve">Boxplots include the number of coral colonies suffering ongoing mortality attributed to either disease, sedimentation or ‘unknown causes’ for each reef, depth and year standardised to the reef and depth mean across years.  </w:t>
      </w:r>
    </w:p>
    <w:p w14:paraId="20239A0C" w14:textId="77777777" w:rsidR="000A241F" w:rsidRDefault="000A241F" w:rsidP="00833B1F">
      <w:pPr>
        <w:sectPr w:rsidR="000A241F" w:rsidSect="006608FC">
          <w:pgSz w:w="16840" w:h="11907" w:orient="landscape" w:code="9"/>
          <w:pgMar w:top="1134" w:right="1440" w:bottom="1134" w:left="1440" w:header="862" w:footer="720" w:gutter="0"/>
          <w:cols w:space="720"/>
          <w:docGrid w:linePitch="299"/>
        </w:sectPr>
      </w:pPr>
    </w:p>
    <w:p w14:paraId="10D98791" w14:textId="77777777" w:rsidR="001249B7" w:rsidRPr="001249B7" w:rsidRDefault="00680FBC" w:rsidP="00680FBC">
      <w:pPr>
        <w:pStyle w:val="Caption"/>
        <w:rPr>
          <w:vanish/>
        </w:rPr>
      </w:pPr>
      <w:bookmarkStart w:id="504" w:name="_Ref460423873"/>
      <w:bookmarkStart w:id="505" w:name="_Toc437424466"/>
      <w:bookmarkStart w:id="506" w:name="_Toc437424590"/>
      <w:bookmarkStart w:id="507" w:name="_Toc437432519"/>
      <w:bookmarkStart w:id="508" w:name="_Toc460491687"/>
      <w:r w:rsidRPr="00680FBC">
        <w:rPr>
          <w:rStyle w:val="Heading7Char"/>
          <w:rFonts w:eastAsia="SimSun"/>
        </w:rPr>
        <w:lastRenderedPageBreak/>
        <w:t xml:space="preserve">Table A </w:t>
      </w:r>
      <w:r w:rsidRPr="00680FBC">
        <w:rPr>
          <w:rStyle w:val="Heading7Char"/>
          <w:rFonts w:eastAsia="SimSun"/>
        </w:rPr>
        <w:fldChar w:fldCharType="begin"/>
      </w:r>
      <w:r w:rsidRPr="00680FBC">
        <w:rPr>
          <w:rStyle w:val="Heading7Char"/>
          <w:rFonts w:eastAsia="SimSun"/>
        </w:rPr>
        <w:instrText xml:space="preserve"> SEQ Table_A \* ARABIC </w:instrText>
      </w:r>
      <w:r w:rsidRPr="00680FBC">
        <w:rPr>
          <w:rStyle w:val="Heading7Char"/>
          <w:rFonts w:eastAsia="SimSun"/>
        </w:rPr>
        <w:fldChar w:fldCharType="separate"/>
      </w:r>
      <w:r w:rsidR="00B61881">
        <w:rPr>
          <w:rStyle w:val="Heading7Char"/>
          <w:rFonts w:eastAsia="SimSun"/>
          <w:noProof/>
        </w:rPr>
        <w:t>5</w:t>
      </w:r>
      <w:r w:rsidRPr="00680FBC">
        <w:rPr>
          <w:rStyle w:val="Heading7Char"/>
          <w:rFonts w:eastAsia="SimSun"/>
        </w:rPr>
        <w:fldChar w:fldCharType="end"/>
      </w:r>
      <w:bookmarkEnd w:id="504"/>
      <w:r w:rsidRPr="00680FBC">
        <w:rPr>
          <w:rStyle w:val="Heading7Char"/>
          <w:rFonts w:eastAsia="SimSun"/>
        </w:rPr>
        <w:t>:</w:t>
      </w:r>
      <w:r w:rsidR="001249B7" w:rsidRPr="00680FBC">
        <w:rPr>
          <w:rStyle w:val="Heading7Char"/>
          <w:rFonts w:eastAsia="SimSun"/>
        </w:rPr>
        <w:t xml:space="preserve"> </w:t>
      </w:r>
      <w:r w:rsidR="00FF1B38" w:rsidRPr="00680FBC">
        <w:rPr>
          <w:rStyle w:val="Heading7Char"/>
          <w:rFonts w:eastAsia="SimSun"/>
        </w:rPr>
        <w:t>Com</w:t>
      </w:r>
      <w:r w:rsidR="0033244F" w:rsidRPr="00680FBC">
        <w:rPr>
          <w:rStyle w:val="Heading7Char"/>
          <w:rFonts w:eastAsia="SimSun"/>
        </w:rPr>
        <w:t>position of h</w:t>
      </w:r>
      <w:r w:rsidR="00FF1B38" w:rsidRPr="00680FBC">
        <w:rPr>
          <w:rStyle w:val="Heading7Char"/>
          <w:rFonts w:eastAsia="SimSun"/>
        </w:rPr>
        <w:t>ard coral communities</w:t>
      </w:r>
      <w:r w:rsidR="00FF1B38" w:rsidRPr="002E2EB3">
        <w:t>.</w:t>
      </w:r>
      <w:bookmarkEnd w:id="505"/>
      <w:bookmarkEnd w:id="506"/>
      <w:bookmarkEnd w:id="507"/>
      <w:bookmarkEnd w:id="508"/>
      <w:r w:rsidR="001249B7">
        <w:t xml:space="preserve"> </w:t>
      </w:r>
    </w:p>
    <w:p w14:paraId="04328AEA" w14:textId="77777777" w:rsidR="00FF1B38" w:rsidRPr="001249B7" w:rsidRDefault="00FF1B38" w:rsidP="00E56CF1">
      <w:pPr>
        <w:pStyle w:val="Caption"/>
        <w:rPr>
          <w:rStyle w:val="IntenseReference"/>
          <w:rFonts w:eastAsia="SimSun"/>
        </w:rPr>
      </w:pPr>
      <w:r w:rsidRPr="001249B7">
        <w:rPr>
          <w:rStyle w:val="IntenseReference"/>
          <w:rFonts w:eastAsia="SimSun"/>
        </w:rPr>
        <w:t>Common genera of Hard corals (% cover) 2015, presented are genera for which cover exceeded 0.5% on at least one reef, rare or unidentified genera are grouped as “other”.</w:t>
      </w:r>
    </w:p>
    <w:tbl>
      <w:tblPr>
        <w:tblW w:w="1332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A1 5 Composition of Hard coral communities. "/>
        <w:tblDescription w:val="Table A1 5 Composition of Hard coral communities. Common genera of Hard corals (% cover) 2015, presented are genera for which cover exceeded 0.5% on at least one reef, rare or unidentified genera are grouped as “other”."/>
      </w:tblPr>
      <w:tblGrid>
        <w:gridCol w:w="545"/>
        <w:gridCol w:w="1649"/>
        <w:gridCol w:w="438"/>
        <w:gridCol w:w="307"/>
        <w:gridCol w:w="301"/>
        <w:gridCol w:w="301"/>
        <w:gridCol w:w="301"/>
        <w:gridCol w:w="301"/>
        <w:gridCol w:w="301"/>
        <w:gridCol w:w="379"/>
        <w:gridCol w:w="302"/>
        <w:gridCol w:w="302"/>
        <w:gridCol w:w="302"/>
        <w:gridCol w:w="302"/>
        <w:gridCol w:w="302"/>
        <w:gridCol w:w="302"/>
        <w:gridCol w:w="302"/>
        <w:gridCol w:w="302"/>
        <w:gridCol w:w="302"/>
        <w:gridCol w:w="302"/>
        <w:gridCol w:w="302"/>
        <w:gridCol w:w="343"/>
        <w:gridCol w:w="302"/>
        <w:gridCol w:w="302"/>
        <w:gridCol w:w="302"/>
        <w:gridCol w:w="302"/>
        <w:gridCol w:w="302"/>
        <w:gridCol w:w="302"/>
        <w:gridCol w:w="302"/>
        <w:gridCol w:w="302"/>
        <w:gridCol w:w="369"/>
        <w:gridCol w:w="302"/>
        <w:gridCol w:w="302"/>
        <w:gridCol w:w="302"/>
        <w:gridCol w:w="302"/>
        <w:gridCol w:w="405"/>
        <w:gridCol w:w="439"/>
      </w:tblGrid>
      <w:tr w:rsidR="00DD4BB0" w:rsidRPr="002E2EB3" w14:paraId="79330337" w14:textId="77777777" w:rsidTr="009276CC">
        <w:trPr>
          <w:trHeight w:val="1380"/>
        </w:trPr>
        <w:tc>
          <w:tcPr>
            <w:tcW w:w="529" w:type="dxa"/>
            <w:shd w:val="clear" w:color="auto" w:fill="F2F2F2" w:themeFill="background1" w:themeFillShade="F2"/>
            <w:noWrap/>
            <w:tcMar>
              <w:left w:w="0" w:type="dxa"/>
              <w:right w:w="0" w:type="dxa"/>
            </w:tcMar>
            <w:textDirection w:val="btLr"/>
            <w:vAlign w:val="center"/>
            <w:hideMark/>
          </w:tcPr>
          <w:p w14:paraId="2207E031"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sub/Region</w:t>
            </w:r>
          </w:p>
        </w:tc>
        <w:tc>
          <w:tcPr>
            <w:tcW w:w="1597" w:type="dxa"/>
            <w:shd w:val="clear" w:color="auto" w:fill="F2F2F2" w:themeFill="background1" w:themeFillShade="F2"/>
            <w:noWrap/>
            <w:tcMar>
              <w:left w:w="0" w:type="dxa"/>
              <w:right w:w="0" w:type="dxa"/>
            </w:tcMar>
            <w:vAlign w:val="center"/>
            <w:hideMark/>
          </w:tcPr>
          <w:p w14:paraId="23307F9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Reef</w:t>
            </w:r>
          </w:p>
        </w:tc>
        <w:tc>
          <w:tcPr>
            <w:tcW w:w="425" w:type="dxa"/>
            <w:shd w:val="clear" w:color="auto" w:fill="F2F2F2" w:themeFill="background1" w:themeFillShade="F2"/>
            <w:noWrap/>
            <w:tcMar>
              <w:left w:w="0" w:type="dxa"/>
              <w:right w:w="0" w:type="dxa"/>
            </w:tcMar>
            <w:textDirection w:val="btLr"/>
            <w:vAlign w:val="center"/>
            <w:hideMark/>
          </w:tcPr>
          <w:p w14:paraId="169B516C"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DEPTH</w:t>
            </w:r>
          </w:p>
        </w:tc>
        <w:tc>
          <w:tcPr>
            <w:tcW w:w="298" w:type="dxa"/>
            <w:shd w:val="clear" w:color="auto" w:fill="F2F2F2" w:themeFill="background1" w:themeFillShade="F2"/>
            <w:noWrap/>
            <w:tcMar>
              <w:left w:w="0" w:type="dxa"/>
              <w:right w:w="0" w:type="dxa"/>
            </w:tcMar>
            <w:textDirection w:val="btLr"/>
            <w:vAlign w:val="center"/>
            <w:hideMark/>
          </w:tcPr>
          <w:p w14:paraId="5F8F4AF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Acropora</w:t>
            </w:r>
          </w:p>
        </w:tc>
        <w:tc>
          <w:tcPr>
            <w:tcW w:w="292" w:type="dxa"/>
            <w:shd w:val="clear" w:color="auto" w:fill="F2F2F2" w:themeFill="background1" w:themeFillShade="F2"/>
            <w:noWrap/>
            <w:tcMar>
              <w:left w:w="0" w:type="dxa"/>
              <w:right w:w="0" w:type="dxa"/>
            </w:tcMar>
            <w:textDirection w:val="btLr"/>
            <w:vAlign w:val="center"/>
            <w:hideMark/>
          </w:tcPr>
          <w:p w14:paraId="173CB2F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Alveopora</w:t>
            </w:r>
          </w:p>
        </w:tc>
        <w:tc>
          <w:tcPr>
            <w:tcW w:w="292" w:type="dxa"/>
            <w:shd w:val="clear" w:color="auto" w:fill="F2F2F2" w:themeFill="background1" w:themeFillShade="F2"/>
            <w:noWrap/>
            <w:tcMar>
              <w:left w:w="0" w:type="dxa"/>
              <w:right w:w="0" w:type="dxa"/>
            </w:tcMar>
            <w:textDirection w:val="btLr"/>
            <w:vAlign w:val="center"/>
            <w:hideMark/>
          </w:tcPr>
          <w:p w14:paraId="0EA971A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Caulastrea</w:t>
            </w:r>
          </w:p>
        </w:tc>
        <w:tc>
          <w:tcPr>
            <w:tcW w:w="292" w:type="dxa"/>
            <w:shd w:val="clear" w:color="auto" w:fill="F2F2F2" w:themeFill="background1" w:themeFillShade="F2"/>
            <w:noWrap/>
            <w:tcMar>
              <w:left w:w="0" w:type="dxa"/>
              <w:right w:w="0" w:type="dxa"/>
            </w:tcMar>
            <w:textDirection w:val="btLr"/>
            <w:vAlign w:val="center"/>
            <w:hideMark/>
          </w:tcPr>
          <w:p w14:paraId="157A3D62"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Cyphastrea</w:t>
            </w:r>
          </w:p>
        </w:tc>
        <w:tc>
          <w:tcPr>
            <w:tcW w:w="292" w:type="dxa"/>
            <w:shd w:val="clear" w:color="auto" w:fill="F2F2F2" w:themeFill="background1" w:themeFillShade="F2"/>
            <w:noWrap/>
            <w:tcMar>
              <w:left w:w="0" w:type="dxa"/>
              <w:right w:w="0" w:type="dxa"/>
            </w:tcMar>
            <w:textDirection w:val="btLr"/>
            <w:vAlign w:val="center"/>
            <w:hideMark/>
          </w:tcPr>
          <w:p w14:paraId="0D919C0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Diploastrea</w:t>
            </w:r>
          </w:p>
        </w:tc>
        <w:tc>
          <w:tcPr>
            <w:tcW w:w="292" w:type="dxa"/>
            <w:shd w:val="clear" w:color="auto" w:fill="F2F2F2" w:themeFill="background1" w:themeFillShade="F2"/>
            <w:noWrap/>
            <w:tcMar>
              <w:left w:w="0" w:type="dxa"/>
              <w:right w:w="0" w:type="dxa"/>
            </w:tcMar>
            <w:textDirection w:val="btLr"/>
            <w:vAlign w:val="center"/>
            <w:hideMark/>
          </w:tcPr>
          <w:p w14:paraId="261BF165"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Echinophyllia</w:t>
            </w:r>
          </w:p>
        </w:tc>
        <w:tc>
          <w:tcPr>
            <w:tcW w:w="368" w:type="dxa"/>
            <w:shd w:val="clear" w:color="auto" w:fill="F2F2F2" w:themeFill="background1" w:themeFillShade="F2"/>
            <w:noWrap/>
            <w:tcMar>
              <w:left w:w="0" w:type="dxa"/>
              <w:right w:w="0" w:type="dxa"/>
            </w:tcMar>
            <w:textDirection w:val="btLr"/>
            <w:vAlign w:val="center"/>
            <w:hideMark/>
          </w:tcPr>
          <w:p w14:paraId="1908674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Echinopora</w:t>
            </w:r>
          </w:p>
        </w:tc>
        <w:tc>
          <w:tcPr>
            <w:tcW w:w="292" w:type="dxa"/>
            <w:shd w:val="clear" w:color="auto" w:fill="F2F2F2" w:themeFill="background1" w:themeFillShade="F2"/>
            <w:noWrap/>
            <w:tcMar>
              <w:left w:w="0" w:type="dxa"/>
              <w:right w:w="0" w:type="dxa"/>
            </w:tcMar>
            <w:textDirection w:val="btLr"/>
            <w:vAlign w:val="center"/>
            <w:hideMark/>
          </w:tcPr>
          <w:p w14:paraId="726F532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Favia</w:t>
            </w:r>
          </w:p>
        </w:tc>
        <w:tc>
          <w:tcPr>
            <w:tcW w:w="292" w:type="dxa"/>
            <w:shd w:val="clear" w:color="auto" w:fill="F2F2F2" w:themeFill="background1" w:themeFillShade="F2"/>
            <w:noWrap/>
            <w:tcMar>
              <w:left w:w="0" w:type="dxa"/>
              <w:right w:w="0" w:type="dxa"/>
            </w:tcMar>
            <w:textDirection w:val="btLr"/>
            <w:vAlign w:val="center"/>
            <w:hideMark/>
          </w:tcPr>
          <w:p w14:paraId="33D6E8A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Favites</w:t>
            </w:r>
          </w:p>
        </w:tc>
        <w:tc>
          <w:tcPr>
            <w:tcW w:w="292" w:type="dxa"/>
            <w:shd w:val="clear" w:color="auto" w:fill="F2F2F2" w:themeFill="background1" w:themeFillShade="F2"/>
            <w:noWrap/>
            <w:tcMar>
              <w:left w:w="0" w:type="dxa"/>
              <w:right w:w="0" w:type="dxa"/>
            </w:tcMar>
            <w:textDirection w:val="btLr"/>
            <w:vAlign w:val="center"/>
            <w:hideMark/>
          </w:tcPr>
          <w:p w14:paraId="56A6FE97"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Fungia</w:t>
            </w:r>
          </w:p>
        </w:tc>
        <w:tc>
          <w:tcPr>
            <w:tcW w:w="292" w:type="dxa"/>
            <w:shd w:val="clear" w:color="auto" w:fill="F2F2F2" w:themeFill="background1" w:themeFillShade="F2"/>
            <w:noWrap/>
            <w:tcMar>
              <w:left w:w="0" w:type="dxa"/>
              <w:right w:w="0" w:type="dxa"/>
            </w:tcMar>
            <w:textDirection w:val="btLr"/>
            <w:vAlign w:val="center"/>
            <w:hideMark/>
          </w:tcPr>
          <w:p w14:paraId="5F81D719"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Galaxea</w:t>
            </w:r>
          </w:p>
        </w:tc>
        <w:tc>
          <w:tcPr>
            <w:tcW w:w="292" w:type="dxa"/>
            <w:shd w:val="clear" w:color="auto" w:fill="F2F2F2" w:themeFill="background1" w:themeFillShade="F2"/>
            <w:noWrap/>
            <w:tcMar>
              <w:left w:w="0" w:type="dxa"/>
              <w:right w:w="0" w:type="dxa"/>
            </w:tcMar>
            <w:textDirection w:val="btLr"/>
            <w:vAlign w:val="center"/>
            <w:hideMark/>
          </w:tcPr>
          <w:p w14:paraId="1325B7AC"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Goniastrea</w:t>
            </w:r>
          </w:p>
        </w:tc>
        <w:tc>
          <w:tcPr>
            <w:tcW w:w="292" w:type="dxa"/>
            <w:shd w:val="clear" w:color="auto" w:fill="F2F2F2" w:themeFill="background1" w:themeFillShade="F2"/>
            <w:noWrap/>
            <w:tcMar>
              <w:left w:w="0" w:type="dxa"/>
              <w:right w:w="0" w:type="dxa"/>
            </w:tcMar>
            <w:textDirection w:val="btLr"/>
            <w:vAlign w:val="center"/>
            <w:hideMark/>
          </w:tcPr>
          <w:p w14:paraId="2903EFF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Goniopora</w:t>
            </w:r>
          </w:p>
        </w:tc>
        <w:tc>
          <w:tcPr>
            <w:tcW w:w="292" w:type="dxa"/>
            <w:shd w:val="clear" w:color="auto" w:fill="F2F2F2" w:themeFill="background1" w:themeFillShade="F2"/>
            <w:noWrap/>
            <w:tcMar>
              <w:left w:w="0" w:type="dxa"/>
              <w:right w:w="0" w:type="dxa"/>
            </w:tcMar>
            <w:textDirection w:val="btLr"/>
            <w:vAlign w:val="center"/>
            <w:hideMark/>
          </w:tcPr>
          <w:p w14:paraId="1718BBB5"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Hydnophora</w:t>
            </w:r>
          </w:p>
        </w:tc>
        <w:tc>
          <w:tcPr>
            <w:tcW w:w="292" w:type="dxa"/>
            <w:shd w:val="clear" w:color="auto" w:fill="F2F2F2" w:themeFill="background1" w:themeFillShade="F2"/>
            <w:noWrap/>
            <w:tcMar>
              <w:left w:w="0" w:type="dxa"/>
              <w:right w:w="0" w:type="dxa"/>
            </w:tcMar>
            <w:textDirection w:val="btLr"/>
            <w:vAlign w:val="center"/>
            <w:hideMark/>
          </w:tcPr>
          <w:p w14:paraId="2AE5C959"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Leptoseris</w:t>
            </w:r>
          </w:p>
        </w:tc>
        <w:tc>
          <w:tcPr>
            <w:tcW w:w="292" w:type="dxa"/>
            <w:shd w:val="clear" w:color="auto" w:fill="F2F2F2" w:themeFill="background1" w:themeFillShade="F2"/>
            <w:noWrap/>
            <w:tcMar>
              <w:left w:w="0" w:type="dxa"/>
              <w:right w:w="0" w:type="dxa"/>
            </w:tcMar>
            <w:textDirection w:val="btLr"/>
            <w:vAlign w:val="center"/>
            <w:hideMark/>
          </w:tcPr>
          <w:p w14:paraId="4C6A36D2"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Lobophyllia</w:t>
            </w:r>
          </w:p>
        </w:tc>
        <w:tc>
          <w:tcPr>
            <w:tcW w:w="292" w:type="dxa"/>
            <w:shd w:val="clear" w:color="auto" w:fill="F2F2F2" w:themeFill="background1" w:themeFillShade="F2"/>
            <w:noWrap/>
            <w:tcMar>
              <w:left w:w="0" w:type="dxa"/>
              <w:right w:w="0" w:type="dxa"/>
            </w:tcMar>
            <w:textDirection w:val="btLr"/>
            <w:vAlign w:val="center"/>
            <w:hideMark/>
          </w:tcPr>
          <w:p w14:paraId="21C5E7D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Merulina</w:t>
            </w:r>
          </w:p>
        </w:tc>
        <w:tc>
          <w:tcPr>
            <w:tcW w:w="292" w:type="dxa"/>
            <w:shd w:val="clear" w:color="auto" w:fill="F2F2F2" w:themeFill="background1" w:themeFillShade="F2"/>
            <w:noWrap/>
            <w:tcMar>
              <w:left w:w="0" w:type="dxa"/>
              <w:right w:w="0" w:type="dxa"/>
            </w:tcMar>
            <w:textDirection w:val="btLr"/>
            <w:vAlign w:val="center"/>
            <w:hideMark/>
          </w:tcPr>
          <w:p w14:paraId="405AE204"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Montipora</w:t>
            </w:r>
          </w:p>
        </w:tc>
        <w:tc>
          <w:tcPr>
            <w:tcW w:w="332" w:type="dxa"/>
            <w:shd w:val="clear" w:color="auto" w:fill="F2F2F2" w:themeFill="background1" w:themeFillShade="F2"/>
            <w:noWrap/>
            <w:tcMar>
              <w:left w:w="0" w:type="dxa"/>
              <w:right w:w="0" w:type="dxa"/>
            </w:tcMar>
            <w:textDirection w:val="btLr"/>
            <w:vAlign w:val="center"/>
            <w:hideMark/>
          </w:tcPr>
          <w:p w14:paraId="799D89EB"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Mycedium</w:t>
            </w:r>
          </w:p>
        </w:tc>
        <w:tc>
          <w:tcPr>
            <w:tcW w:w="292" w:type="dxa"/>
            <w:shd w:val="clear" w:color="auto" w:fill="F2F2F2" w:themeFill="background1" w:themeFillShade="F2"/>
            <w:noWrap/>
            <w:tcMar>
              <w:left w:w="0" w:type="dxa"/>
              <w:right w:w="0" w:type="dxa"/>
            </w:tcMar>
            <w:textDirection w:val="btLr"/>
            <w:vAlign w:val="center"/>
            <w:hideMark/>
          </w:tcPr>
          <w:p w14:paraId="2BC0EDB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Oxypora</w:t>
            </w:r>
          </w:p>
        </w:tc>
        <w:tc>
          <w:tcPr>
            <w:tcW w:w="292" w:type="dxa"/>
            <w:shd w:val="clear" w:color="auto" w:fill="F2F2F2" w:themeFill="background1" w:themeFillShade="F2"/>
            <w:noWrap/>
            <w:tcMar>
              <w:left w:w="0" w:type="dxa"/>
              <w:right w:w="0" w:type="dxa"/>
            </w:tcMar>
            <w:textDirection w:val="btLr"/>
            <w:vAlign w:val="center"/>
            <w:hideMark/>
          </w:tcPr>
          <w:p w14:paraId="236D3EC2"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Pachyseris</w:t>
            </w:r>
          </w:p>
        </w:tc>
        <w:tc>
          <w:tcPr>
            <w:tcW w:w="292" w:type="dxa"/>
            <w:shd w:val="clear" w:color="auto" w:fill="F2F2F2" w:themeFill="background1" w:themeFillShade="F2"/>
            <w:noWrap/>
            <w:tcMar>
              <w:left w:w="0" w:type="dxa"/>
              <w:right w:w="0" w:type="dxa"/>
            </w:tcMar>
            <w:textDirection w:val="btLr"/>
            <w:vAlign w:val="center"/>
            <w:hideMark/>
          </w:tcPr>
          <w:p w14:paraId="310D5CD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Pavona</w:t>
            </w:r>
          </w:p>
        </w:tc>
        <w:tc>
          <w:tcPr>
            <w:tcW w:w="292" w:type="dxa"/>
            <w:shd w:val="clear" w:color="auto" w:fill="F2F2F2" w:themeFill="background1" w:themeFillShade="F2"/>
            <w:noWrap/>
            <w:tcMar>
              <w:left w:w="0" w:type="dxa"/>
              <w:right w:w="0" w:type="dxa"/>
            </w:tcMar>
            <w:textDirection w:val="btLr"/>
            <w:vAlign w:val="center"/>
            <w:hideMark/>
          </w:tcPr>
          <w:p w14:paraId="68AE643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Pectinia</w:t>
            </w:r>
          </w:p>
        </w:tc>
        <w:tc>
          <w:tcPr>
            <w:tcW w:w="292" w:type="dxa"/>
            <w:shd w:val="clear" w:color="auto" w:fill="F2F2F2" w:themeFill="background1" w:themeFillShade="F2"/>
            <w:noWrap/>
            <w:tcMar>
              <w:left w:w="0" w:type="dxa"/>
              <w:right w:w="0" w:type="dxa"/>
            </w:tcMar>
            <w:textDirection w:val="btLr"/>
            <w:vAlign w:val="center"/>
            <w:hideMark/>
          </w:tcPr>
          <w:p w14:paraId="054764DB"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Platygyra</w:t>
            </w:r>
          </w:p>
        </w:tc>
        <w:tc>
          <w:tcPr>
            <w:tcW w:w="292" w:type="dxa"/>
            <w:shd w:val="clear" w:color="auto" w:fill="F2F2F2" w:themeFill="background1" w:themeFillShade="F2"/>
            <w:noWrap/>
            <w:tcMar>
              <w:left w:w="0" w:type="dxa"/>
              <w:right w:w="0" w:type="dxa"/>
            </w:tcMar>
            <w:textDirection w:val="btLr"/>
            <w:vAlign w:val="center"/>
            <w:hideMark/>
          </w:tcPr>
          <w:p w14:paraId="1EF4D4FE"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Pleisiastrea</w:t>
            </w:r>
          </w:p>
        </w:tc>
        <w:tc>
          <w:tcPr>
            <w:tcW w:w="292" w:type="dxa"/>
            <w:shd w:val="clear" w:color="auto" w:fill="F2F2F2" w:themeFill="background1" w:themeFillShade="F2"/>
            <w:noWrap/>
            <w:tcMar>
              <w:left w:w="0" w:type="dxa"/>
              <w:right w:w="0" w:type="dxa"/>
            </w:tcMar>
            <w:textDirection w:val="btLr"/>
            <w:vAlign w:val="center"/>
            <w:hideMark/>
          </w:tcPr>
          <w:p w14:paraId="319BC6E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Pocillopora</w:t>
            </w:r>
          </w:p>
        </w:tc>
        <w:tc>
          <w:tcPr>
            <w:tcW w:w="292" w:type="dxa"/>
            <w:shd w:val="clear" w:color="auto" w:fill="F2F2F2" w:themeFill="background1" w:themeFillShade="F2"/>
            <w:noWrap/>
            <w:tcMar>
              <w:left w:w="0" w:type="dxa"/>
              <w:right w:w="0" w:type="dxa"/>
            </w:tcMar>
            <w:textDirection w:val="btLr"/>
            <w:vAlign w:val="center"/>
            <w:hideMark/>
          </w:tcPr>
          <w:p w14:paraId="402B43D8"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Podobacia</w:t>
            </w:r>
          </w:p>
        </w:tc>
        <w:tc>
          <w:tcPr>
            <w:tcW w:w="357" w:type="dxa"/>
            <w:shd w:val="clear" w:color="auto" w:fill="F2F2F2" w:themeFill="background1" w:themeFillShade="F2"/>
            <w:noWrap/>
            <w:tcMar>
              <w:left w:w="0" w:type="dxa"/>
              <w:right w:w="0" w:type="dxa"/>
            </w:tcMar>
            <w:textDirection w:val="btLr"/>
            <w:vAlign w:val="center"/>
            <w:hideMark/>
          </w:tcPr>
          <w:p w14:paraId="56D695D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Porites</w:t>
            </w:r>
          </w:p>
        </w:tc>
        <w:tc>
          <w:tcPr>
            <w:tcW w:w="292" w:type="dxa"/>
            <w:shd w:val="clear" w:color="auto" w:fill="F2F2F2" w:themeFill="background1" w:themeFillShade="F2"/>
            <w:noWrap/>
            <w:tcMar>
              <w:left w:w="0" w:type="dxa"/>
              <w:right w:w="0" w:type="dxa"/>
            </w:tcMar>
            <w:textDirection w:val="btLr"/>
            <w:vAlign w:val="center"/>
            <w:hideMark/>
          </w:tcPr>
          <w:p w14:paraId="013EB02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Psammocora</w:t>
            </w:r>
          </w:p>
        </w:tc>
        <w:tc>
          <w:tcPr>
            <w:tcW w:w="292" w:type="dxa"/>
            <w:shd w:val="clear" w:color="auto" w:fill="F2F2F2" w:themeFill="background1" w:themeFillShade="F2"/>
            <w:noWrap/>
            <w:tcMar>
              <w:left w:w="0" w:type="dxa"/>
              <w:right w:w="0" w:type="dxa"/>
            </w:tcMar>
            <w:textDirection w:val="btLr"/>
            <w:vAlign w:val="center"/>
            <w:hideMark/>
          </w:tcPr>
          <w:p w14:paraId="5CF7616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Seriatopora</w:t>
            </w:r>
          </w:p>
        </w:tc>
        <w:tc>
          <w:tcPr>
            <w:tcW w:w="292" w:type="dxa"/>
            <w:shd w:val="clear" w:color="auto" w:fill="F2F2F2" w:themeFill="background1" w:themeFillShade="F2"/>
            <w:noWrap/>
            <w:tcMar>
              <w:left w:w="0" w:type="dxa"/>
              <w:right w:w="0" w:type="dxa"/>
            </w:tcMar>
            <w:textDirection w:val="btLr"/>
            <w:vAlign w:val="center"/>
            <w:hideMark/>
          </w:tcPr>
          <w:p w14:paraId="196001C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Stylophora</w:t>
            </w:r>
          </w:p>
        </w:tc>
        <w:tc>
          <w:tcPr>
            <w:tcW w:w="292" w:type="dxa"/>
            <w:shd w:val="clear" w:color="auto" w:fill="F2F2F2" w:themeFill="background1" w:themeFillShade="F2"/>
            <w:noWrap/>
            <w:tcMar>
              <w:left w:w="0" w:type="dxa"/>
              <w:right w:w="0" w:type="dxa"/>
            </w:tcMar>
            <w:textDirection w:val="btLr"/>
            <w:vAlign w:val="center"/>
            <w:hideMark/>
          </w:tcPr>
          <w:p w14:paraId="133153C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Symphyllia</w:t>
            </w:r>
          </w:p>
        </w:tc>
        <w:tc>
          <w:tcPr>
            <w:tcW w:w="392" w:type="dxa"/>
            <w:shd w:val="clear" w:color="auto" w:fill="F2F2F2" w:themeFill="background1" w:themeFillShade="F2"/>
            <w:noWrap/>
            <w:tcMar>
              <w:left w:w="0" w:type="dxa"/>
              <w:right w:w="0" w:type="dxa"/>
            </w:tcMar>
            <w:textDirection w:val="btLr"/>
            <w:vAlign w:val="center"/>
            <w:hideMark/>
          </w:tcPr>
          <w:p w14:paraId="66672E3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Turbinaria</w:t>
            </w:r>
          </w:p>
        </w:tc>
        <w:tc>
          <w:tcPr>
            <w:tcW w:w="425" w:type="dxa"/>
            <w:shd w:val="clear" w:color="auto" w:fill="F2F2F2" w:themeFill="background1" w:themeFillShade="F2"/>
            <w:noWrap/>
            <w:tcMar>
              <w:left w:w="0" w:type="dxa"/>
              <w:right w:w="0" w:type="dxa"/>
            </w:tcMar>
            <w:textDirection w:val="btLr"/>
            <w:vAlign w:val="center"/>
            <w:hideMark/>
          </w:tcPr>
          <w:p w14:paraId="1F64CDAC" w14:textId="77777777" w:rsidR="00FF1B38" w:rsidRPr="002E2EB3" w:rsidRDefault="00FF1B38" w:rsidP="009276CC">
            <w:pPr>
              <w:spacing w:after="0"/>
              <w:jc w:val="center"/>
              <w:rPr>
                <w:rFonts w:ascii="Calibri" w:hAnsi="Calibri"/>
                <w:color w:val="000000"/>
                <w:szCs w:val="22"/>
                <w:lang w:val="en-AU" w:eastAsia="en-AU"/>
              </w:rPr>
            </w:pPr>
            <w:r w:rsidRPr="002E2EB3">
              <w:rPr>
                <w:rFonts w:ascii="Calibri" w:hAnsi="Calibri"/>
                <w:color w:val="000000"/>
                <w:szCs w:val="22"/>
                <w:lang w:val="en-AU" w:eastAsia="en-AU"/>
              </w:rPr>
              <w:t>Other</w:t>
            </w:r>
          </w:p>
        </w:tc>
      </w:tr>
      <w:tr w:rsidR="00FF1B38" w:rsidRPr="002E2EB3" w14:paraId="135F261D" w14:textId="77777777" w:rsidTr="009276CC">
        <w:trPr>
          <w:trHeight w:val="300"/>
        </w:trPr>
        <w:tc>
          <w:tcPr>
            <w:tcW w:w="529" w:type="dxa"/>
            <w:vMerge w:val="restart"/>
            <w:shd w:val="clear" w:color="auto" w:fill="auto"/>
            <w:noWrap/>
            <w:tcMar>
              <w:left w:w="0" w:type="dxa"/>
              <w:right w:w="0" w:type="dxa"/>
            </w:tcMar>
            <w:textDirection w:val="btLr"/>
            <w:vAlign w:val="center"/>
            <w:hideMark/>
          </w:tcPr>
          <w:p w14:paraId="350F5CF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Barron Daintree</w:t>
            </w:r>
          </w:p>
        </w:tc>
        <w:tc>
          <w:tcPr>
            <w:tcW w:w="1597" w:type="dxa"/>
            <w:vMerge w:val="restart"/>
            <w:shd w:val="clear" w:color="auto" w:fill="auto"/>
            <w:noWrap/>
            <w:tcMar>
              <w:left w:w="0" w:type="dxa"/>
              <w:right w:w="0" w:type="dxa"/>
            </w:tcMar>
            <w:vAlign w:val="center"/>
            <w:hideMark/>
          </w:tcPr>
          <w:p w14:paraId="296EB05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Snapper North</w:t>
            </w:r>
          </w:p>
        </w:tc>
        <w:tc>
          <w:tcPr>
            <w:tcW w:w="425" w:type="dxa"/>
            <w:shd w:val="clear" w:color="auto" w:fill="auto"/>
            <w:noWrap/>
            <w:tcMar>
              <w:left w:w="0" w:type="dxa"/>
              <w:right w:w="0" w:type="dxa"/>
            </w:tcMar>
            <w:vAlign w:val="center"/>
            <w:hideMark/>
          </w:tcPr>
          <w:p w14:paraId="16710647"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298" w:type="dxa"/>
            <w:shd w:val="clear" w:color="auto" w:fill="auto"/>
            <w:noWrap/>
            <w:tcMar>
              <w:left w:w="0" w:type="dxa"/>
              <w:right w:w="0" w:type="dxa"/>
            </w:tcMar>
            <w:vAlign w:val="center"/>
            <w:hideMark/>
          </w:tcPr>
          <w:p w14:paraId="090A9C8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1.92</w:t>
            </w:r>
          </w:p>
        </w:tc>
        <w:tc>
          <w:tcPr>
            <w:tcW w:w="292" w:type="dxa"/>
            <w:shd w:val="clear" w:color="auto" w:fill="auto"/>
            <w:noWrap/>
            <w:tcMar>
              <w:left w:w="0" w:type="dxa"/>
              <w:right w:w="0" w:type="dxa"/>
            </w:tcMar>
            <w:vAlign w:val="center"/>
            <w:hideMark/>
          </w:tcPr>
          <w:p w14:paraId="772291A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43A5B2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DC7DCE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7718B4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9F970C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61681C1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7209A4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6FC550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957BB0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0.08</w:t>
            </w:r>
          </w:p>
        </w:tc>
        <w:tc>
          <w:tcPr>
            <w:tcW w:w="292" w:type="dxa"/>
            <w:shd w:val="clear" w:color="auto" w:fill="auto"/>
            <w:noWrap/>
            <w:tcMar>
              <w:left w:w="0" w:type="dxa"/>
              <w:right w:w="0" w:type="dxa"/>
            </w:tcMar>
            <w:vAlign w:val="center"/>
            <w:hideMark/>
          </w:tcPr>
          <w:p w14:paraId="45AFA7C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EC4771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21AEDC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0.04</w:t>
            </w:r>
          </w:p>
        </w:tc>
        <w:tc>
          <w:tcPr>
            <w:tcW w:w="292" w:type="dxa"/>
            <w:shd w:val="clear" w:color="auto" w:fill="auto"/>
            <w:noWrap/>
            <w:tcMar>
              <w:left w:w="0" w:type="dxa"/>
              <w:right w:w="0" w:type="dxa"/>
            </w:tcMar>
            <w:vAlign w:val="center"/>
            <w:hideMark/>
          </w:tcPr>
          <w:p w14:paraId="6E21AFF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D6825B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F7BC3E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A1780B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2B283E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32" w:type="dxa"/>
            <w:shd w:val="clear" w:color="auto" w:fill="auto"/>
            <w:noWrap/>
            <w:tcMar>
              <w:left w:w="0" w:type="dxa"/>
              <w:right w:w="0" w:type="dxa"/>
            </w:tcMar>
            <w:vAlign w:val="center"/>
            <w:hideMark/>
          </w:tcPr>
          <w:p w14:paraId="557A824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7E44CA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C5CCC3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F12A93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9F2004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401ECE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8EA217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9130AB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0.04</w:t>
            </w:r>
          </w:p>
        </w:tc>
        <w:tc>
          <w:tcPr>
            <w:tcW w:w="292" w:type="dxa"/>
            <w:shd w:val="clear" w:color="auto" w:fill="auto"/>
            <w:noWrap/>
            <w:tcMar>
              <w:left w:w="0" w:type="dxa"/>
              <w:right w:w="0" w:type="dxa"/>
            </w:tcMar>
            <w:vAlign w:val="center"/>
            <w:hideMark/>
          </w:tcPr>
          <w:p w14:paraId="3A8E7CD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07595CE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A4E580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A94926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0.04</w:t>
            </w:r>
          </w:p>
        </w:tc>
        <w:tc>
          <w:tcPr>
            <w:tcW w:w="292" w:type="dxa"/>
            <w:shd w:val="clear" w:color="auto" w:fill="auto"/>
            <w:noWrap/>
            <w:tcMar>
              <w:left w:w="0" w:type="dxa"/>
              <w:right w:w="0" w:type="dxa"/>
            </w:tcMar>
            <w:vAlign w:val="center"/>
            <w:hideMark/>
          </w:tcPr>
          <w:p w14:paraId="30C2908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32E792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18EADAA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shd w:val="clear" w:color="auto" w:fill="auto"/>
            <w:noWrap/>
            <w:tcMar>
              <w:left w:w="0" w:type="dxa"/>
              <w:right w:w="0" w:type="dxa"/>
            </w:tcMar>
            <w:vAlign w:val="center"/>
            <w:hideMark/>
          </w:tcPr>
          <w:p w14:paraId="04D2504C"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6AE18BA5" w14:textId="77777777" w:rsidTr="009276CC">
        <w:trPr>
          <w:trHeight w:val="300"/>
        </w:trPr>
        <w:tc>
          <w:tcPr>
            <w:tcW w:w="529" w:type="dxa"/>
            <w:vMerge/>
            <w:tcMar>
              <w:left w:w="0" w:type="dxa"/>
              <w:right w:w="0" w:type="dxa"/>
            </w:tcMar>
            <w:vAlign w:val="center"/>
            <w:hideMark/>
          </w:tcPr>
          <w:p w14:paraId="4445EA58" w14:textId="77777777" w:rsidR="00FF1B38" w:rsidRPr="002E2EB3" w:rsidRDefault="00FF1B38" w:rsidP="009276CC">
            <w:pPr>
              <w:spacing w:after="0"/>
              <w:rPr>
                <w:rFonts w:ascii="Arial Narrow" w:hAnsi="Arial Narrow"/>
                <w:color w:val="000000"/>
                <w:sz w:val="20"/>
                <w:lang w:val="en-AU" w:eastAsia="en-AU"/>
              </w:rPr>
            </w:pPr>
          </w:p>
        </w:tc>
        <w:tc>
          <w:tcPr>
            <w:tcW w:w="1597" w:type="dxa"/>
            <w:vMerge/>
            <w:shd w:val="clear" w:color="auto" w:fill="auto"/>
            <w:noWrap/>
            <w:tcMar>
              <w:left w:w="0" w:type="dxa"/>
              <w:right w:w="0" w:type="dxa"/>
            </w:tcMar>
            <w:vAlign w:val="center"/>
            <w:hideMark/>
          </w:tcPr>
          <w:p w14:paraId="493C1A92" w14:textId="77777777" w:rsidR="00FF1B38" w:rsidRPr="002E2EB3" w:rsidRDefault="00FF1B38" w:rsidP="009276CC">
            <w:pPr>
              <w:spacing w:after="0"/>
              <w:jc w:val="center"/>
              <w:rPr>
                <w:rFonts w:ascii="Arial Narrow" w:hAnsi="Arial Narrow"/>
                <w:color w:val="000000"/>
                <w:sz w:val="20"/>
                <w:lang w:val="en-AU" w:eastAsia="en-AU"/>
              </w:rPr>
            </w:pPr>
          </w:p>
        </w:tc>
        <w:tc>
          <w:tcPr>
            <w:tcW w:w="425" w:type="dxa"/>
            <w:shd w:val="clear" w:color="auto" w:fill="auto"/>
            <w:noWrap/>
            <w:tcMar>
              <w:left w:w="0" w:type="dxa"/>
              <w:right w:w="0" w:type="dxa"/>
            </w:tcMar>
            <w:vAlign w:val="center"/>
            <w:hideMark/>
          </w:tcPr>
          <w:p w14:paraId="21D41C6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615221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26E9E69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63FF76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0F02643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9CB3DF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514F81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007F19A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708AA9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285F55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821172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8830D5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shd w:val="clear" w:color="auto" w:fill="auto"/>
            <w:noWrap/>
            <w:tcMar>
              <w:left w:w="0" w:type="dxa"/>
              <w:right w:w="0" w:type="dxa"/>
            </w:tcMar>
            <w:vAlign w:val="center"/>
            <w:hideMark/>
          </w:tcPr>
          <w:p w14:paraId="06A4ECF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022EE4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4.75</w:t>
            </w:r>
          </w:p>
        </w:tc>
        <w:tc>
          <w:tcPr>
            <w:tcW w:w="292" w:type="dxa"/>
            <w:shd w:val="clear" w:color="auto" w:fill="auto"/>
            <w:noWrap/>
            <w:tcMar>
              <w:left w:w="0" w:type="dxa"/>
              <w:right w:w="0" w:type="dxa"/>
            </w:tcMar>
            <w:vAlign w:val="center"/>
            <w:hideMark/>
          </w:tcPr>
          <w:p w14:paraId="571C2F5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F51587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292" w:type="dxa"/>
            <w:shd w:val="clear" w:color="auto" w:fill="auto"/>
            <w:noWrap/>
            <w:tcMar>
              <w:left w:w="0" w:type="dxa"/>
              <w:right w:w="0" w:type="dxa"/>
            </w:tcMar>
            <w:vAlign w:val="center"/>
            <w:hideMark/>
          </w:tcPr>
          <w:p w14:paraId="1EBB2A5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D5326B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A000FC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32" w:type="dxa"/>
            <w:shd w:val="clear" w:color="auto" w:fill="auto"/>
            <w:noWrap/>
            <w:tcMar>
              <w:left w:w="0" w:type="dxa"/>
              <w:right w:w="0" w:type="dxa"/>
            </w:tcMar>
            <w:vAlign w:val="center"/>
            <w:hideMark/>
          </w:tcPr>
          <w:p w14:paraId="7F6AC12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3D7FD56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C2B602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6.25</w:t>
            </w:r>
          </w:p>
        </w:tc>
        <w:tc>
          <w:tcPr>
            <w:tcW w:w="292" w:type="dxa"/>
            <w:shd w:val="clear" w:color="auto" w:fill="auto"/>
            <w:noWrap/>
            <w:tcMar>
              <w:left w:w="0" w:type="dxa"/>
              <w:right w:w="0" w:type="dxa"/>
            </w:tcMar>
            <w:vAlign w:val="center"/>
            <w:hideMark/>
          </w:tcPr>
          <w:p w14:paraId="5715BDA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1.25</w:t>
            </w:r>
          </w:p>
        </w:tc>
        <w:tc>
          <w:tcPr>
            <w:tcW w:w="292" w:type="dxa"/>
            <w:shd w:val="clear" w:color="auto" w:fill="auto"/>
            <w:noWrap/>
            <w:tcMar>
              <w:left w:w="0" w:type="dxa"/>
              <w:right w:w="0" w:type="dxa"/>
            </w:tcMar>
            <w:vAlign w:val="center"/>
            <w:hideMark/>
          </w:tcPr>
          <w:p w14:paraId="781943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C3A8AF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6CF1546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140FD2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53D222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57" w:type="dxa"/>
            <w:shd w:val="clear" w:color="auto" w:fill="auto"/>
            <w:noWrap/>
            <w:tcMar>
              <w:left w:w="0" w:type="dxa"/>
              <w:right w:w="0" w:type="dxa"/>
            </w:tcMar>
            <w:vAlign w:val="center"/>
            <w:hideMark/>
          </w:tcPr>
          <w:p w14:paraId="0555041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4.38</w:t>
            </w:r>
          </w:p>
        </w:tc>
        <w:tc>
          <w:tcPr>
            <w:tcW w:w="292" w:type="dxa"/>
            <w:shd w:val="clear" w:color="auto" w:fill="auto"/>
            <w:noWrap/>
            <w:tcMar>
              <w:left w:w="0" w:type="dxa"/>
              <w:right w:w="0" w:type="dxa"/>
            </w:tcMar>
            <w:vAlign w:val="center"/>
            <w:hideMark/>
          </w:tcPr>
          <w:p w14:paraId="298AF9B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39A3C9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5F12D53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08A803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0C66752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shd w:val="clear" w:color="auto" w:fill="auto"/>
            <w:noWrap/>
            <w:tcMar>
              <w:left w:w="0" w:type="dxa"/>
              <w:right w:w="0" w:type="dxa"/>
            </w:tcMar>
            <w:vAlign w:val="center"/>
            <w:hideMark/>
          </w:tcPr>
          <w:p w14:paraId="51A9670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r>
      <w:tr w:rsidR="00FF1B38" w:rsidRPr="002E2EB3" w14:paraId="38AC62FD" w14:textId="77777777" w:rsidTr="009276CC">
        <w:trPr>
          <w:trHeight w:val="300"/>
        </w:trPr>
        <w:tc>
          <w:tcPr>
            <w:tcW w:w="529" w:type="dxa"/>
            <w:vMerge/>
            <w:tcMar>
              <w:left w:w="0" w:type="dxa"/>
              <w:right w:w="0" w:type="dxa"/>
            </w:tcMar>
            <w:vAlign w:val="center"/>
            <w:hideMark/>
          </w:tcPr>
          <w:p w14:paraId="69B72390" w14:textId="77777777" w:rsidR="00FF1B38" w:rsidRPr="002E2EB3" w:rsidRDefault="00FF1B38" w:rsidP="009276CC">
            <w:pPr>
              <w:spacing w:after="0"/>
              <w:rPr>
                <w:rFonts w:ascii="Arial Narrow" w:hAnsi="Arial Narrow"/>
                <w:color w:val="000000"/>
                <w:sz w:val="20"/>
                <w:lang w:val="en-AU" w:eastAsia="en-AU"/>
              </w:rPr>
            </w:pPr>
          </w:p>
        </w:tc>
        <w:tc>
          <w:tcPr>
            <w:tcW w:w="1597" w:type="dxa"/>
            <w:vMerge w:val="restart"/>
            <w:shd w:val="clear" w:color="auto" w:fill="auto"/>
            <w:noWrap/>
            <w:tcMar>
              <w:left w:w="0" w:type="dxa"/>
              <w:right w:w="0" w:type="dxa"/>
            </w:tcMar>
            <w:vAlign w:val="center"/>
            <w:hideMark/>
          </w:tcPr>
          <w:p w14:paraId="31DC376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Snapper South</w:t>
            </w:r>
          </w:p>
        </w:tc>
        <w:tc>
          <w:tcPr>
            <w:tcW w:w="425" w:type="dxa"/>
            <w:shd w:val="clear" w:color="auto" w:fill="auto"/>
            <w:noWrap/>
            <w:tcMar>
              <w:left w:w="0" w:type="dxa"/>
              <w:right w:w="0" w:type="dxa"/>
            </w:tcMar>
            <w:vAlign w:val="center"/>
            <w:hideMark/>
          </w:tcPr>
          <w:p w14:paraId="68477B4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298" w:type="dxa"/>
            <w:shd w:val="clear" w:color="auto" w:fill="auto"/>
            <w:noWrap/>
            <w:tcMar>
              <w:left w:w="0" w:type="dxa"/>
              <w:right w:w="0" w:type="dxa"/>
            </w:tcMar>
            <w:vAlign w:val="center"/>
            <w:hideMark/>
          </w:tcPr>
          <w:p w14:paraId="195170D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4.34</w:t>
            </w:r>
          </w:p>
        </w:tc>
        <w:tc>
          <w:tcPr>
            <w:tcW w:w="292" w:type="dxa"/>
            <w:shd w:val="clear" w:color="auto" w:fill="auto"/>
            <w:noWrap/>
            <w:tcMar>
              <w:left w:w="0" w:type="dxa"/>
              <w:right w:w="0" w:type="dxa"/>
            </w:tcMar>
            <w:vAlign w:val="center"/>
            <w:hideMark/>
          </w:tcPr>
          <w:p w14:paraId="6461DED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9AE9A9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A6CC34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198C7EB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DE713D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64F1109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F1784B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144B62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2B08286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302C2D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1.29</w:t>
            </w:r>
          </w:p>
        </w:tc>
        <w:tc>
          <w:tcPr>
            <w:tcW w:w="292" w:type="dxa"/>
            <w:shd w:val="clear" w:color="auto" w:fill="auto"/>
            <w:noWrap/>
            <w:tcMar>
              <w:left w:w="0" w:type="dxa"/>
              <w:right w:w="0" w:type="dxa"/>
            </w:tcMar>
            <w:vAlign w:val="center"/>
            <w:hideMark/>
          </w:tcPr>
          <w:p w14:paraId="4BFABB7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292" w:type="dxa"/>
            <w:shd w:val="clear" w:color="auto" w:fill="auto"/>
            <w:noWrap/>
            <w:tcMar>
              <w:left w:w="0" w:type="dxa"/>
              <w:right w:w="0" w:type="dxa"/>
            </w:tcMar>
            <w:vAlign w:val="center"/>
            <w:hideMark/>
          </w:tcPr>
          <w:p w14:paraId="6CF728D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0E67AB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4FE00A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F6C593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0.04</w:t>
            </w:r>
          </w:p>
        </w:tc>
        <w:tc>
          <w:tcPr>
            <w:tcW w:w="292" w:type="dxa"/>
            <w:shd w:val="clear" w:color="auto" w:fill="auto"/>
            <w:noWrap/>
            <w:tcMar>
              <w:left w:w="0" w:type="dxa"/>
              <w:right w:w="0" w:type="dxa"/>
            </w:tcMar>
            <w:vAlign w:val="center"/>
            <w:hideMark/>
          </w:tcPr>
          <w:p w14:paraId="1AA77C8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6622AC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0.67</w:t>
            </w:r>
          </w:p>
        </w:tc>
        <w:tc>
          <w:tcPr>
            <w:tcW w:w="332" w:type="dxa"/>
            <w:shd w:val="clear" w:color="auto" w:fill="auto"/>
            <w:noWrap/>
            <w:tcMar>
              <w:left w:w="0" w:type="dxa"/>
              <w:right w:w="0" w:type="dxa"/>
            </w:tcMar>
            <w:vAlign w:val="center"/>
            <w:hideMark/>
          </w:tcPr>
          <w:p w14:paraId="1F10E4C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626364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2FD4FA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AE4CDC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0.29</w:t>
            </w:r>
          </w:p>
        </w:tc>
        <w:tc>
          <w:tcPr>
            <w:tcW w:w="292" w:type="dxa"/>
            <w:shd w:val="clear" w:color="auto" w:fill="auto"/>
            <w:noWrap/>
            <w:tcMar>
              <w:left w:w="0" w:type="dxa"/>
              <w:right w:w="0" w:type="dxa"/>
            </w:tcMar>
            <w:vAlign w:val="center"/>
            <w:hideMark/>
          </w:tcPr>
          <w:p w14:paraId="26B6E93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21CC27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345DE60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14EE30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0.58</w:t>
            </w:r>
          </w:p>
        </w:tc>
        <w:tc>
          <w:tcPr>
            <w:tcW w:w="292" w:type="dxa"/>
            <w:shd w:val="clear" w:color="auto" w:fill="auto"/>
            <w:noWrap/>
            <w:tcMar>
              <w:left w:w="0" w:type="dxa"/>
              <w:right w:w="0" w:type="dxa"/>
            </w:tcMar>
            <w:vAlign w:val="center"/>
            <w:hideMark/>
          </w:tcPr>
          <w:p w14:paraId="1A69464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53B9385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25.3</w:t>
            </w:r>
          </w:p>
        </w:tc>
        <w:tc>
          <w:tcPr>
            <w:tcW w:w="292" w:type="dxa"/>
            <w:shd w:val="clear" w:color="auto" w:fill="auto"/>
            <w:noWrap/>
            <w:tcMar>
              <w:left w:w="0" w:type="dxa"/>
              <w:right w:w="0" w:type="dxa"/>
            </w:tcMar>
            <w:vAlign w:val="center"/>
            <w:hideMark/>
          </w:tcPr>
          <w:p w14:paraId="03B2CD0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292" w:type="dxa"/>
            <w:shd w:val="clear" w:color="auto" w:fill="auto"/>
            <w:noWrap/>
            <w:tcMar>
              <w:left w:w="0" w:type="dxa"/>
              <w:right w:w="0" w:type="dxa"/>
            </w:tcMar>
            <w:vAlign w:val="center"/>
            <w:hideMark/>
          </w:tcPr>
          <w:p w14:paraId="7D6F54B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311B08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8AEAA0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6FBD86B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425" w:type="dxa"/>
            <w:shd w:val="clear" w:color="auto" w:fill="auto"/>
            <w:noWrap/>
            <w:tcMar>
              <w:left w:w="0" w:type="dxa"/>
              <w:right w:w="0" w:type="dxa"/>
            </w:tcMar>
            <w:vAlign w:val="center"/>
            <w:hideMark/>
          </w:tcPr>
          <w:p w14:paraId="54E6E35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r>
      <w:tr w:rsidR="00FF1B38" w:rsidRPr="002E2EB3" w14:paraId="33B62AF5" w14:textId="77777777" w:rsidTr="009276CC">
        <w:trPr>
          <w:trHeight w:val="300"/>
        </w:trPr>
        <w:tc>
          <w:tcPr>
            <w:tcW w:w="529" w:type="dxa"/>
            <w:vMerge/>
            <w:tcMar>
              <w:left w:w="0" w:type="dxa"/>
              <w:right w:w="0" w:type="dxa"/>
            </w:tcMar>
            <w:vAlign w:val="center"/>
            <w:hideMark/>
          </w:tcPr>
          <w:p w14:paraId="485E4A58" w14:textId="77777777" w:rsidR="00FF1B38" w:rsidRPr="002E2EB3" w:rsidRDefault="00FF1B38" w:rsidP="009276CC">
            <w:pPr>
              <w:spacing w:after="0"/>
              <w:rPr>
                <w:rFonts w:ascii="Arial Narrow" w:hAnsi="Arial Narrow"/>
                <w:color w:val="000000"/>
                <w:sz w:val="20"/>
                <w:lang w:val="en-AU" w:eastAsia="en-AU"/>
              </w:rPr>
            </w:pPr>
          </w:p>
        </w:tc>
        <w:tc>
          <w:tcPr>
            <w:tcW w:w="1597" w:type="dxa"/>
            <w:vMerge/>
            <w:shd w:val="clear" w:color="auto" w:fill="auto"/>
            <w:noWrap/>
            <w:tcMar>
              <w:left w:w="0" w:type="dxa"/>
              <w:right w:w="0" w:type="dxa"/>
            </w:tcMar>
            <w:vAlign w:val="center"/>
            <w:hideMark/>
          </w:tcPr>
          <w:p w14:paraId="6456E1EA" w14:textId="77777777" w:rsidR="00FF1B38" w:rsidRPr="002E2EB3" w:rsidRDefault="00FF1B38" w:rsidP="009276CC">
            <w:pPr>
              <w:spacing w:after="0"/>
              <w:jc w:val="center"/>
              <w:rPr>
                <w:rFonts w:ascii="Arial Narrow" w:hAnsi="Arial Narrow"/>
                <w:color w:val="000000"/>
                <w:sz w:val="20"/>
                <w:lang w:val="en-AU" w:eastAsia="en-AU"/>
              </w:rPr>
            </w:pPr>
          </w:p>
        </w:tc>
        <w:tc>
          <w:tcPr>
            <w:tcW w:w="425" w:type="dxa"/>
            <w:shd w:val="clear" w:color="auto" w:fill="auto"/>
            <w:noWrap/>
            <w:tcMar>
              <w:left w:w="0" w:type="dxa"/>
              <w:right w:w="0" w:type="dxa"/>
            </w:tcMar>
            <w:vAlign w:val="center"/>
            <w:hideMark/>
          </w:tcPr>
          <w:p w14:paraId="7425C6F0"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684DEBD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2.75</w:t>
            </w:r>
          </w:p>
        </w:tc>
        <w:tc>
          <w:tcPr>
            <w:tcW w:w="292" w:type="dxa"/>
            <w:shd w:val="clear" w:color="auto" w:fill="auto"/>
            <w:noWrap/>
            <w:tcMar>
              <w:left w:w="0" w:type="dxa"/>
              <w:right w:w="0" w:type="dxa"/>
            </w:tcMar>
            <w:vAlign w:val="center"/>
            <w:hideMark/>
          </w:tcPr>
          <w:p w14:paraId="105D33F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29EEED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2.96</w:t>
            </w:r>
          </w:p>
        </w:tc>
        <w:tc>
          <w:tcPr>
            <w:tcW w:w="292" w:type="dxa"/>
            <w:shd w:val="clear" w:color="auto" w:fill="auto"/>
            <w:noWrap/>
            <w:tcMar>
              <w:left w:w="0" w:type="dxa"/>
              <w:right w:w="0" w:type="dxa"/>
            </w:tcMar>
            <w:vAlign w:val="center"/>
            <w:hideMark/>
          </w:tcPr>
          <w:p w14:paraId="063E31E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B0C7B4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8E213E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24227F3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5A76B22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69D47D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2ADA4D3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3CFFF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2D97511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10EEC1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1.55</w:t>
            </w:r>
          </w:p>
        </w:tc>
        <w:tc>
          <w:tcPr>
            <w:tcW w:w="292" w:type="dxa"/>
            <w:shd w:val="clear" w:color="auto" w:fill="auto"/>
            <w:noWrap/>
            <w:tcMar>
              <w:left w:w="0" w:type="dxa"/>
              <w:right w:w="0" w:type="dxa"/>
            </w:tcMar>
            <w:vAlign w:val="center"/>
            <w:hideMark/>
          </w:tcPr>
          <w:p w14:paraId="54834D0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C2EBAE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7C4A34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DB7DA1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13595C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0.30</w:t>
            </w:r>
          </w:p>
        </w:tc>
        <w:tc>
          <w:tcPr>
            <w:tcW w:w="332" w:type="dxa"/>
            <w:shd w:val="clear" w:color="auto" w:fill="auto"/>
            <w:noWrap/>
            <w:tcMar>
              <w:left w:w="0" w:type="dxa"/>
              <w:right w:w="0" w:type="dxa"/>
            </w:tcMar>
            <w:vAlign w:val="center"/>
            <w:hideMark/>
          </w:tcPr>
          <w:p w14:paraId="5FBF670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CDF734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356ED9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2.64</w:t>
            </w:r>
          </w:p>
        </w:tc>
        <w:tc>
          <w:tcPr>
            <w:tcW w:w="292" w:type="dxa"/>
            <w:shd w:val="clear" w:color="auto" w:fill="auto"/>
            <w:noWrap/>
            <w:tcMar>
              <w:left w:w="0" w:type="dxa"/>
              <w:right w:w="0" w:type="dxa"/>
            </w:tcMar>
            <w:vAlign w:val="center"/>
            <w:hideMark/>
          </w:tcPr>
          <w:p w14:paraId="28E5C8E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1258C98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3379C0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7689E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383D1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32FBB81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7DD2D61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28.9</w:t>
            </w:r>
          </w:p>
        </w:tc>
        <w:tc>
          <w:tcPr>
            <w:tcW w:w="292" w:type="dxa"/>
            <w:shd w:val="clear" w:color="auto" w:fill="auto"/>
            <w:noWrap/>
            <w:tcMar>
              <w:left w:w="0" w:type="dxa"/>
              <w:right w:w="0" w:type="dxa"/>
            </w:tcMar>
            <w:vAlign w:val="center"/>
            <w:hideMark/>
          </w:tcPr>
          <w:p w14:paraId="1C6B70D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292" w:type="dxa"/>
            <w:shd w:val="clear" w:color="auto" w:fill="auto"/>
            <w:noWrap/>
            <w:tcMar>
              <w:left w:w="0" w:type="dxa"/>
              <w:right w:w="0" w:type="dxa"/>
            </w:tcMar>
            <w:vAlign w:val="center"/>
            <w:hideMark/>
          </w:tcPr>
          <w:p w14:paraId="60D3DA9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A74C1F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C412F8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5BC8A32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425" w:type="dxa"/>
            <w:shd w:val="clear" w:color="auto" w:fill="auto"/>
            <w:noWrap/>
            <w:tcMar>
              <w:left w:w="0" w:type="dxa"/>
              <w:right w:w="0" w:type="dxa"/>
            </w:tcMar>
            <w:vAlign w:val="center"/>
            <w:hideMark/>
          </w:tcPr>
          <w:p w14:paraId="3B291FC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r>
      <w:tr w:rsidR="00FF1B38" w:rsidRPr="002E2EB3" w14:paraId="4D2A2335" w14:textId="77777777" w:rsidTr="009276CC">
        <w:trPr>
          <w:trHeight w:val="300"/>
        </w:trPr>
        <w:tc>
          <w:tcPr>
            <w:tcW w:w="529" w:type="dxa"/>
            <w:vMerge/>
            <w:tcMar>
              <w:left w:w="0" w:type="dxa"/>
              <w:right w:w="0" w:type="dxa"/>
            </w:tcMar>
            <w:vAlign w:val="center"/>
            <w:hideMark/>
          </w:tcPr>
          <w:p w14:paraId="6E9ABBEA" w14:textId="77777777" w:rsidR="00FF1B38" w:rsidRPr="002E2EB3" w:rsidRDefault="00FF1B38" w:rsidP="009276CC">
            <w:pPr>
              <w:spacing w:after="0"/>
              <w:rPr>
                <w:rFonts w:ascii="Arial Narrow" w:hAnsi="Arial Narrow"/>
                <w:color w:val="000000"/>
                <w:sz w:val="20"/>
                <w:lang w:val="en-AU" w:eastAsia="en-AU"/>
              </w:rPr>
            </w:pPr>
          </w:p>
        </w:tc>
        <w:tc>
          <w:tcPr>
            <w:tcW w:w="1597" w:type="dxa"/>
            <w:shd w:val="clear" w:color="auto" w:fill="auto"/>
            <w:noWrap/>
            <w:tcMar>
              <w:left w:w="0" w:type="dxa"/>
              <w:right w:w="0" w:type="dxa"/>
            </w:tcMar>
            <w:vAlign w:val="center"/>
            <w:hideMark/>
          </w:tcPr>
          <w:p w14:paraId="4127E1B7"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Low Isles</w:t>
            </w:r>
          </w:p>
        </w:tc>
        <w:tc>
          <w:tcPr>
            <w:tcW w:w="425" w:type="dxa"/>
            <w:shd w:val="clear" w:color="auto" w:fill="auto"/>
            <w:noWrap/>
            <w:tcMar>
              <w:left w:w="0" w:type="dxa"/>
              <w:right w:w="0" w:type="dxa"/>
            </w:tcMar>
            <w:vAlign w:val="center"/>
            <w:hideMark/>
          </w:tcPr>
          <w:p w14:paraId="320AFDED"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6ABC3BC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24DEA2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21BCD9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292" w:type="dxa"/>
            <w:shd w:val="clear" w:color="auto" w:fill="auto"/>
            <w:noWrap/>
            <w:tcMar>
              <w:left w:w="0" w:type="dxa"/>
              <w:right w:w="0" w:type="dxa"/>
            </w:tcMar>
            <w:vAlign w:val="center"/>
            <w:hideMark/>
          </w:tcPr>
          <w:p w14:paraId="4FAB701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EF76EA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0.30</w:t>
            </w:r>
          </w:p>
        </w:tc>
        <w:tc>
          <w:tcPr>
            <w:tcW w:w="292" w:type="dxa"/>
            <w:shd w:val="clear" w:color="auto" w:fill="auto"/>
            <w:noWrap/>
            <w:tcMar>
              <w:left w:w="0" w:type="dxa"/>
              <w:right w:w="0" w:type="dxa"/>
            </w:tcMar>
            <w:vAlign w:val="center"/>
            <w:hideMark/>
          </w:tcPr>
          <w:p w14:paraId="755CF02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09751EB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292" w:type="dxa"/>
            <w:shd w:val="clear" w:color="auto" w:fill="auto"/>
            <w:noWrap/>
            <w:tcMar>
              <w:left w:w="0" w:type="dxa"/>
              <w:right w:w="0" w:type="dxa"/>
            </w:tcMar>
            <w:vAlign w:val="center"/>
            <w:hideMark/>
          </w:tcPr>
          <w:p w14:paraId="6D29497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63F56B3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59202F1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0.23</w:t>
            </w:r>
          </w:p>
        </w:tc>
        <w:tc>
          <w:tcPr>
            <w:tcW w:w="292" w:type="dxa"/>
            <w:shd w:val="clear" w:color="auto" w:fill="auto"/>
            <w:noWrap/>
            <w:tcMar>
              <w:left w:w="0" w:type="dxa"/>
              <w:right w:w="0" w:type="dxa"/>
            </w:tcMar>
            <w:vAlign w:val="center"/>
            <w:hideMark/>
          </w:tcPr>
          <w:p w14:paraId="42BC8CE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2.03</w:t>
            </w:r>
          </w:p>
        </w:tc>
        <w:tc>
          <w:tcPr>
            <w:tcW w:w="292" w:type="dxa"/>
            <w:shd w:val="clear" w:color="auto" w:fill="auto"/>
            <w:noWrap/>
            <w:tcMar>
              <w:left w:w="0" w:type="dxa"/>
              <w:right w:w="0" w:type="dxa"/>
            </w:tcMar>
            <w:vAlign w:val="center"/>
            <w:hideMark/>
          </w:tcPr>
          <w:p w14:paraId="56776A0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292" w:type="dxa"/>
            <w:shd w:val="clear" w:color="auto" w:fill="auto"/>
            <w:noWrap/>
            <w:tcMar>
              <w:left w:w="0" w:type="dxa"/>
              <w:right w:w="0" w:type="dxa"/>
            </w:tcMar>
            <w:vAlign w:val="center"/>
            <w:hideMark/>
          </w:tcPr>
          <w:p w14:paraId="3E2BEAD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0.23</w:t>
            </w:r>
          </w:p>
        </w:tc>
        <w:tc>
          <w:tcPr>
            <w:tcW w:w="292" w:type="dxa"/>
            <w:shd w:val="clear" w:color="auto" w:fill="auto"/>
            <w:noWrap/>
            <w:tcMar>
              <w:left w:w="0" w:type="dxa"/>
              <w:right w:w="0" w:type="dxa"/>
            </w:tcMar>
            <w:vAlign w:val="center"/>
            <w:hideMark/>
          </w:tcPr>
          <w:p w14:paraId="35DCC81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292" w:type="dxa"/>
            <w:shd w:val="clear" w:color="auto" w:fill="auto"/>
            <w:noWrap/>
            <w:tcMar>
              <w:left w:w="0" w:type="dxa"/>
              <w:right w:w="0" w:type="dxa"/>
            </w:tcMar>
            <w:vAlign w:val="center"/>
            <w:hideMark/>
          </w:tcPr>
          <w:p w14:paraId="71F5FF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556468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0.87</w:t>
            </w:r>
          </w:p>
        </w:tc>
        <w:tc>
          <w:tcPr>
            <w:tcW w:w="292" w:type="dxa"/>
            <w:shd w:val="clear" w:color="auto" w:fill="auto"/>
            <w:noWrap/>
            <w:tcMar>
              <w:left w:w="0" w:type="dxa"/>
              <w:right w:w="0" w:type="dxa"/>
            </w:tcMar>
            <w:vAlign w:val="center"/>
            <w:hideMark/>
          </w:tcPr>
          <w:p w14:paraId="59DCA23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292" w:type="dxa"/>
            <w:shd w:val="clear" w:color="auto" w:fill="auto"/>
            <w:noWrap/>
            <w:tcMar>
              <w:left w:w="0" w:type="dxa"/>
              <w:right w:w="0" w:type="dxa"/>
            </w:tcMar>
            <w:vAlign w:val="center"/>
            <w:hideMark/>
          </w:tcPr>
          <w:p w14:paraId="004773B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1.57</w:t>
            </w:r>
          </w:p>
        </w:tc>
        <w:tc>
          <w:tcPr>
            <w:tcW w:w="332" w:type="dxa"/>
            <w:shd w:val="clear" w:color="auto" w:fill="auto"/>
            <w:noWrap/>
            <w:tcMar>
              <w:left w:w="0" w:type="dxa"/>
              <w:right w:w="0" w:type="dxa"/>
            </w:tcMar>
            <w:vAlign w:val="center"/>
            <w:hideMark/>
          </w:tcPr>
          <w:p w14:paraId="502F109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89D4EC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5E3CDD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1.60</w:t>
            </w:r>
          </w:p>
        </w:tc>
        <w:tc>
          <w:tcPr>
            <w:tcW w:w="292" w:type="dxa"/>
            <w:shd w:val="clear" w:color="auto" w:fill="auto"/>
            <w:noWrap/>
            <w:tcMar>
              <w:left w:w="0" w:type="dxa"/>
              <w:right w:w="0" w:type="dxa"/>
            </w:tcMar>
            <w:vAlign w:val="center"/>
            <w:hideMark/>
          </w:tcPr>
          <w:p w14:paraId="0F5C3E4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60CE9BE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713F28B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1F0A82E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14C79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292" w:type="dxa"/>
            <w:shd w:val="clear" w:color="auto" w:fill="auto"/>
            <w:noWrap/>
            <w:tcMar>
              <w:left w:w="0" w:type="dxa"/>
              <w:right w:w="0" w:type="dxa"/>
            </w:tcMar>
            <w:vAlign w:val="center"/>
            <w:hideMark/>
          </w:tcPr>
          <w:p w14:paraId="1DEBD1A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7AD5C5C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12.2</w:t>
            </w:r>
          </w:p>
        </w:tc>
        <w:tc>
          <w:tcPr>
            <w:tcW w:w="292" w:type="dxa"/>
            <w:shd w:val="clear" w:color="auto" w:fill="auto"/>
            <w:noWrap/>
            <w:tcMar>
              <w:left w:w="0" w:type="dxa"/>
              <w:right w:w="0" w:type="dxa"/>
            </w:tcMar>
            <w:vAlign w:val="center"/>
            <w:hideMark/>
          </w:tcPr>
          <w:p w14:paraId="76108D1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7402E2F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292" w:type="dxa"/>
            <w:shd w:val="clear" w:color="auto" w:fill="auto"/>
            <w:noWrap/>
            <w:tcMar>
              <w:left w:w="0" w:type="dxa"/>
              <w:right w:w="0" w:type="dxa"/>
            </w:tcMar>
            <w:vAlign w:val="center"/>
            <w:hideMark/>
          </w:tcPr>
          <w:p w14:paraId="2DC9C53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309FC4B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7C49A1D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0.23</w:t>
            </w:r>
          </w:p>
        </w:tc>
        <w:tc>
          <w:tcPr>
            <w:tcW w:w="425" w:type="dxa"/>
            <w:shd w:val="clear" w:color="auto" w:fill="auto"/>
            <w:noWrap/>
            <w:tcMar>
              <w:left w:w="0" w:type="dxa"/>
              <w:right w:w="0" w:type="dxa"/>
            </w:tcMar>
            <w:vAlign w:val="center"/>
            <w:hideMark/>
          </w:tcPr>
          <w:p w14:paraId="2FD3031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r>
      <w:tr w:rsidR="00FF1B38" w:rsidRPr="002E2EB3" w14:paraId="5EA3E98C" w14:textId="77777777" w:rsidTr="009276CC">
        <w:trPr>
          <w:trHeight w:val="300"/>
        </w:trPr>
        <w:tc>
          <w:tcPr>
            <w:tcW w:w="529" w:type="dxa"/>
            <w:vMerge w:val="restart"/>
            <w:shd w:val="clear" w:color="auto" w:fill="auto"/>
            <w:noWrap/>
            <w:tcMar>
              <w:left w:w="0" w:type="dxa"/>
              <w:right w:w="0" w:type="dxa"/>
            </w:tcMar>
            <w:textDirection w:val="btLr"/>
            <w:vAlign w:val="center"/>
            <w:hideMark/>
          </w:tcPr>
          <w:p w14:paraId="64957547"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Johnstone Russel</w:t>
            </w:r>
            <w:r>
              <w:rPr>
                <w:rFonts w:ascii="Arial Narrow" w:hAnsi="Arial Narrow"/>
                <w:color w:val="000000"/>
                <w:sz w:val="20"/>
                <w:lang w:val="en-AU" w:eastAsia="en-AU"/>
              </w:rPr>
              <w:t>-</w:t>
            </w:r>
            <w:r w:rsidRPr="002E2EB3">
              <w:rPr>
                <w:rFonts w:ascii="Arial Narrow" w:hAnsi="Arial Narrow"/>
                <w:color w:val="000000"/>
                <w:sz w:val="20"/>
                <w:lang w:val="en-AU" w:eastAsia="en-AU"/>
              </w:rPr>
              <w:t>lMulgrave</w:t>
            </w:r>
          </w:p>
        </w:tc>
        <w:tc>
          <w:tcPr>
            <w:tcW w:w="1597" w:type="dxa"/>
            <w:shd w:val="clear" w:color="auto" w:fill="auto"/>
            <w:noWrap/>
            <w:tcMar>
              <w:left w:w="0" w:type="dxa"/>
              <w:right w:w="0" w:type="dxa"/>
            </w:tcMar>
            <w:vAlign w:val="center"/>
            <w:hideMark/>
          </w:tcPr>
          <w:p w14:paraId="54C11A81"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Green</w:t>
            </w:r>
          </w:p>
        </w:tc>
        <w:tc>
          <w:tcPr>
            <w:tcW w:w="425" w:type="dxa"/>
            <w:shd w:val="clear" w:color="auto" w:fill="auto"/>
            <w:noWrap/>
            <w:tcMar>
              <w:left w:w="0" w:type="dxa"/>
              <w:right w:w="0" w:type="dxa"/>
            </w:tcMar>
            <w:vAlign w:val="center"/>
            <w:hideMark/>
          </w:tcPr>
          <w:p w14:paraId="0F22AE6B"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4089F36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292" w:type="dxa"/>
            <w:shd w:val="clear" w:color="auto" w:fill="auto"/>
            <w:noWrap/>
            <w:tcMar>
              <w:left w:w="0" w:type="dxa"/>
              <w:right w:w="0" w:type="dxa"/>
            </w:tcMar>
            <w:vAlign w:val="center"/>
            <w:hideMark/>
          </w:tcPr>
          <w:p w14:paraId="074B503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F50543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7BBE22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292" w:type="dxa"/>
            <w:shd w:val="clear" w:color="auto" w:fill="auto"/>
            <w:noWrap/>
            <w:tcMar>
              <w:left w:w="0" w:type="dxa"/>
              <w:right w:w="0" w:type="dxa"/>
            </w:tcMar>
            <w:vAlign w:val="center"/>
            <w:hideMark/>
          </w:tcPr>
          <w:p w14:paraId="7DE0BFA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292" w:type="dxa"/>
            <w:shd w:val="clear" w:color="auto" w:fill="auto"/>
            <w:noWrap/>
            <w:tcMar>
              <w:left w:w="0" w:type="dxa"/>
              <w:right w:w="0" w:type="dxa"/>
            </w:tcMar>
            <w:vAlign w:val="center"/>
            <w:hideMark/>
          </w:tcPr>
          <w:p w14:paraId="322615E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7A2338D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292" w:type="dxa"/>
            <w:shd w:val="clear" w:color="auto" w:fill="auto"/>
            <w:noWrap/>
            <w:tcMar>
              <w:left w:w="0" w:type="dxa"/>
              <w:right w:w="0" w:type="dxa"/>
            </w:tcMar>
            <w:vAlign w:val="center"/>
            <w:hideMark/>
          </w:tcPr>
          <w:p w14:paraId="3447E4C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4521408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7B61DE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0A678C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292" w:type="dxa"/>
            <w:shd w:val="clear" w:color="auto" w:fill="auto"/>
            <w:noWrap/>
            <w:tcMar>
              <w:left w:w="0" w:type="dxa"/>
              <w:right w:w="0" w:type="dxa"/>
            </w:tcMar>
            <w:vAlign w:val="center"/>
            <w:hideMark/>
          </w:tcPr>
          <w:p w14:paraId="5D74D4F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661B040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3576B43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5ECB83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563D0B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292" w:type="dxa"/>
            <w:shd w:val="clear" w:color="auto" w:fill="auto"/>
            <w:noWrap/>
            <w:tcMar>
              <w:left w:w="0" w:type="dxa"/>
              <w:right w:w="0" w:type="dxa"/>
            </w:tcMar>
            <w:vAlign w:val="center"/>
            <w:hideMark/>
          </w:tcPr>
          <w:p w14:paraId="614B32A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CE23A2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32" w:type="dxa"/>
            <w:shd w:val="clear" w:color="auto" w:fill="auto"/>
            <w:noWrap/>
            <w:tcMar>
              <w:left w:w="0" w:type="dxa"/>
              <w:right w:w="0" w:type="dxa"/>
            </w:tcMar>
            <w:vAlign w:val="center"/>
            <w:hideMark/>
          </w:tcPr>
          <w:p w14:paraId="2DDCF68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0EB750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3F4BC3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292" w:type="dxa"/>
            <w:shd w:val="clear" w:color="auto" w:fill="auto"/>
            <w:noWrap/>
            <w:tcMar>
              <w:left w:w="0" w:type="dxa"/>
              <w:right w:w="0" w:type="dxa"/>
            </w:tcMar>
            <w:vAlign w:val="center"/>
            <w:hideMark/>
          </w:tcPr>
          <w:p w14:paraId="4EE693A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EBB548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3A7416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292" w:type="dxa"/>
            <w:shd w:val="clear" w:color="auto" w:fill="auto"/>
            <w:noWrap/>
            <w:tcMar>
              <w:left w:w="0" w:type="dxa"/>
              <w:right w:w="0" w:type="dxa"/>
            </w:tcMar>
            <w:vAlign w:val="center"/>
            <w:hideMark/>
          </w:tcPr>
          <w:p w14:paraId="7284A4E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5B7B47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3943FF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796763D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4.43</w:t>
            </w:r>
          </w:p>
        </w:tc>
        <w:tc>
          <w:tcPr>
            <w:tcW w:w="292" w:type="dxa"/>
            <w:shd w:val="clear" w:color="auto" w:fill="auto"/>
            <w:noWrap/>
            <w:tcMar>
              <w:left w:w="0" w:type="dxa"/>
              <w:right w:w="0" w:type="dxa"/>
            </w:tcMar>
            <w:vAlign w:val="center"/>
            <w:hideMark/>
          </w:tcPr>
          <w:p w14:paraId="0E6DF8E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BF2D95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1E88982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941D6D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92" w:type="dxa"/>
            <w:shd w:val="clear" w:color="auto" w:fill="auto"/>
            <w:noWrap/>
            <w:tcMar>
              <w:left w:w="0" w:type="dxa"/>
              <w:right w:w="0" w:type="dxa"/>
            </w:tcMar>
            <w:vAlign w:val="center"/>
            <w:hideMark/>
          </w:tcPr>
          <w:p w14:paraId="6DDB418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425" w:type="dxa"/>
            <w:shd w:val="clear" w:color="auto" w:fill="auto"/>
            <w:noWrap/>
            <w:tcMar>
              <w:left w:w="0" w:type="dxa"/>
              <w:right w:w="0" w:type="dxa"/>
            </w:tcMar>
            <w:vAlign w:val="center"/>
            <w:hideMark/>
          </w:tcPr>
          <w:p w14:paraId="0F6CDE9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r>
      <w:tr w:rsidR="00FF1B38" w:rsidRPr="002E2EB3" w14:paraId="4C3EF202" w14:textId="77777777" w:rsidTr="009276CC">
        <w:trPr>
          <w:trHeight w:val="300"/>
        </w:trPr>
        <w:tc>
          <w:tcPr>
            <w:tcW w:w="529" w:type="dxa"/>
            <w:vMerge/>
            <w:tcMar>
              <w:left w:w="0" w:type="dxa"/>
              <w:right w:w="0" w:type="dxa"/>
            </w:tcMar>
            <w:vAlign w:val="center"/>
            <w:hideMark/>
          </w:tcPr>
          <w:p w14:paraId="51437D85" w14:textId="77777777" w:rsidR="00FF1B38" w:rsidRPr="002E2EB3" w:rsidRDefault="00FF1B38" w:rsidP="009276CC">
            <w:pPr>
              <w:spacing w:after="0"/>
              <w:rPr>
                <w:rFonts w:ascii="Arial Narrow" w:hAnsi="Arial Narrow"/>
                <w:color w:val="000000"/>
                <w:sz w:val="20"/>
                <w:lang w:val="en-AU" w:eastAsia="en-AU"/>
              </w:rPr>
            </w:pPr>
          </w:p>
        </w:tc>
        <w:tc>
          <w:tcPr>
            <w:tcW w:w="1597" w:type="dxa"/>
            <w:shd w:val="clear" w:color="auto" w:fill="auto"/>
            <w:noWrap/>
            <w:tcMar>
              <w:left w:w="0" w:type="dxa"/>
              <w:right w:w="0" w:type="dxa"/>
            </w:tcMar>
            <w:vAlign w:val="center"/>
            <w:hideMark/>
          </w:tcPr>
          <w:p w14:paraId="2533331B"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Fitzroy West LTMP</w:t>
            </w:r>
          </w:p>
        </w:tc>
        <w:tc>
          <w:tcPr>
            <w:tcW w:w="425" w:type="dxa"/>
            <w:shd w:val="clear" w:color="auto" w:fill="auto"/>
            <w:noWrap/>
            <w:tcMar>
              <w:left w:w="0" w:type="dxa"/>
              <w:right w:w="0" w:type="dxa"/>
            </w:tcMar>
            <w:vAlign w:val="center"/>
            <w:hideMark/>
          </w:tcPr>
          <w:p w14:paraId="383C59D7"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7E4F6E6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484C96A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D3C681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5172625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2C33ACF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57EBE1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7A4F740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292" w:type="dxa"/>
            <w:shd w:val="clear" w:color="auto" w:fill="auto"/>
            <w:noWrap/>
            <w:tcMar>
              <w:left w:w="0" w:type="dxa"/>
              <w:right w:w="0" w:type="dxa"/>
            </w:tcMar>
            <w:vAlign w:val="center"/>
            <w:hideMark/>
          </w:tcPr>
          <w:p w14:paraId="55245F6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292" w:type="dxa"/>
            <w:shd w:val="clear" w:color="auto" w:fill="auto"/>
            <w:noWrap/>
            <w:tcMar>
              <w:left w:w="0" w:type="dxa"/>
              <w:right w:w="0" w:type="dxa"/>
            </w:tcMar>
            <w:vAlign w:val="center"/>
            <w:hideMark/>
          </w:tcPr>
          <w:p w14:paraId="6F6BF6D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BEA41F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0.30</w:t>
            </w:r>
          </w:p>
        </w:tc>
        <w:tc>
          <w:tcPr>
            <w:tcW w:w="292" w:type="dxa"/>
            <w:shd w:val="clear" w:color="auto" w:fill="auto"/>
            <w:noWrap/>
            <w:tcMar>
              <w:left w:w="0" w:type="dxa"/>
              <w:right w:w="0" w:type="dxa"/>
            </w:tcMar>
            <w:vAlign w:val="center"/>
            <w:hideMark/>
          </w:tcPr>
          <w:p w14:paraId="04F19E3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0.60</w:t>
            </w:r>
          </w:p>
        </w:tc>
        <w:tc>
          <w:tcPr>
            <w:tcW w:w="292" w:type="dxa"/>
            <w:shd w:val="clear" w:color="auto" w:fill="auto"/>
            <w:noWrap/>
            <w:tcMar>
              <w:left w:w="0" w:type="dxa"/>
              <w:right w:w="0" w:type="dxa"/>
            </w:tcMar>
            <w:vAlign w:val="center"/>
            <w:hideMark/>
          </w:tcPr>
          <w:p w14:paraId="4450472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56C6777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292" w:type="dxa"/>
            <w:shd w:val="clear" w:color="auto" w:fill="auto"/>
            <w:noWrap/>
            <w:tcMar>
              <w:left w:w="0" w:type="dxa"/>
              <w:right w:w="0" w:type="dxa"/>
            </w:tcMar>
            <w:vAlign w:val="center"/>
            <w:hideMark/>
          </w:tcPr>
          <w:p w14:paraId="16E1D0F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01A91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64E0DA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292" w:type="dxa"/>
            <w:shd w:val="clear" w:color="auto" w:fill="auto"/>
            <w:noWrap/>
            <w:tcMar>
              <w:left w:w="0" w:type="dxa"/>
              <w:right w:w="0" w:type="dxa"/>
            </w:tcMar>
            <w:vAlign w:val="center"/>
            <w:hideMark/>
          </w:tcPr>
          <w:p w14:paraId="3B6DEA2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0.27</w:t>
            </w:r>
          </w:p>
        </w:tc>
        <w:tc>
          <w:tcPr>
            <w:tcW w:w="292" w:type="dxa"/>
            <w:shd w:val="clear" w:color="auto" w:fill="auto"/>
            <w:noWrap/>
            <w:tcMar>
              <w:left w:w="0" w:type="dxa"/>
              <w:right w:w="0" w:type="dxa"/>
            </w:tcMar>
            <w:vAlign w:val="center"/>
            <w:hideMark/>
          </w:tcPr>
          <w:p w14:paraId="02BD90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1.54</w:t>
            </w:r>
          </w:p>
        </w:tc>
        <w:tc>
          <w:tcPr>
            <w:tcW w:w="332" w:type="dxa"/>
            <w:shd w:val="clear" w:color="auto" w:fill="auto"/>
            <w:noWrap/>
            <w:tcMar>
              <w:left w:w="0" w:type="dxa"/>
              <w:right w:w="0" w:type="dxa"/>
            </w:tcMar>
            <w:vAlign w:val="center"/>
            <w:hideMark/>
          </w:tcPr>
          <w:p w14:paraId="3D5E25C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5FDCB0A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30726B6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0.60</w:t>
            </w:r>
          </w:p>
        </w:tc>
        <w:tc>
          <w:tcPr>
            <w:tcW w:w="292" w:type="dxa"/>
            <w:shd w:val="clear" w:color="auto" w:fill="auto"/>
            <w:noWrap/>
            <w:tcMar>
              <w:left w:w="0" w:type="dxa"/>
              <w:right w:w="0" w:type="dxa"/>
            </w:tcMar>
            <w:vAlign w:val="center"/>
            <w:hideMark/>
          </w:tcPr>
          <w:p w14:paraId="308E719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63A838F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292" w:type="dxa"/>
            <w:shd w:val="clear" w:color="auto" w:fill="auto"/>
            <w:noWrap/>
            <w:tcMar>
              <w:left w:w="0" w:type="dxa"/>
              <w:right w:w="0" w:type="dxa"/>
            </w:tcMar>
            <w:vAlign w:val="center"/>
            <w:hideMark/>
          </w:tcPr>
          <w:p w14:paraId="479D714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0.23</w:t>
            </w:r>
          </w:p>
        </w:tc>
        <w:tc>
          <w:tcPr>
            <w:tcW w:w="292" w:type="dxa"/>
            <w:shd w:val="clear" w:color="auto" w:fill="auto"/>
            <w:noWrap/>
            <w:tcMar>
              <w:left w:w="0" w:type="dxa"/>
              <w:right w:w="0" w:type="dxa"/>
            </w:tcMar>
            <w:vAlign w:val="center"/>
            <w:hideMark/>
          </w:tcPr>
          <w:p w14:paraId="7E0EC68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7E3ACF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292" w:type="dxa"/>
            <w:shd w:val="clear" w:color="auto" w:fill="auto"/>
            <w:noWrap/>
            <w:tcMar>
              <w:left w:w="0" w:type="dxa"/>
              <w:right w:w="0" w:type="dxa"/>
            </w:tcMar>
            <w:vAlign w:val="center"/>
            <w:hideMark/>
          </w:tcPr>
          <w:p w14:paraId="146F844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357" w:type="dxa"/>
            <w:shd w:val="clear" w:color="auto" w:fill="auto"/>
            <w:noWrap/>
            <w:tcMar>
              <w:left w:w="0" w:type="dxa"/>
              <w:right w:w="0" w:type="dxa"/>
            </w:tcMar>
            <w:vAlign w:val="center"/>
            <w:hideMark/>
          </w:tcPr>
          <w:p w14:paraId="15327E0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10.3</w:t>
            </w:r>
          </w:p>
        </w:tc>
        <w:tc>
          <w:tcPr>
            <w:tcW w:w="292" w:type="dxa"/>
            <w:shd w:val="clear" w:color="auto" w:fill="auto"/>
            <w:noWrap/>
            <w:tcMar>
              <w:left w:w="0" w:type="dxa"/>
              <w:right w:w="0" w:type="dxa"/>
            </w:tcMar>
            <w:vAlign w:val="center"/>
            <w:hideMark/>
          </w:tcPr>
          <w:p w14:paraId="4D18702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D949F0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292" w:type="dxa"/>
            <w:shd w:val="clear" w:color="auto" w:fill="auto"/>
            <w:noWrap/>
            <w:tcMar>
              <w:left w:w="0" w:type="dxa"/>
              <w:right w:w="0" w:type="dxa"/>
            </w:tcMar>
            <w:vAlign w:val="center"/>
            <w:hideMark/>
          </w:tcPr>
          <w:p w14:paraId="09A5B5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0.27</w:t>
            </w:r>
          </w:p>
        </w:tc>
        <w:tc>
          <w:tcPr>
            <w:tcW w:w="292" w:type="dxa"/>
            <w:shd w:val="clear" w:color="auto" w:fill="auto"/>
            <w:noWrap/>
            <w:tcMar>
              <w:left w:w="0" w:type="dxa"/>
              <w:right w:w="0" w:type="dxa"/>
            </w:tcMar>
            <w:vAlign w:val="center"/>
            <w:hideMark/>
          </w:tcPr>
          <w:p w14:paraId="352611D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10873F8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425" w:type="dxa"/>
            <w:shd w:val="clear" w:color="auto" w:fill="auto"/>
            <w:noWrap/>
            <w:tcMar>
              <w:left w:w="0" w:type="dxa"/>
              <w:right w:w="0" w:type="dxa"/>
            </w:tcMar>
            <w:vAlign w:val="center"/>
            <w:hideMark/>
          </w:tcPr>
          <w:p w14:paraId="2F9D9A8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0.27</w:t>
            </w:r>
          </w:p>
        </w:tc>
      </w:tr>
      <w:tr w:rsidR="00FF1B38" w:rsidRPr="002E2EB3" w14:paraId="3BCB88AA" w14:textId="77777777" w:rsidTr="009276CC">
        <w:trPr>
          <w:trHeight w:val="300"/>
        </w:trPr>
        <w:tc>
          <w:tcPr>
            <w:tcW w:w="529" w:type="dxa"/>
            <w:vMerge/>
            <w:tcMar>
              <w:left w:w="0" w:type="dxa"/>
              <w:right w:w="0" w:type="dxa"/>
            </w:tcMar>
            <w:vAlign w:val="center"/>
            <w:hideMark/>
          </w:tcPr>
          <w:p w14:paraId="25D707F3" w14:textId="77777777" w:rsidR="00FF1B38" w:rsidRPr="002E2EB3" w:rsidRDefault="00FF1B38" w:rsidP="009276CC">
            <w:pPr>
              <w:spacing w:after="0"/>
              <w:rPr>
                <w:rFonts w:ascii="Arial Narrow" w:hAnsi="Arial Narrow"/>
                <w:color w:val="000000"/>
                <w:sz w:val="20"/>
                <w:lang w:val="en-AU" w:eastAsia="en-AU"/>
              </w:rPr>
            </w:pPr>
          </w:p>
        </w:tc>
        <w:tc>
          <w:tcPr>
            <w:tcW w:w="1597" w:type="dxa"/>
            <w:vMerge w:val="restart"/>
            <w:shd w:val="clear" w:color="auto" w:fill="auto"/>
            <w:noWrap/>
            <w:tcMar>
              <w:left w:w="0" w:type="dxa"/>
              <w:right w:w="0" w:type="dxa"/>
            </w:tcMar>
            <w:vAlign w:val="center"/>
            <w:hideMark/>
          </w:tcPr>
          <w:p w14:paraId="4558CB3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Fitzroy East</w:t>
            </w:r>
          </w:p>
        </w:tc>
        <w:tc>
          <w:tcPr>
            <w:tcW w:w="425" w:type="dxa"/>
            <w:shd w:val="clear" w:color="auto" w:fill="auto"/>
            <w:noWrap/>
            <w:tcMar>
              <w:left w:w="0" w:type="dxa"/>
              <w:right w:w="0" w:type="dxa"/>
            </w:tcMar>
            <w:vAlign w:val="center"/>
            <w:hideMark/>
          </w:tcPr>
          <w:p w14:paraId="7A790A4B"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298" w:type="dxa"/>
            <w:shd w:val="clear" w:color="auto" w:fill="auto"/>
            <w:noWrap/>
            <w:tcMar>
              <w:left w:w="0" w:type="dxa"/>
              <w:right w:w="0" w:type="dxa"/>
            </w:tcMar>
            <w:vAlign w:val="center"/>
            <w:hideMark/>
          </w:tcPr>
          <w:p w14:paraId="108CCF1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3.13</w:t>
            </w:r>
          </w:p>
        </w:tc>
        <w:tc>
          <w:tcPr>
            <w:tcW w:w="292" w:type="dxa"/>
            <w:shd w:val="clear" w:color="auto" w:fill="auto"/>
            <w:noWrap/>
            <w:tcMar>
              <w:left w:w="0" w:type="dxa"/>
              <w:right w:w="0" w:type="dxa"/>
            </w:tcMar>
            <w:vAlign w:val="center"/>
            <w:hideMark/>
          </w:tcPr>
          <w:p w14:paraId="04F26CB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34198D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6928E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F72EA5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695243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729BEBB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62AE7DC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shd w:val="clear" w:color="auto" w:fill="auto"/>
            <w:noWrap/>
            <w:tcMar>
              <w:left w:w="0" w:type="dxa"/>
              <w:right w:w="0" w:type="dxa"/>
            </w:tcMar>
            <w:vAlign w:val="center"/>
            <w:hideMark/>
          </w:tcPr>
          <w:p w14:paraId="5B1B50D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292" w:type="dxa"/>
            <w:shd w:val="clear" w:color="auto" w:fill="auto"/>
            <w:noWrap/>
            <w:tcMar>
              <w:left w:w="0" w:type="dxa"/>
              <w:right w:w="0" w:type="dxa"/>
            </w:tcMar>
            <w:vAlign w:val="center"/>
            <w:hideMark/>
          </w:tcPr>
          <w:p w14:paraId="41F85DD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035850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03D620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1.19</w:t>
            </w:r>
          </w:p>
        </w:tc>
        <w:tc>
          <w:tcPr>
            <w:tcW w:w="292" w:type="dxa"/>
            <w:shd w:val="clear" w:color="auto" w:fill="auto"/>
            <w:noWrap/>
            <w:tcMar>
              <w:left w:w="0" w:type="dxa"/>
              <w:right w:w="0" w:type="dxa"/>
            </w:tcMar>
            <w:vAlign w:val="center"/>
            <w:hideMark/>
          </w:tcPr>
          <w:p w14:paraId="5DE612A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E67BE9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4D0823E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C55A4A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C9AE88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DD628B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5.44</w:t>
            </w:r>
          </w:p>
        </w:tc>
        <w:tc>
          <w:tcPr>
            <w:tcW w:w="332" w:type="dxa"/>
            <w:shd w:val="clear" w:color="auto" w:fill="auto"/>
            <w:noWrap/>
            <w:tcMar>
              <w:left w:w="0" w:type="dxa"/>
              <w:right w:w="0" w:type="dxa"/>
            </w:tcMar>
            <w:vAlign w:val="center"/>
            <w:hideMark/>
          </w:tcPr>
          <w:p w14:paraId="0BE44FB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0D20C0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5240A0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2A1DC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4695F80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2597F1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3E6E291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32B41F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1.06</w:t>
            </w:r>
          </w:p>
        </w:tc>
        <w:tc>
          <w:tcPr>
            <w:tcW w:w="292" w:type="dxa"/>
            <w:shd w:val="clear" w:color="auto" w:fill="auto"/>
            <w:noWrap/>
            <w:tcMar>
              <w:left w:w="0" w:type="dxa"/>
              <w:right w:w="0" w:type="dxa"/>
            </w:tcMar>
            <w:vAlign w:val="center"/>
            <w:hideMark/>
          </w:tcPr>
          <w:p w14:paraId="4D8F16D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056D36F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5.50</w:t>
            </w:r>
          </w:p>
        </w:tc>
        <w:tc>
          <w:tcPr>
            <w:tcW w:w="292" w:type="dxa"/>
            <w:shd w:val="clear" w:color="auto" w:fill="auto"/>
            <w:noWrap/>
            <w:tcMar>
              <w:left w:w="0" w:type="dxa"/>
              <w:right w:w="0" w:type="dxa"/>
            </w:tcMar>
            <w:vAlign w:val="center"/>
            <w:hideMark/>
          </w:tcPr>
          <w:p w14:paraId="49E16B6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7E3376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2D2099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1EC7D50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92" w:type="dxa"/>
            <w:shd w:val="clear" w:color="auto" w:fill="auto"/>
            <w:noWrap/>
            <w:tcMar>
              <w:left w:w="0" w:type="dxa"/>
              <w:right w:w="0" w:type="dxa"/>
            </w:tcMar>
            <w:vAlign w:val="center"/>
            <w:hideMark/>
          </w:tcPr>
          <w:p w14:paraId="734362B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shd w:val="clear" w:color="auto" w:fill="auto"/>
            <w:noWrap/>
            <w:tcMar>
              <w:left w:w="0" w:type="dxa"/>
              <w:right w:w="0" w:type="dxa"/>
            </w:tcMar>
            <w:vAlign w:val="center"/>
            <w:hideMark/>
          </w:tcPr>
          <w:p w14:paraId="7B2E56F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r>
      <w:tr w:rsidR="00FF1B38" w:rsidRPr="002E2EB3" w14:paraId="50EA8707" w14:textId="77777777" w:rsidTr="009276CC">
        <w:trPr>
          <w:trHeight w:val="300"/>
        </w:trPr>
        <w:tc>
          <w:tcPr>
            <w:tcW w:w="529" w:type="dxa"/>
            <w:vMerge/>
            <w:tcMar>
              <w:left w:w="0" w:type="dxa"/>
              <w:right w:w="0" w:type="dxa"/>
            </w:tcMar>
            <w:vAlign w:val="center"/>
            <w:hideMark/>
          </w:tcPr>
          <w:p w14:paraId="0A46C57E" w14:textId="77777777" w:rsidR="00FF1B38" w:rsidRPr="002E2EB3" w:rsidRDefault="00FF1B38" w:rsidP="009276CC">
            <w:pPr>
              <w:spacing w:after="0"/>
              <w:rPr>
                <w:rFonts w:ascii="Arial Narrow" w:hAnsi="Arial Narrow"/>
                <w:color w:val="000000"/>
                <w:sz w:val="20"/>
                <w:lang w:val="en-AU" w:eastAsia="en-AU"/>
              </w:rPr>
            </w:pPr>
          </w:p>
        </w:tc>
        <w:tc>
          <w:tcPr>
            <w:tcW w:w="1597" w:type="dxa"/>
            <w:vMerge/>
            <w:shd w:val="clear" w:color="auto" w:fill="auto"/>
            <w:noWrap/>
            <w:tcMar>
              <w:left w:w="0" w:type="dxa"/>
              <w:right w:w="0" w:type="dxa"/>
            </w:tcMar>
            <w:vAlign w:val="center"/>
            <w:hideMark/>
          </w:tcPr>
          <w:p w14:paraId="58131D2F" w14:textId="77777777" w:rsidR="00FF1B38" w:rsidRPr="002E2EB3" w:rsidRDefault="00FF1B38" w:rsidP="009276CC">
            <w:pPr>
              <w:spacing w:after="0"/>
              <w:jc w:val="center"/>
              <w:rPr>
                <w:rFonts w:ascii="Arial Narrow" w:hAnsi="Arial Narrow"/>
                <w:color w:val="000000"/>
                <w:sz w:val="20"/>
                <w:lang w:val="en-AU" w:eastAsia="en-AU"/>
              </w:rPr>
            </w:pPr>
          </w:p>
        </w:tc>
        <w:tc>
          <w:tcPr>
            <w:tcW w:w="425" w:type="dxa"/>
            <w:shd w:val="clear" w:color="auto" w:fill="auto"/>
            <w:noWrap/>
            <w:tcMar>
              <w:left w:w="0" w:type="dxa"/>
              <w:right w:w="0" w:type="dxa"/>
            </w:tcMar>
            <w:vAlign w:val="center"/>
            <w:hideMark/>
          </w:tcPr>
          <w:p w14:paraId="70536691"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4A92C85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shd w:val="clear" w:color="auto" w:fill="auto"/>
            <w:noWrap/>
            <w:tcMar>
              <w:left w:w="0" w:type="dxa"/>
              <w:right w:w="0" w:type="dxa"/>
            </w:tcMar>
            <w:vAlign w:val="center"/>
            <w:hideMark/>
          </w:tcPr>
          <w:p w14:paraId="7C1D125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2547D4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E57BEB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73CB18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292" w:type="dxa"/>
            <w:shd w:val="clear" w:color="auto" w:fill="auto"/>
            <w:noWrap/>
            <w:tcMar>
              <w:left w:w="0" w:type="dxa"/>
              <w:right w:w="0" w:type="dxa"/>
            </w:tcMar>
            <w:vAlign w:val="center"/>
            <w:hideMark/>
          </w:tcPr>
          <w:p w14:paraId="3E743FD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0CC12DB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1.06</w:t>
            </w:r>
          </w:p>
        </w:tc>
        <w:tc>
          <w:tcPr>
            <w:tcW w:w="292" w:type="dxa"/>
            <w:shd w:val="clear" w:color="auto" w:fill="auto"/>
            <w:noWrap/>
            <w:tcMar>
              <w:left w:w="0" w:type="dxa"/>
              <w:right w:w="0" w:type="dxa"/>
            </w:tcMar>
            <w:vAlign w:val="center"/>
            <w:hideMark/>
          </w:tcPr>
          <w:p w14:paraId="6A03717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292" w:type="dxa"/>
            <w:shd w:val="clear" w:color="auto" w:fill="auto"/>
            <w:noWrap/>
            <w:tcMar>
              <w:left w:w="0" w:type="dxa"/>
              <w:right w:w="0" w:type="dxa"/>
            </w:tcMar>
            <w:vAlign w:val="center"/>
            <w:hideMark/>
          </w:tcPr>
          <w:p w14:paraId="2124AD9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1725092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2DDAC1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1.31</w:t>
            </w:r>
          </w:p>
        </w:tc>
        <w:tc>
          <w:tcPr>
            <w:tcW w:w="292" w:type="dxa"/>
            <w:shd w:val="clear" w:color="auto" w:fill="auto"/>
            <w:noWrap/>
            <w:tcMar>
              <w:left w:w="0" w:type="dxa"/>
              <w:right w:w="0" w:type="dxa"/>
            </w:tcMar>
            <w:vAlign w:val="center"/>
            <w:hideMark/>
          </w:tcPr>
          <w:p w14:paraId="0D2080D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32FAB92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79EEFB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75F448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CD455D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28EEFE4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39E32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32" w:type="dxa"/>
            <w:shd w:val="clear" w:color="auto" w:fill="auto"/>
            <w:noWrap/>
            <w:tcMar>
              <w:left w:w="0" w:type="dxa"/>
              <w:right w:w="0" w:type="dxa"/>
            </w:tcMar>
            <w:vAlign w:val="center"/>
            <w:hideMark/>
          </w:tcPr>
          <w:p w14:paraId="16F9B0A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3FA47D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33A2C8C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6FDC46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0636C4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13E55C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292" w:type="dxa"/>
            <w:shd w:val="clear" w:color="auto" w:fill="auto"/>
            <w:noWrap/>
            <w:tcMar>
              <w:left w:w="0" w:type="dxa"/>
              <w:right w:w="0" w:type="dxa"/>
            </w:tcMar>
            <w:vAlign w:val="center"/>
            <w:hideMark/>
          </w:tcPr>
          <w:p w14:paraId="1F6DC00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06BEB3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2.63</w:t>
            </w:r>
          </w:p>
        </w:tc>
        <w:tc>
          <w:tcPr>
            <w:tcW w:w="292" w:type="dxa"/>
            <w:shd w:val="clear" w:color="auto" w:fill="auto"/>
            <w:noWrap/>
            <w:tcMar>
              <w:left w:w="0" w:type="dxa"/>
              <w:right w:w="0" w:type="dxa"/>
            </w:tcMar>
            <w:vAlign w:val="center"/>
            <w:hideMark/>
          </w:tcPr>
          <w:p w14:paraId="572B525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340246F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7.31</w:t>
            </w:r>
          </w:p>
        </w:tc>
        <w:tc>
          <w:tcPr>
            <w:tcW w:w="292" w:type="dxa"/>
            <w:shd w:val="clear" w:color="auto" w:fill="auto"/>
            <w:noWrap/>
            <w:tcMar>
              <w:left w:w="0" w:type="dxa"/>
              <w:right w:w="0" w:type="dxa"/>
            </w:tcMar>
            <w:vAlign w:val="center"/>
            <w:hideMark/>
          </w:tcPr>
          <w:p w14:paraId="5668710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7FC40AF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EE5197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60DE5F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6E3CB7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shd w:val="clear" w:color="auto" w:fill="auto"/>
            <w:noWrap/>
            <w:tcMar>
              <w:left w:w="0" w:type="dxa"/>
              <w:right w:w="0" w:type="dxa"/>
            </w:tcMar>
            <w:vAlign w:val="center"/>
            <w:hideMark/>
          </w:tcPr>
          <w:p w14:paraId="2A59C51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r>
      <w:tr w:rsidR="00FF1B38" w:rsidRPr="002E2EB3" w14:paraId="1943FAF4" w14:textId="77777777" w:rsidTr="009276CC">
        <w:trPr>
          <w:trHeight w:val="300"/>
        </w:trPr>
        <w:tc>
          <w:tcPr>
            <w:tcW w:w="529" w:type="dxa"/>
            <w:vMerge/>
            <w:tcMar>
              <w:left w:w="0" w:type="dxa"/>
              <w:right w:w="0" w:type="dxa"/>
            </w:tcMar>
            <w:vAlign w:val="center"/>
            <w:hideMark/>
          </w:tcPr>
          <w:p w14:paraId="504AED8F" w14:textId="77777777" w:rsidR="00FF1B38" w:rsidRPr="002E2EB3" w:rsidRDefault="00FF1B38" w:rsidP="009276CC">
            <w:pPr>
              <w:spacing w:after="0"/>
              <w:rPr>
                <w:rFonts w:ascii="Arial Narrow" w:hAnsi="Arial Narrow"/>
                <w:color w:val="000000"/>
                <w:sz w:val="20"/>
                <w:lang w:val="en-AU" w:eastAsia="en-AU"/>
              </w:rPr>
            </w:pPr>
          </w:p>
        </w:tc>
        <w:tc>
          <w:tcPr>
            <w:tcW w:w="1597" w:type="dxa"/>
            <w:vMerge w:val="restart"/>
            <w:shd w:val="clear" w:color="auto" w:fill="auto"/>
            <w:noWrap/>
            <w:tcMar>
              <w:left w:w="0" w:type="dxa"/>
              <w:right w:w="0" w:type="dxa"/>
            </w:tcMar>
            <w:vAlign w:val="center"/>
            <w:hideMark/>
          </w:tcPr>
          <w:p w14:paraId="658874DE"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Fitzroy West</w:t>
            </w:r>
          </w:p>
        </w:tc>
        <w:tc>
          <w:tcPr>
            <w:tcW w:w="425" w:type="dxa"/>
            <w:shd w:val="clear" w:color="auto" w:fill="auto"/>
            <w:noWrap/>
            <w:tcMar>
              <w:left w:w="0" w:type="dxa"/>
              <w:right w:w="0" w:type="dxa"/>
            </w:tcMar>
            <w:vAlign w:val="center"/>
            <w:hideMark/>
          </w:tcPr>
          <w:p w14:paraId="3EF8546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298" w:type="dxa"/>
            <w:shd w:val="clear" w:color="auto" w:fill="auto"/>
            <w:noWrap/>
            <w:tcMar>
              <w:left w:w="0" w:type="dxa"/>
              <w:right w:w="0" w:type="dxa"/>
            </w:tcMar>
            <w:vAlign w:val="center"/>
            <w:hideMark/>
          </w:tcPr>
          <w:p w14:paraId="57CA882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10.1</w:t>
            </w:r>
          </w:p>
        </w:tc>
        <w:tc>
          <w:tcPr>
            <w:tcW w:w="292" w:type="dxa"/>
            <w:shd w:val="clear" w:color="auto" w:fill="auto"/>
            <w:noWrap/>
            <w:tcMar>
              <w:left w:w="0" w:type="dxa"/>
              <w:right w:w="0" w:type="dxa"/>
            </w:tcMar>
            <w:vAlign w:val="center"/>
            <w:hideMark/>
          </w:tcPr>
          <w:p w14:paraId="0FD6E5E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23E108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20BF2F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F73C55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292" w:type="dxa"/>
            <w:shd w:val="clear" w:color="auto" w:fill="auto"/>
            <w:noWrap/>
            <w:tcMar>
              <w:left w:w="0" w:type="dxa"/>
              <w:right w:w="0" w:type="dxa"/>
            </w:tcMar>
            <w:vAlign w:val="center"/>
            <w:hideMark/>
          </w:tcPr>
          <w:p w14:paraId="17677B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77F4A54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0.95</w:t>
            </w:r>
          </w:p>
        </w:tc>
        <w:tc>
          <w:tcPr>
            <w:tcW w:w="292" w:type="dxa"/>
            <w:shd w:val="clear" w:color="auto" w:fill="auto"/>
            <w:noWrap/>
            <w:tcMar>
              <w:left w:w="0" w:type="dxa"/>
              <w:right w:w="0" w:type="dxa"/>
            </w:tcMar>
            <w:vAlign w:val="center"/>
            <w:hideMark/>
          </w:tcPr>
          <w:p w14:paraId="7F7596B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5D23E97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45C10F6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1A7844E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292" w:type="dxa"/>
            <w:shd w:val="clear" w:color="auto" w:fill="auto"/>
            <w:noWrap/>
            <w:tcMar>
              <w:left w:w="0" w:type="dxa"/>
              <w:right w:w="0" w:type="dxa"/>
            </w:tcMar>
            <w:vAlign w:val="center"/>
            <w:hideMark/>
          </w:tcPr>
          <w:p w14:paraId="12F7EFA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4CB22AD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6A2365E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B0863C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BE8602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292" w:type="dxa"/>
            <w:shd w:val="clear" w:color="auto" w:fill="auto"/>
            <w:noWrap/>
            <w:tcMar>
              <w:left w:w="0" w:type="dxa"/>
              <w:right w:w="0" w:type="dxa"/>
            </w:tcMar>
            <w:vAlign w:val="center"/>
            <w:hideMark/>
          </w:tcPr>
          <w:p w14:paraId="5CBD54B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667D22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5.08</w:t>
            </w:r>
          </w:p>
        </w:tc>
        <w:tc>
          <w:tcPr>
            <w:tcW w:w="332" w:type="dxa"/>
            <w:shd w:val="clear" w:color="auto" w:fill="auto"/>
            <w:noWrap/>
            <w:tcMar>
              <w:left w:w="0" w:type="dxa"/>
              <w:right w:w="0" w:type="dxa"/>
            </w:tcMar>
            <w:vAlign w:val="center"/>
            <w:hideMark/>
          </w:tcPr>
          <w:p w14:paraId="37F74FE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5C05FC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027247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8AFCF6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BB3EC1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0753A7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5C51013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AA8329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292" w:type="dxa"/>
            <w:shd w:val="clear" w:color="auto" w:fill="auto"/>
            <w:noWrap/>
            <w:tcMar>
              <w:left w:w="0" w:type="dxa"/>
              <w:right w:w="0" w:type="dxa"/>
            </w:tcMar>
            <w:vAlign w:val="center"/>
            <w:hideMark/>
          </w:tcPr>
          <w:p w14:paraId="11A9604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29DFA86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3.77</w:t>
            </w:r>
          </w:p>
        </w:tc>
        <w:tc>
          <w:tcPr>
            <w:tcW w:w="292" w:type="dxa"/>
            <w:shd w:val="clear" w:color="auto" w:fill="auto"/>
            <w:noWrap/>
            <w:tcMar>
              <w:left w:w="0" w:type="dxa"/>
              <w:right w:w="0" w:type="dxa"/>
            </w:tcMar>
            <w:vAlign w:val="center"/>
            <w:hideMark/>
          </w:tcPr>
          <w:p w14:paraId="044CA07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0AB479F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8B74A2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3AA3883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92" w:type="dxa"/>
            <w:shd w:val="clear" w:color="auto" w:fill="auto"/>
            <w:noWrap/>
            <w:tcMar>
              <w:left w:w="0" w:type="dxa"/>
              <w:right w:w="0" w:type="dxa"/>
            </w:tcMar>
            <w:vAlign w:val="center"/>
            <w:hideMark/>
          </w:tcPr>
          <w:p w14:paraId="2EAD709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425" w:type="dxa"/>
            <w:shd w:val="clear" w:color="auto" w:fill="auto"/>
            <w:noWrap/>
            <w:tcMar>
              <w:left w:w="0" w:type="dxa"/>
              <w:right w:w="0" w:type="dxa"/>
            </w:tcMar>
            <w:vAlign w:val="center"/>
            <w:hideMark/>
          </w:tcPr>
          <w:p w14:paraId="4EC5E73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r>
      <w:tr w:rsidR="00FF1B38" w:rsidRPr="002E2EB3" w14:paraId="666128CD" w14:textId="77777777" w:rsidTr="009276CC">
        <w:trPr>
          <w:trHeight w:val="300"/>
        </w:trPr>
        <w:tc>
          <w:tcPr>
            <w:tcW w:w="529" w:type="dxa"/>
            <w:vMerge/>
            <w:tcMar>
              <w:left w:w="0" w:type="dxa"/>
              <w:right w:w="0" w:type="dxa"/>
            </w:tcMar>
            <w:vAlign w:val="center"/>
            <w:hideMark/>
          </w:tcPr>
          <w:p w14:paraId="5FFF318A" w14:textId="77777777" w:rsidR="00FF1B38" w:rsidRPr="002E2EB3" w:rsidRDefault="00FF1B38" w:rsidP="009276CC">
            <w:pPr>
              <w:spacing w:after="0"/>
              <w:rPr>
                <w:rFonts w:ascii="Arial Narrow" w:hAnsi="Arial Narrow"/>
                <w:color w:val="000000"/>
                <w:sz w:val="20"/>
                <w:lang w:val="en-AU" w:eastAsia="en-AU"/>
              </w:rPr>
            </w:pPr>
          </w:p>
        </w:tc>
        <w:tc>
          <w:tcPr>
            <w:tcW w:w="1597" w:type="dxa"/>
            <w:vMerge/>
            <w:shd w:val="clear" w:color="auto" w:fill="auto"/>
            <w:noWrap/>
            <w:tcMar>
              <w:left w:w="0" w:type="dxa"/>
              <w:right w:w="0" w:type="dxa"/>
            </w:tcMar>
            <w:vAlign w:val="center"/>
            <w:hideMark/>
          </w:tcPr>
          <w:p w14:paraId="5C1C5F3C" w14:textId="77777777" w:rsidR="00FF1B38" w:rsidRPr="002E2EB3" w:rsidRDefault="00FF1B38" w:rsidP="009276CC">
            <w:pPr>
              <w:spacing w:after="0"/>
              <w:jc w:val="center"/>
              <w:rPr>
                <w:rFonts w:ascii="Arial Narrow" w:hAnsi="Arial Narrow"/>
                <w:color w:val="000000"/>
                <w:sz w:val="20"/>
                <w:lang w:val="en-AU" w:eastAsia="en-AU"/>
              </w:rPr>
            </w:pPr>
          </w:p>
        </w:tc>
        <w:tc>
          <w:tcPr>
            <w:tcW w:w="425" w:type="dxa"/>
            <w:shd w:val="clear" w:color="auto" w:fill="auto"/>
            <w:noWrap/>
            <w:tcMar>
              <w:left w:w="0" w:type="dxa"/>
              <w:right w:w="0" w:type="dxa"/>
            </w:tcMar>
            <w:vAlign w:val="center"/>
            <w:hideMark/>
          </w:tcPr>
          <w:p w14:paraId="477E7469"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5944C46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2.06</w:t>
            </w:r>
          </w:p>
        </w:tc>
        <w:tc>
          <w:tcPr>
            <w:tcW w:w="292" w:type="dxa"/>
            <w:shd w:val="clear" w:color="auto" w:fill="auto"/>
            <w:noWrap/>
            <w:tcMar>
              <w:left w:w="0" w:type="dxa"/>
              <w:right w:w="0" w:type="dxa"/>
            </w:tcMar>
            <w:vAlign w:val="center"/>
            <w:hideMark/>
          </w:tcPr>
          <w:p w14:paraId="3E2F583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9591E8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2AF549B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F1979B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1.25</w:t>
            </w:r>
          </w:p>
        </w:tc>
        <w:tc>
          <w:tcPr>
            <w:tcW w:w="292" w:type="dxa"/>
            <w:shd w:val="clear" w:color="auto" w:fill="auto"/>
            <w:noWrap/>
            <w:tcMar>
              <w:left w:w="0" w:type="dxa"/>
              <w:right w:w="0" w:type="dxa"/>
            </w:tcMar>
            <w:vAlign w:val="center"/>
            <w:hideMark/>
          </w:tcPr>
          <w:p w14:paraId="2F5F874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7ED6475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292" w:type="dxa"/>
            <w:shd w:val="clear" w:color="auto" w:fill="auto"/>
            <w:noWrap/>
            <w:tcMar>
              <w:left w:w="0" w:type="dxa"/>
              <w:right w:w="0" w:type="dxa"/>
            </w:tcMar>
            <w:vAlign w:val="center"/>
            <w:hideMark/>
          </w:tcPr>
          <w:p w14:paraId="7D7B176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763D21E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249AAC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7F2864E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292" w:type="dxa"/>
            <w:shd w:val="clear" w:color="auto" w:fill="auto"/>
            <w:noWrap/>
            <w:tcMar>
              <w:left w:w="0" w:type="dxa"/>
              <w:right w:w="0" w:type="dxa"/>
            </w:tcMar>
            <w:vAlign w:val="center"/>
            <w:hideMark/>
          </w:tcPr>
          <w:p w14:paraId="4BB329D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3358DAC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72CDA43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562193F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137522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292" w:type="dxa"/>
            <w:shd w:val="clear" w:color="auto" w:fill="auto"/>
            <w:noWrap/>
            <w:tcMar>
              <w:left w:w="0" w:type="dxa"/>
              <w:right w:w="0" w:type="dxa"/>
            </w:tcMar>
            <w:vAlign w:val="center"/>
            <w:hideMark/>
          </w:tcPr>
          <w:p w14:paraId="2257D56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1EA2701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32" w:type="dxa"/>
            <w:shd w:val="clear" w:color="auto" w:fill="auto"/>
            <w:noWrap/>
            <w:tcMar>
              <w:left w:w="0" w:type="dxa"/>
              <w:right w:w="0" w:type="dxa"/>
            </w:tcMar>
            <w:vAlign w:val="center"/>
            <w:hideMark/>
          </w:tcPr>
          <w:p w14:paraId="58B3DC0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070BF98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7171018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1755063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3DD3CC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971B0B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2994C06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AA5450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shd w:val="clear" w:color="auto" w:fill="auto"/>
            <w:noWrap/>
            <w:tcMar>
              <w:left w:w="0" w:type="dxa"/>
              <w:right w:w="0" w:type="dxa"/>
            </w:tcMar>
            <w:vAlign w:val="center"/>
            <w:hideMark/>
          </w:tcPr>
          <w:p w14:paraId="4155AD5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0EE83C0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9.88</w:t>
            </w:r>
          </w:p>
        </w:tc>
        <w:tc>
          <w:tcPr>
            <w:tcW w:w="292" w:type="dxa"/>
            <w:shd w:val="clear" w:color="auto" w:fill="auto"/>
            <w:noWrap/>
            <w:tcMar>
              <w:left w:w="0" w:type="dxa"/>
              <w:right w:w="0" w:type="dxa"/>
            </w:tcMar>
            <w:vAlign w:val="center"/>
            <w:hideMark/>
          </w:tcPr>
          <w:p w14:paraId="7E5476D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960182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468C832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178FBB2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92" w:type="dxa"/>
            <w:shd w:val="clear" w:color="auto" w:fill="auto"/>
            <w:noWrap/>
            <w:tcMar>
              <w:left w:w="0" w:type="dxa"/>
              <w:right w:w="0" w:type="dxa"/>
            </w:tcMar>
            <w:vAlign w:val="center"/>
            <w:hideMark/>
          </w:tcPr>
          <w:p w14:paraId="000C383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shd w:val="clear" w:color="auto" w:fill="auto"/>
            <w:noWrap/>
            <w:tcMar>
              <w:left w:w="0" w:type="dxa"/>
              <w:right w:w="0" w:type="dxa"/>
            </w:tcMar>
            <w:vAlign w:val="center"/>
            <w:hideMark/>
          </w:tcPr>
          <w:p w14:paraId="6FD5566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r>
      <w:tr w:rsidR="00FF1B38" w:rsidRPr="002E2EB3" w14:paraId="7BBF98D9" w14:textId="77777777" w:rsidTr="009276CC">
        <w:trPr>
          <w:trHeight w:val="300"/>
        </w:trPr>
        <w:tc>
          <w:tcPr>
            <w:tcW w:w="529" w:type="dxa"/>
            <w:vMerge/>
            <w:tcMar>
              <w:left w:w="0" w:type="dxa"/>
              <w:right w:w="0" w:type="dxa"/>
            </w:tcMar>
            <w:vAlign w:val="center"/>
            <w:hideMark/>
          </w:tcPr>
          <w:p w14:paraId="38673789" w14:textId="77777777" w:rsidR="00FF1B38" w:rsidRPr="002E2EB3" w:rsidRDefault="00FF1B38" w:rsidP="009276CC">
            <w:pPr>
              <w:spacing w:after="0"/>
              <w:rPr>
                <w:rFonts w:ascii="Arial Narrow" w:hAnsi="Arial Narrow"/>
                <w:color w:val="000000"/>
                <w:sz w:val="20"/>
                <w:lang w:val="en-AU" w:eastAsia="en-AU"/>
              </w:rPr>
            </w:pPr>
          </w:p>
        </w:tc>
        <w:tc>
          <w:tcPr>
            <w:tcW w:w="1597" w:type="dxa"/>
            <w:vMerge w:val="restart"/>
            <w:shd w:val="clear" w:color="auto" w:fill="auto"/>
            <w:noWrap/>
            <w:tcMar>
              <w:left w:w="0" w:type="dxa"/>
              <w:right w:w="0" w:type="dxa"/>
            </w:tcMar>
            <w:vAlign w:val="center"/>
            <w:hideMark/>
          </w:tcPr>
          <w:p w14:paraId="6ACA4E4C"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Franklands East</w:t>
            </w:r>
          </w:p>
        </w:tc>
        <w:tc>
          <w:tcPr>
            <w:tcW w:w="425" w:type="dxa"/>
            <w:shd w:val="clear" w:color="auto" w:fill="auto"/>
            <w:noWrap/>
            <w:tcMar>
              <w:left w:w="0" w:type="dxa"/>
              <w:right w:w="0" w:type="dxa"/>
            </w:tcMar>
            <w:vAlign w:val="center"/>
            <w:hideMark/>
          </w:tcPr>
          <w:p w14:paraId="6E2A970B"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298" w:type="dxa"/>
            <w:shd w:val="clear" w:color="auto" w:fill="auto"/>
            <w:noWrap/>
            <w:tcMar>
              <w:left w:w="0" w:type="dxa"/>
              <w:right w:w="0" w:type="dxa"/>
            </w:tcMar>
            <w:vAlign w:val="center"/>
            <w:hideMark/>
          </w:tcPr>
          <w:p w14:paraId="72F16E5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9.63</w:t>
            </w:r>
          </w:p>
        </w:tc>
        <w:tc>
          <w:tcPr>
            <w:tcW w:w="292" w:type="dxa"/>
            <w:shd w:val="clear" w:color="auto" w:fill="auto"/>
            <w:noWrap/>
            <w:tcMar>
              <w:left w:w="0" w:type="dxa"/>
              <w:right w:w="0" w:type="dxa"/>
            </w:tcMar>
            <w:vAlign w:val="center"/>
            <w:hideMark/>
          </w:tcPr>
          <w:p w14:paraId="3321F3D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895486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207F04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1599077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ABF50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087B099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732B4E0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292" w:type="dxa"/>
            <w:shd w:val="clear" w:color="auto" w:fill="auto"/>
            <w:noWrap/>
            <w:tcMar>
              <w:left w:w="0" w:type="dxa"/>
              <w:right w:w="0" w:type="dxa"/>
            </w:tcMar>
            <w:vAlign w:val="center"/>
            <w:hideMark/>
          </w:tcPr>
          <w:p w14:paraId="5F5D45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1840FD9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04CA65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7969C2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17F0FBE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12FD8DB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431639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5C588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56079E5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D51585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12.3</w:t>
            </w:r>
          </w:p>
        </w:tc>
        <w:tc>
          <w:tcPr>
            <w:tcW w:w="332" w:type="dxa"/>
            <w:shd w:val="clear" w:color="auto" w:fill="auto"/>
            <w:noWrap/>
            <w:tcMar>
              <w:left w:w="0" w:type="dxa"/>
              <w:right w:w="0" w:type="dxa"/>
            </w:tcMar>
            <w:vAlign w:val="center"/>
            <w:hideMark/>
          </w:tcPr>
          <w:p w14:paraId="34B64C4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0984D3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DD78E5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517BE15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1880A2B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9EE433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6495191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6F0D3E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1FFE66D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7DBC0DB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1.44</w:t>
            </w:r>
          </w:p>
        </w:tc>
        <w:tc>
          <w:tcPr>
            <w:tcW w:w="292" w:type="dxa"/>
            <w:shd w:val="clear" w:color="auto" w:fill="auto"/>
            <w:noWrap/>
            <w:tcMar>
              <w:left w:w="0" w:type="dxa"/>
              <w:right w:w="0" w:type="dxa"/>
            </w:tcMar>
            <w:vAlign w:val="center"/>
            <w:hideMark/>
          </w:tcPr>
          <w:p w14:paraId="3267D80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4D6C88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ED7A9E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429EBC7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92" w:type="dxa"/>
            <w:shd w:val="clear" w:color="auto" w:fill="auto"/>
            <w:noWrap/>
            <w:tcMar>
              <w:left w:w="0" w:type="dxa"/>
              <w:right w:w="0" w:type="dxa"/>
            </w:tcMar>
            <w:vAlign w:val="center"/>
            <w:hideMark/>
          </w:tcPr>
          <w:p w14:paraId="5EB20DF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shd w:val="clear" w:color="auto" w:fill="auto"/>
            <w:noWrap/>
            <w:tcMar>
              <w:left w:w="0" w:type="dxa"/>
              <w:right w:w="0" w:type="dxa"/>
            </w:tcMar>
            <w:vAlign w:val="center"/>
            <w:hideMark/>
          </w:tcPr>
          <w:p w14:paraId="6FCF38B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r>
      <w:tr w:rsidR="00FF1B38" w:rsidRPr="002E2EB3" w14:paraId="2C47EB4B" w14:textId="77777777" w:rsidTr="009276CC">
        <w:trPr>
          <w:trHeight w:val="300"/>
        </w:trPr>
        <w:tc>
          <w:tcPr>
            <w:tcW w:w="529" w:type="dxa"/>
            <w:vMerge/>
            <w:tcMar>
              <w:left w:w="0" w:type="dxa"/>
              <w:right w:w="0" w:type="dxa"/>
            </w:tcMar>
            <w:vAlign w:val="center"/>
            <w:hideMark/>
          </w:tcPr>
          <w:p w14:paraId="0057AB0E" w14:textId="77777777" w:rsidR="00FF1B38" w:rsidRPr="002E2EB3" w:rsidRDefault="00FF1B38" w:rsidP="009276CC">
            <w:pPr>
              <w:spacing w:after="0"/>
              <w:rPr>
                <w:rFonts w:ascii="Arial Narrow" w:hAnsi="Arial Narrow"/>
                <w:color w:val="000000"/>
                <w:sz w:val="20"/>
                <w:lang w:val="en-AU" w:eastAsia="en-AU"/>
              </w:rPr>
            </w:pPr>
          </w:p>
        </w:tc>
        <w:tc>
          <w:tcPr>
            <w:tcW w:w="1597" w:type="dxa"/>
            <w:vMerge/>
            <w:shd w:val="clear" w:color="auto" w:fill="auto"/>
            <w:noWrap/>
            <w:tcMar>
              <w:left w:w="0" w:type="dxa"/>
              <w:right w:w="0" w:type="dxa"/>
            </w:tcMar>
            <w:vAlign w:val="center"/>
            <w:hideMark/>
          </w:tcPr>
          <w:p w14:paraId="3E49F30E" w14:textId="77777777" w:rsidR="00FF1B38" w:rsidRPr="002E2EB3" w:rsidRDefault="00FF1B38" w:rsidP="009276CC">
            <w:pPr>
              <w:spacing w:after="0"/>
              <w:jc w:val="center"/>
              <w:rPr>
                <w:rFonts w:ascii="Arial Narrow" w:hAnsi="Arial Narrow"/>
                <w:color w:val="000000"/>
                <w:sz w:val="20"/>
                <w:lang w:val="en-AU" w:eastAsia="en-AU"/>
              </w:rPr>
            </w:pPr>
          </w:p>
        </w:tc>
        <w:tc>
          <w:tcPr>
            <w:tcW w:w="425" w:type="dxa"/>
            <w:shd w:val="clear" w:color="auto" w:fill="auto"/>
            <w:noWrap/>
            <w:tcMar>
              <w:left w:w="0" w:type="dxa"/>
              <w:right w:w="0" w:type="dxa"/>
            </w:tcMar>
            <w:vAlign w:val="center"/>
            <w:hideMark/>
          </w:tcPr>
          <w:p w14:paraId="35FE380E"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74B93C6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23.7</w:t>
            </w:r>
          </w:p>
        </w:tc>
        <w:tc>
          <w:tcPr>
            <w:tcW w:w="292" w:type="dxa"/>
            <w:shd w:val="clear" w:color="auto" w:fill="auto"/>
            <w:noWrap/>
            <w:tcMar>
              <w:left w:w="0" w:type="dxa"/>
              <w:right w:w="0" w:type="dxa"/>
            </w:tcMar>
            <w:vAlign w:val="center"/>
            <w:hideMark/>
          </w:tcPr>
          <w:p w14:paraId="014E90D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E181B2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DD712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EFCAB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E3B76C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0A4894C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292" w:type="dxa"/>
            <w:shd w:val="clear" w:color="auto" w:fill="auto"/>
            <w:noWrap/>
            <w:tcMar>
              <w:left w:w="0" w:type="dxa"/>
              <w:right w:w="0" w:type="dxa"/>
            </w:tcMar>
            <w:vAlign w:val="center"/>
            <w:hideMark/>
          </w:tcPr>
          <w:p w14:paraId="1D8039A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292" w:type="dxa"/>
            <w:shd w:val="clear" w:color="auto" w:fill="auto"/>
            <w:noWrap/>
            <w:tcMar>
              <w:left w:w="0" w:type="dxa"/>
              <w:right w:w="0" w:type="dxa"/>
            </w:tcMar>
            <w:vAlign w:val="center"/>
            <w:hideMark/>
          </w:tcPr>
          <w:p w14:paraId="5B30D80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7BDCFB0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679838D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55C9EB4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3E539B5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287C552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44DC1B4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B103A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4893DA8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292" w:type="dxa"/>
            <w:shd w:val="clear" w:color="auto" w:fill="auto"/>
            <w:noWrap/>
            <w:tcMar>
              <w:left w:w="0" w:type="dxa"/>
              <w:right w:w="0" w:type="dxa"/>
            </w:tcMar>
            <w:vAlign w:val="center"/>
            <w:hideMark/>
          </w:tcPr>
          <w:p w14:paraId="6B348B7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5.94</w:t>
            </w:r>
          </w:p>
        </w:tc>
        <w:tc>
          <w:tcPr>
            <w:tcW w:w="332" w:type="dxa"/>
            <w:shd w:val="clear" w:color="auto" w:fill="auto"/>
            <w:noWrap/>
            <w:tcMar>
              <w:left w:w="0" w:type="dxa"/>
              <w:right w:w="0" w:type="dxa"/>
            </w:tcMar>
            <w:vAlign w:val="center"/>
            <w:hideMark/>
          </w:tcPr>
          <w:p w14:paraId="59D76D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891ECD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51371C2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A3F617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C8B5B5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93BE02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591370B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9D804E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292" w:type="dxa"/>
            <w:shd w:val="clear" w:color="auto" w:fill="auto"/>
            <w:noWrap/>
            <w:tcMar>
              <w:left w:w="0" w:type="dxa"/>
              <w:right w:w="0" w:type="dxa"/>
            </w:tcMar>
            <w:vAlign w:val="center"/>
            <w:hideMark/>
          </w:tcPr>
          <w:p w14:paraId="4F42003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321025F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1.63</w:t>
            </w:r>
          </w:p>
        </w:tc>
        <w:tc>
          <w:tcPr>
            <w:tcW w:w="292" w:type="dxa"/>
            <w:shd w:val="clear" w:color="auto" w:fill="auto"/>
            <w:noWrap/>
            <w:tcMar>
              <w:left w:w="0" w:type="dxa"/>
              <w:right w:w="0" w:type="dxa"/>
            </w:tcMar>
            <w:vAlign w:val="center"/>
            <w:hideMark/>
          </w:tcPr>
          <w:p w14:paraId="308C32B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D83729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4.63</w:t>
            </w:r>
          </w:p>
        </w:tc>
        <w:tc>
          <w:tcPr>
            <w:tcW w:w="292" w:type="dxa"/>
            <w:shd w:val="clear" w:color="auto" w:fill="auto"/>
            <w:noWrap/>
            <w:tcMar>
              <w:left w:w="0" w:type="dxa"/>
              <w:right w:w="0" w:type="dxa"/>
            </w:tcMar>
            <w:vAlign w:val="center"/>
            <w:hideMark/>
          </w:tcPr>
          <w:p w14:paraId="06D02DA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292" w:type="dxa"/>
            <w:shd w:val="clear" w:color="auto" w:fill="auto"/>
            <w:noWrap/>
            <w:tcMar>
              <w:left w:w="0" w:type="dxa"/>
              <w:right w:w="0" w:type="dxa"/>
            </w:tcMar>
            <w:vAlign w:val="center"/>
            <w:hideMark/>
          </w:tcPr>
          <w:p w14:paraId="7B75145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92" w:type="dxa"/>
            <w:shd w:val="clear" w:color="auto" w:fill="auto"/>
            <w:noWrap/>
            <w:tcMar>
              <w:left w:w="0" w:type="dxa"/>
              <w:right w:w="0" w:type="dxa"/>
            </w:tcMar>
            <w:vAlign w:val="center"/>
            <w:hideMark/>
          </w:tcPr>
          <w:p w14:paraId="559B682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425" w:type="dxa"/>
            <w:shd w:val="clear" w:color="auto" w:fill="auto"/>
            <w:noWrap/>
            <w:tcMar>
              <w:left w:w="0" w:type="dxa"/>
              <w:right w:w="0" w:type="dxa"/>
            </w:tcMar>
            <w:vAlign w:val="center"/>
            <w:hideMark/>
          </w:tcPr>
          <w:p w14:paraId="45F6E8A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r>
      <w:tr w:rsidR="00FF1B38" w:rsidRPr="002E2EB3" w14:paraId="7812BB95" w14:textId="77777777" w:rsidTr="009276CC">
        <w:trPr>
          <w:trHeight w:val="300"/>
        </w:trPr>
        <w:tc>
          <w:tcPr>
            <w:tcW w:w="529" w:type="dxa"/>
            <w:vMerge/>
            <w:tcMar>
              <w:left w:w="0" w:type="dxa"/>
              <w:right w:w="0" w:type="dxa"/>
            </w:tcMar>
            <w:vAlign w:val="center"/>
            <w:hideMark/>
          </w:tcPr>
          <w:p w14:paraId="5E1A5E8E" w14:textId="77777777" w:rsidR="00FF1B38" w:rsidRPr="002E2EB3" w:rsidRDefault="00FF1B38" w:rsidP="009276CC">
            <w:pPr>
              <w:spacing w:after="0"/>
              <w:rPr>
                <w:rFonts w:ascii="Arial Narrow" w:hAnsi="Arial Narrow"/>
                <w:color w:val="000000"/>
                <w:sz w:val="20"/>
                <w:lang w:val="en-AU" w:eastAsia="en-AU"/>
              </w:rPr>
            </w:pPr>
          </w:p>
        </w:tc>
        <w:tc>
          <w:tcPr>
            <w:tcW w:w="1597" w:type="dxa"/>
            <w:vMerge w:val="restart"/>
            <w:shd w:val="clear" w:color="auto" w:fill="auto"/>
            <w:noWrap/>
            <w:tcMar>
              <w:left w:w="0" w:type="dxa"/>
              <w:right w:w="0" w:type="dxa"/>
            </w:tcMar>
            <w:vAlign w:val="center"/>
            <w:hideMark/>
          </w:tcPr>
          <w:p w14:paraId="34AA644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Franklands West</w:t>
            </w:r>
          </w:p>
        </w:tc>
        <w:tc>
          <w:tcPr>
            <w:tcW w:w="425" w:type="dxa"/>
            <w:shd w:val="clear" w:color="auto" w:fill="auto"/>
            <w:noWrap/>
            <w:tcMar>
              <w:left w:w="0" w:type="dxa"/>
              <w:right w:w="0" w:type="dxa"/>
            </w:tcMar>
            <w:vAlign w:val="center"/>
            <w:hideMark/>
          </w:tcPr>
          <w:p w14:paraId="07D5A07C"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298" w:type="dxa"/>
            <w:shd w:val="clear" w:color="auto" w:fill="auto"/>
            <w:noWrap/>
            <w:tcMar>
              <w:left w:w="0" w:type="dxa"/>
              <w:right w:w="0" w:type="dxa"/>
            </w:tcMar>
            <w:vAlign w:val="center"/>
            <w:hideMark/>
          </w:tcPr>
          <w:p w14:paraId="297A5A5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7.00</w:t>
            </w:r>
          </w:p>
        </w:tc>
        <w:tc>
          <w:tcPr>
            <w:tcW w:w="292" w:type="dxa"/>
            <w:shd w:val="clear" w:color="auto" w:fill="auto"/>
            <w:noWrap/>
            <w:tcMar>
              <w:left w:w="0" w:type="dxa"/>
              <w:right w:w="0" w:type="dxa"/>
            </w:tcMar>
            <w:vAlign w:val="center"/>
            <w:hideMark/>
          </w:tcPr>
          <w:p w14:paraId="55E966C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6195EB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654BF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C528D6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6089B9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5346AA0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58F5C02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6D8C04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4553B2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74CB65C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292" w:type="dxa"/>
            <w:shd w:val="clear" w:color="auto" w:fill="auto"/>
            <w:noWrap/>
            <w:tcMar>
              <w:left w:w="0" w:type="dxa"/>
              <w:right w:w="0" w:type="dxa"/>
            </w:tcMar>
            <w:vAlign w:val="center"/>
            <w:hideMark/>
          </w:tcPr>
          <w:p w14:paraId="3A0CE4A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1BADA91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292" w:type="dxa"/>
            <w:shd w:val="clear" w:color="auto" w:fill="auto"/>
            <w:noWrap/>
            <w:tcMar>
              <w:left w:w="0" w:type="dxa"/>
              <w:right w:w="0" w:type="dxa"/>
            </w:tcMar>
            <w:vAlign w:val="center"/>
            <w:hideMark/>
          </w:tcPr>
          <w:p w14:paraId="703C0AC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A765C1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9B6E80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38F0CF1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94601E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32" w:type="dxa"/>
            <w:shd w:val="clear" w:color="auto" w:fill="auto"/>
            <w:noWrap/>
            <w:tcMar>
              <w:left w:w="0" w:type="dxa"/>
              <w:right w:w="0" w:type="dxa"/>
            </w:tcMar>
            <w:vAlign w:val="center"/>
            <w:hideMark/>
          </w:tcPr>
          <w:p w14:paraId="5DC2914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C4CB67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600293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5.44</w:t>
            </w:r>
          </w:p>
        </w:tc>
        <w:tc>
          <w:tcPr>
            <w:tcW w:w="292" w:type="dxa"/>
            <w:shd w:val="clear" w:color="auto" w:fill="auto"/>
            <w:noWrap/>
            <w:tcMar>
              <w:left w:w="0" w:type="dxa"/>
              <w:right w:w="0" w:type="dxa"/>
            </w:tcMar>
            <w:vAlign w:val="center"/>
            <w:hideMark/>
          </w:tcPr>
          <w:p w14:paraId="7F3978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ABF3B3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54F017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72F75E2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6E42C8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4A8D04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1EF614F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19.4</w:t>
            </w:r>
          </w:p>
        </w:tc>
        <w:tc>
          <w:tcPr>
            <w:tcW w:w="292" w:type="dxa"/>
            <w:shd w:val="clear" w:color="auto" w:fill="auto"/>
            <w:noWrap/>
            <w:tcMar>
              <w:left w:w="0" w:type="dxa"/>
              <w:right w:w="0" w:type="dxa"/>
            </w:tcMar>
            <w:vAlign w:val="center"/>
            <w:hideMark/>
          </w:tcPr>
          <w:p w14:paraId="618FD24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581BEC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292" w:type="dxa"/>
            <w:shd w:val="clear" w:color="auto" w:fill="auto"/>
            <w:noWrap/>
            <w:tcMar>
              <w:left w:w="0" w:type="dxa"/>
              <w:right w:w="0" w:type="dxa"/>
            </w:tcMar>
            <w:vAlign w:val="center"/>
            <w:hideMark/>
          </w:tcPr>
          <w:p w14:paraId="3D800CB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473B19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157034F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shd w:val="clear" w:color="auto" w:fill="auto"/>
            <w:noWrap/>
            <w:tcMar>
              <w:left w:w="0" w:type="dxa"/>
              <w:right w:w="0" w:type="dxa"/>
            </w:tcMar>
            <w:vAlign w:val="center"/>
            <w:hideMark/>
          </w:tcPr>
          <w:p w14:paraId="0CAD86A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r>
      <w:tr w:rsidR="00FF1B38" w:rsidRPr="002E2EB3" w14:paraId="315324E6" w14:textId="77777777" w:rsidTr="009276CC">
        <w:trPr>
          <w:trHeight w:val="300"/>
        </w:trPr>
        <w:tc>
          <w:tcPr>
            <w:tcW w:w="529" w:type="dxa"/>
            <w:vMerge/>
            <w:tcMar>
              <w:left w:w="0" w:type="dxa"/>
              <w:right w:w="0" w:type="dxa"/>
            </w:tcMar>
            <w:vAlign w:val="center"/>
            <w:hideMark/>
          </w:tcPr>
          <w:p w14:paraId="01B32EF4" w14:textId="77777777" w:rsidR="00FF1B38" w:rsidRPr="002E2EB3" w:rsidRDefault="00FF1B38" w:rsidP="009276CC">
            <w:pPr>
              <w:spacing w:after="0"/>
              <w:rPr>
                <w:rFonts w:ascii="Arial Narrow" w:hAnsi="Arial Narrow"/>
                <w:color w:val="000000"/>
                <w:sz w:val="20"/>
                <w:lang w:val="en-AU" w:eastAsia="en-AU"/>
              </w:rPr>
            </w:pPr>
          </w:p>
        </w:tc>
        <w:tc>
          <w:tcPr>
            <w:tcW w:w="1597" w:type="dxa"/>
            <w:vMerge/>
            <w:shd w:val="clear" w:color="auto" w:fill="auto"/>
            <w:noWrap/>
            <w:tcMar>
              <w:left w:w="0" w:type="dxa"/>
              <w:right w:w="0" w:type="dxa"/>
            </w:tcMar>
            <w:vAlign w:val="center"/>
            <w:hideMark/>
          </w:tcPr>
          <w:p w14:paraId="521D08CD" w14:textId="77777777" w:rsidR="00FF1B38" w:rsidRPr="002E2EB3" w:rsidRDefault="00FF1B38" w:rsidP="009276CC">
            <w:pPr>
              <w:spacing w:after="0"/>
              <w:jc w:val="center"/>
              <w:rPr>
                <w:rFonts w:ascii="Arial Narrow" w:hAnsi="Arial Narrow"/>
                <w:color w:val="000000"/>
                <w:sz w:val="20"/>
                <w:lang w:val="en-AU" w:eastAsia="en-AU"/>
              </w:rPr>
            </w:pPr>
          </w:p>
        </w:tc>
        <w:tc>
          <w:tcPr>
            <w:tcW w:w="425" w:type="dxa"/>
            <w:shd w:val="clear" w:color="auto" w:fill="auto"/>
            <w:noWrap/>
            <w:tcMar>
              <w:left w:w="0" w:type="dxa"/>
              <w:right w:w="0" w:type="dxa"/>
            </w:tcMar>
            <w:vAlign w:val="center"/>
            <w:hideMark/>
          </w:tcPr>
          <w:p w14:paraId="3EE7893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53883E0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2CBF6E3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6F473F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B10F2B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43B39B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F22951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5CBDC11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76A531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A78144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BAECBD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6BCE23E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E45703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8EE2F6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49DDC0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70E252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4B3F64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6FBC29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36592B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32" w:type="dxa"/>
            <w:shd w:val="clear" w:color="auto" w:fill="auto"/>
            <w:noWrap/>
            <w:tcMar>
              <w:left w:w="0" w:type="dxa"/>
              <w:right w:w="0" w:type="dxa"/>
            </w:tcMar>
            <w:vAlign w:val="center"/>
            <w:hideMark/>
          </w:tcPr>
          <w:p w14:paraId="6ABA719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DA472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8B7CEB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2.44</w:t>
            </w:r>
          </w:p>
        </w:tc>
        <w:tc>
          <w:tcPr>
            <w:tcW w:w="292" w:type="dxa"/>
            <w:shd w:val="clear" w:color="auto" w:fill="auto"/>
            <w:noWrap/>
            <w:tcMar>
              <w:left w:w="0" w:type="dxa"/>
              <w:right w:w="0" w:type="dxa"/>
            </w:tcMar>
            <w:vAlign w:val="center"/>
            <w:hideMark/>
          </w:tcPr>
          <w:p w14:paraId="3E81F73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AF6677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9EC936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3DEC4D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431FC1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C9FE61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7D4B49A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46.5</w:t>
            </w:r>
          </w:p>
        </w:tc>
        <w:tc>
          <w:tcPr>
            <w:tcW w:w="292" w:type="dxa"/>
            <w:shd w:val="clear" w:color="auto" w:fill="auto"/>
            <w:noWrap/>
            <w:tcMar>
              <w:left w:w="0" w:type="dxa"/>
              <w:right w:w="0" w:type="dxa"/>
            </w:tcMar>
            <w:vAlign w:val="center"/>
            <w:hideMark/>
          </w:tcPr>
          <w:p w14:paraId="4C56C1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746459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DE87C0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AEB385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2CDE327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shd w:val="clear" w:color="auto" w:fill="auto"/>
            <w:noWrap/>
            <w:tcMar>
              <w:left w:w="0" w:type="dxa"/>
              <w:right w:w="0" w:type="dxa"/>
            </w:tcMar>
            <w:vAlign w:val="center"/>
            <w:hideMark/>
          </w:tcPr>
          <w:p w14:paraId="63438BB2"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5F8EF5F1" w14:textId="77777777" w:rsidTr="009276CC">
        <w:trPr>
          <w:trHeight w:val="300"/>
        </w:trPr>
        <w:tc>
          <w:tcPr>
            <w:tcW w:w="529" w:type="dxa"/>
            <w:vMerge/>
            <w:tcMar>
              <w:left w:w="0" w:type="dxa"/>
              <w:right w:w="0" w:type="dxa"/>
            </w:tcMar>
            <w:vAlign w:val="center"/>
            <w:hideMark/>
          </w:tcPr>
          <w:p w14:paraId="5DBB6159" w14:textId="77777777" w:rsidR="00FF1B38" w:rsidRPr="002E2EB3" w:rsidRDefault="00FF1B38" w:rsidP="009276CC">
            <w:pPr>
              <w:spacing w:after="0"/>
              <w:rPr>
                <w:rFonts w:ascii="Arial Narrow" w:hAnsi="Arial Narrow"/>
                <w:color w:val="000000"/>
                <w:sz w:val="20"/>
                <w:lang w:val="en-AU" w:eastAsia="en-AU"/>
              </w:rPr>
            </w:pPr>
          </w:p>
        </w:tc>
        <w:tc>
          <w:tcPr>
            <w:tcW w:w="1597" w:type="dxa"/>
            <w:vMerge w:val="restart"/>
            <w:shd w:val="clear" w:color="auto" w:fill="auto"/>
            <w:noWrap/>
            <w:tcMar>
              <w:left w:w="0" w:type="dxa"/>
              <w:right w:w="0" w:type="dxa"/>
            </w:tcMar>
            <w:vAlign w:val="center"/>
            <w:hideMark/>
          </w:tcPr>
          <w:p w14:paraId="78926C5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High East</w:t>
            </w:r>
          </w:p>
        </w:tc>
        <w:tc>
          <w:tcPr>
            <w:tcW w:w="425" w:type="dxa"/>
            <w:shd w:val="clear" w:color="auto" w:fill="auto"/>
            <w:noWrap/>
            <w:tcMar>
              <w:left w:w="0" w:type="dxa"/>
              <w:right w:w="0" w:type="dxa"/>
            </w:tcMar>
            <w:vAlign w:val="center"/>
            <w:hideMark/>
          </w:tcPr>
          <w:p w14:paraId="2453641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298" w:type="dxa"/>
            <w:shd w:val="clear" w:color="auto" w:fill="auto"/>
            <w:noWrap/>
            <w:tcMar>
              <w:left w:w="0" w:type="dxa"/>
              <w:right w:w="0" w:type="dxa"/>
            </w:tcMar>
            <w:vAlign w:val="center"/>
            <w:hideMark/>
          </w:tcPr>
          <w:p w14:paraId="2E3333B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24.3</w:t>
            </w:r>
          </w:p>
        </w:tc>
        <w:tc>
          <w:tcPr>
            <w:tcW w:w="292" w:type="dxa"/>
            <w:shd w:val="clear" w:color="auto" w:fill="auto"/>
            <w:noWrap/>
            <w:tcMar>
              <w:left w:w="0" w:type="dxa"/>
              <w:right w:w="0" w:type="dxa"/>
            </w:tcMar>
            <w:vAlign w:val="center"/>
            <w:hideMark/>
          </w:tcPr>
          <w:p w14:paraId="7D532B1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AA94C7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BE6C70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F6EE72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CA6D4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7734279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292" w:type="dxa"/>
            <w:shd w:val="clear" w:color="auto" w:fill="auto"/>
            <w:noWrap/>
            <w:tcMar>
              <w:left w:w="0" w:type="dxa"/>
              <w:right w:w="0" w:type="dxa"/>
            </w:tcMar>
            <w:vAlign w:val="center"/>
            <w:hideMark/>
          </w:tcPr>
          <w:p w14:paraId="26DECE6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4CA2030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292" w:type="dxa"/>
            <w:shd w:val="clear" w:color="auto" w:fill="auto"/>
            <w:noWrap/>
            <w:tcMar>
              <w:left w:w="0" w:type="dxa"/>
              <w:right w:w="0" w:type="dxa"/>
            </w:tcMar>
            <w:vAlign w:val="center"/>
            <w:hideMark/>
          </w:tcPr>
          <w:p w14:paraId="7E5B6F7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4D1455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shd w:val="clear" w:color="auto" w:fill="auto"/>
            <w:noWrap/>
            <w:tcMar>
              <w:left w:w="0" w:type="dxa"/>
              <w:right w:w="0" w:type="dxa"/>
            </w:tcMar>
            <w:vAlign w:val="center"/>
            <w:hideMark/>
          </w:tcPr>
          <w:p w14:paraId="3B5CD06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72B2C33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4EF74A9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7FF4DB8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F96494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7386A34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F32BD5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8.56</w:t>
            </w:r>
          </w:p>
        </w:tc>
        <w:tc>
          <w:tcPr>
            <w:tcW w:w="332" w:type="dxa"/>
            <w:shd w:val="clear" w:color="auto" w:fill="auto"/>
            <w:noWrap/>
            <w:tcMar>
              <w:left w:w="0" w:type="dxa"/>
              <w:right w:w="0" w:type="dxa"/>
            </w:tcMar>
            <w:vAlign w:val="center"/>
            <w:hideMark/>
          </w:tcPr>
          <w:p w14:paraId="2895ED9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AC8D54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5AA142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8D4DBF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9074F7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881A0E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shd w:val="clear" w:color="auto" w:fill="auto"/>
            <w:noWrap/>
            <w:tcMar>
              <w:left w:w="0" w:type="dxa"/>
              <w:right w:w="0" w:type="dxa"/>
            </w:tcMar>
            <w:vAlign w:val="center"/>
            <w:hideMark/>
          </w:tcPr>
          <w:p w14:paraId="000617E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4D0DBC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5B8C44B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shd w:val="clear" w:color="auto" w:fill="auto"/>
            <w:noWrap/>
            <w:tcMar>
              <w:left w:w="0" w:type="dxa"/>
              <w:right w:w="0" w:type="dxa"/>
            </w:tcMar>
            <w:vAlign w:val="center"/>
            <w:hideMark/>
          </w:tcPr>
          <w:p w14:paraId="2F35562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3.69</w:t>
            </w:r>
          </w:p>
        </w:tc>
        <w:tc>
          <w:tcPr>
            <w:tcW w:w="292" w:type="dxa"/>
            <w:shd w:val="clear" w:color="auto" w:fill="auto"/>
            <w:noWrap/>
            <w:tcMar>
              <w:left w:w="0" w:type="dxa"/>
              <w:right w:w="0" w:type="dxa"/>
            </w:tcMar>
            <w:vAlign w:val="center"/>
            <w:hideMark/>
          </w:tcPr>
          <w:p w14:paraId="2C35E6F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AEB37D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CC9712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7075E7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1.06</w:t>
            </w:r>
          </w:p>
        </w:tc>
        <w:tc>
          <w:tcPr>
            <w:tcW w:w="392" w:type="dxa"/>
            <w:shd w:val="clear" w:color="auto" w:fill="auto"/>
            <w:noWrap/>
            <w:tcMar>
              <w:left w:w="0" w:type="dxa"/>
              <w:right w:w="0" w:type="dxa"/>
            </w:tcMar>
            <w:vAlign w:val="center"/>
            <w:hideMark/>
          </w:tcPr>
          <w:p w14:paraId="70BF6E3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425" w:type="dxa"/>
            <w:shd w:val="clear" w:color="auto" w:fill="auto"/>
            <w:noWrap/>
            <w:tcMar>
              <w:left w:w="0" w:type="dxa"/>
              <w:right w:w="0" w:type="dxa"/>
            </w:tcMar>
            <w:vAlign w:val="center"/>
            <w:hideMark/>
          </w:tcPr>
          <w:p w14:paraId="7AF336E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r>
      <w:tr w:rsidR="00FF1B38" w:rsidRPr="002E2EB3" w14:paraId="02A78BF9" w14:textId="77777777" w:rsidTr="009276CC">
        <w:trPr>
          <w:trHeight w:val="300"/>
        </w:trPr>
        <w:tc>
          <w:tcPr>
            <w:tcW w:w="529" w:type="dxa"/>
            <w:vMerge/>
            <w:tcMar>
              <w:left w:w="0" w:type="dxa"/>
              <w:right w:w="0" w:type="dxa"/>
            </w:tcMar>
            <w:vAlign w:val="center"/>
            <w:hideMark/>
          </w:tcPr>
          <w:p w14:paraId="0A7E0249" w14:textId="77777777" w:rsidR="00FF1B38" w:rsidRPr="002E2EB3" w:rsidRDefault="00FF1B38" w:rsidP="009276CC">
            <w:pPr>
              <w:spacing w:after="0"/>
              <w:rPr>
                <w:rFonts w:ascii="Arial Narrow" w:hAnsi="Arial Narrow"/>
                <w:color w:val="000000"/>
                <w:sz w:val="20"/>
                <w:lang w:val="en-AU" w:eastAsia="en-AU"/>
              </w:rPr>
            </w:pPr>
          </w:p>
        </w:tc>
        <w:tc>
          <w:tcPr>
            <w:tcW w:w="1597" w:type="dxa"/>
            <w:vMerge/>
            <w:shd w:val="clear" w:color="auto" w:fill="auto"/>
            <w:noWrap/>
            <w:tcMar>
              <w:left w:w="0" w:type="dxa"/>
              <w:right w:w="0" w:type="dxa"/>
            </w:tcMar>
            <w:vAlign w:val="center"/>
            <w:hideMark/>
          </w:tcPr>
          <w:p w14:paraId="1F2A54EE" w14:textId="77777777" w:rsidR="00FF1B38" w:rsidRPr="002E2EB3" w:rsidRDefault="00FF1B38" w:rsidP="009276CC">
            <w:pPr>
              <w:spacing w:after="0"/>
              <w:jc w:val="center"/>
              <w:rPr>
                <w:rFonts w:ascii="Arial Narrow" w:hAnsi="Arial Narrow"/>
                <w:color w:val="000000"/>
                <w:sz w:val="20"/>
                <w:lang w:val="en-AU" w:eastAsia="en-AU"/>
              </w:rPr>
            </w:pPr>
          </w:p>
        </w:tc>
        <w:tc>
          <w:tcPr>
            <w:tcW w:w="425" w:type="dxa"/>
            <w:shd w:val="clear" w:color="auto" w:fill="auto"/>
            <w:noWrap/>
            <w:tcMar>
              <w:left w:w="0" w:type="dxa"/>
              <w:right w:w="0" w:type="dxa"/>
            </w:tcMar>
            <w:vAlign w:val="center"/>
            <w:hideMark/>
          </w:tcPr>
          <w:p w14:paraId="360900F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shd w:val="clear" w:color="auto" w:fill="auto"/>
            <w:noWrap/>
            <w:tcMar>
              <w:left w:w="0" w:type="dxa"/>
              <w:right w:w="0" w:type="dxa"/>
            </w:tcMar>
            <w:vAlign w:val="center"/>
            <w:hideMark/>
          </w:tcPr>
          <w:p w14:paraId="1276905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11.19</w:t>
            </w:r>
          </w:p>
        </w:tc>
        <w:tc>
          <w:tcPr>
            <w:tcW w:w="292" w:type="dxa"/>
            <w:shd w:val="clear" w:color="auto" w:fill="auto"/>
            <w:noWrap/>
            <w:tcMar>
              <w:left w:w="0" w:type="dxa"/>
              <w:right w:w="0" w:type="dxa"/>
            </w:tcMar>
            <w:vAlign w:val="center"/>
            <w:hideMark/>
          </w:tcPr>
          <w:p w14:paraId="698B61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316D93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E989E6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000193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782D8A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51BD6C4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1.31</w:t>
            </w:r>
          </w:p>
        </w:tc>
        <w:tc>
          <w:tcPr>
            <w:tcW w:w="292" w:type="dxa"/>
            <w:shd w:val="clear" w:color="auto" w:fill="auto"/>
            <w:noWrap/>
            <w:tcMar>
              <w:left w:w="0" w:type="dxa"/>
              <w:right w:w="0" w:type="dxa"/>
            </w:tcMar>
            <w:vAlign w:val="center"/>
            <w:hideMark/>
          </w:tcPr>
          <w:p w14:paraId="6AEF0A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6F739BC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292" w:type="dxa"/>
            <w:shd w:val="clear" w:color="auto" w:fill="auto"/>
            <w:noWrap/>
            <w:tcMar>
              <w:left w:w="0" w:type="dxa"/>
              <w:right w:w="0" w:type="dxa"/>
            </w:tcMar>
            <w:vAlign w:val="center"/>
            <w:hideMark/>
          </w:tcPr>
          <w:p w14:paraId="412B3CA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2C321D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02F63E6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3BC3B9B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292" w:type="dxa"/>
            <w:shd w:val="clear" w:color="auto" w:fill="auto"/>
            <w:noWrap/>
            <w:tcMar>
              <w:left w:w="0" w:type="dxa"/>
              <w:right w:w="0" w:type="dxa"/>
            </w:tcMar>
            <w:vAlign w:val="center"/>
            <w:hideMark/>
          </w:tcPr>
          <w:p w14:paraId="5EB8C7A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71D0FDA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9A0E12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292" w:type="dxa"/>
            <w:shd w:val="clear" w:color="auto" w:fill="auto"/>
            <w:noWrap/>
            <w:tcMar>
              <w:left w:w="0" w:type="dxa"/>
              <w:right w:w="0" w:type="dxa"/>
            </w:tcMar>
            <w:vAlign w:val="center"/>
            <w:hideMark/>
          </w:tcPr>
          <w:p w14:paraId="2BE9EF5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88F4DD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8.69</w:t>
            </w:r>
          </w:p>
        </w:tc>
        <w:tc>
          <w:tcPr>
            <w:tcW w:w="332" w:type="dxa"/>
            <w:shd w:val="clear" w:color="auto" w:fill="auto"/>
            <w:noWrap/>
            <w:tcMar>
              <w:left w:w="0" w:type="dxa"/>
              <w:right w:w="0" w:type="dxa"/>
            </w:tcMar>
            <w:vAlign w:val="center"/>
            <w:hideMark/>
          </w:tcPr>
          <w:p w14:paraId="3CAA39A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971870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35580C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4239B0A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A3ABB2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7A2AA1C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292" w:type="dxa"/>
            <w:shd w:val="clear" w:color="auto" w:fill="auto"/>
            <w:noWrap/>
            <w:tcMar>
              <w:left w:w="0" w:type="dxa"/>
              <w:right w:w="0" w:type="dxa"/>
            </w:tcMar>
            <w:vAlign w:val="center"/>
            <w:hideMark/>
          </w:tcPr>
          <w:p w14:paraId="508C5A1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369945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292" w:type="dxa"/>
            <w:shd w:val="clear" w:color="auto" w:fill="auto"/>
            <w:noWrap/>
            <w:tcMar>
              <w:left w:w="0" w:type="dxa"/>
              <w:right w:w="0" w:type="dxa"/>
            </w:tcMar>
            <w:vAlign w:val="center"/>
            <w:hideMark/>
          </w:tcPr>
          <w:p w14:paraId="746D12A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57" w:type="dxa"/>
            <w:shd w:val="clear" w:color="auto" w:fill="auto"/>
            <w:noWrap/>
            <w:tcMar>
              <w:left w:w="0" w:type="dxa"/>
              <w:right w:w="0" w:type="dxa"/>
            </w:tcMar>
            <w:vAlign w:val="center"/>
            <w:hideMark/>
          </w:tcPr>
          <w:p w14:paraId="1771F90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19.4</w:t>
            </w:r>
          </w:p>
        </w:tc>
        <w:tc>
          <w:tcPr>
            <w:tcW w:w="292" w:type="dxa"/>
            <w:shd w:val="clear" w:color="auto" w:fill="auto"/>
            <w:noWrap/>
            <w:tcMar>
              <w:left w:w="0" w:type="dxa"/>
              <w:right w:w="0" w:type="dxa"/>
            </w:tcMar>
            <w:vAlign w:val="center"/>
            <w:hideMark/>
          </w:tcPr>
          <w:p w14:paraId="0A6B190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49AAC2D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37022BB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292" w:type="dxa"/>
            <w:shd w:val="clear" w:color="auto" w:fill="auto"/>
            <w:noWrap/>
            <w:tcMar>
              <w:left w:w="0" w:type="dxa"/>
              <w:right w:w="0" w:type="dxa"/>
            </w:tcMar>
            <w:vAlign w:val="center"/>
            <w:hideMark/>
          </w:tcPr>
          <w:p w14:paraId="695300D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3054F6C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425" w:type="dxa"/>
            <w:shd w:val="clear" w:color="auto" w:fill="auto"/>
            <w:noWrap/>
            <w:tcMar>
              <w:left w:w="0" w:type="dxa"/>
              <w:right w:w="0" w:type="dxa"/>
            </w:tcMar>
            <w:vAlign w:val="center"/>
            <w:hideMark/>
          </w:tcPr>
          <w:p w14:paraId="468BF7A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r>
      <w:tr w:rsidR="00FF1B38" w:rsidRPr="002E2EB3" w14:paraId="19DA2A72" w14:textId="77777777" w:rsidTr="009276CC">
        <w:trPr>
          <w:trHeight w:val="300"/>
        </w:trPr>
        <w:tc>
          <w:tcPr>
            <w:tcW w:w="529" w:type="dxa"/>
            <w:vMerge/>
            <w:tcMar>
              <w:left w:w="0" w:type="dxa"/>
              <w:right w:w="0" w:type="dxa"/>
            </w:tcMar>
            <w:vAlign w:val="center"/>
            <w:hideMark/>
          </w:tcPr>
          <w:p w14:paraId="70B17093" w14:textId="77777777" w:rsidR="00FF1B38" w:rsidRPr="002E2EB3" w:rsidRDefault="00FF1B38" w:rsidP="009276CC">
            <w:pPr>
              <w:spacing w:after="0"/>
              <w:rPr>
                <w:rFonts w:ascii="Arial Narrow" w:hAnsi="Arial Narrow"/>
                <w:color w:val="000000"/>
                <w:sz w:val="20"/>
                <w:lang w:val="en-AU" w:eastAsia="en-AU"/>
              </w:rPr>
            </w:pPr>
          </w:p>
        </w:tc>
        <w:tc>
          <w:tcPr>
            <w:tcW w:w="1597" w:type="dxa"/>
            <w:vMerge w:val="restart"/>
            <w:shd w:val="clear" w:color="auto" w:fill="auto"/>
            <w:noWrap/>
            <w:tcMar>
              <w:left w:w="0" w:type="dxa"/>
              <w:right w:w="0" w:type="dxa"/>
            </w:tcMar>
            <w:vAlign w:val="center"/>
            <w:hideMark/>
          </w:tcPr>
          <w:p w14:paraId="62389C2E"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High West</w:t>
            </w:r>
          </w:p>
        </w:tc>
        <w:tc>
          <w:tcPr>
            <w:tcW w:w="425" w:type="dxa"/>
            <w:shd w:val="clear" w:color="auto" w:fill="auto"/>
            <w:noWrap/>
            <w:tcMar>
              <w:left w:w="0" w:type="dxa"/>
              <w:right w:w="0" w:type="dxa"/>
            </w:tcMar>
            <w:vAlign w:val="center"/>
            <w:hideMark/>
          </w:tcPr>
          <w:p w14:paraId="30CC8D51"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298" w:type="dxa"/>
            <w:shd w:val="clear" w:color="auto" w:fill="auto"/>
            <w:noWrap/>
            <w:tcMar>
              <w:left w:w="0" w:type="dxa"/>
              <w:right w:w="0" w:type="dxa"/>
            </w:tcMar>
            <w:vAlign w:val="center"/>
            <w:hideMark/>
          </w:tcPr>
          <w:p w14:paraId="325638E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7.06</w:t>
            </w:r>
          </w:p>
        </w:tc>
        <w:tc>
          <w:tcPr>
            <w:tcW w:w="292" w:type="dxa"/>
            <w:shd w:val="clear" w:color="auto" w:fill="auto"/>
            <w:noWrap/>
            <w:tcMar>
              <w:left w:w="0" w:type="dxa"/>
              <w:right w:w="0" w:type="dxa"/>
            </w:tcMar>
            <w:vAlign w:val="center"/>
            <w:hideMark/>
          </w:tcPr>
          <w:p w14:paraId="30D13BD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5F1D67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09BC620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1B096A2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33947A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shd w:val="clear" w:color="auto" w:fill="auto"/>
            <w:noWrap/>
            <w:tcMar>
              <w:left w:w="0" w:type="dxa"/>
              <w:right w:w="0" w:type="dxa"/>
            </w:tcMar>
            <w:vAlign w:val="center"/>
            <w:hideMark/>
          </w:tcPr>
          <w:p w14:paraId="577FDA4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5EE6414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shd w:val="clear" w:color="auto" w:fill="auto"/>
            <w:noWrap/>
            <w:tcMar>
              <w:left w:w="0" w:type="dxa"/>
              <w:right w:w="0" w:type="dxa"/>
            </w:tcMar>
            <w:vAlign w:val="center"/>
            <w:hideMark/>
          </w:tcPr>
          <w:p w14:paraId="4263B01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056828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07E743F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4E26554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shd w:val="clear" w:color="auto" w:fill="auto"/>
            <w:noWrap/>
            <w:tcMar>
              <w:left w:w="0" w:type="dxa"/>
              <w:right w:w="0" w:type="dxa"/>
            </w:tcMar>
            <w:vAlign w:val="center"/>
            <w:hideMark/>
          </w:tcPr>
          <w:p w14:paraId="2FA2981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3.56</w:t>
            </w:r>
          </w:p>
        </w:tc>
        <w:tc>
          <w:tcPr>
            <w:tcW w:w="292" w:type="dxa"/>
            <w:shd w:val="clear" w:color="auto" w:fill="auto"/>
            <w:noWrap/>
            <w:tcMar>
              <w:left w:w="0" w:type="dxa"/>
              <w:right w:w="0" w:type="dxa"/>
            </w:tcMar>
            <w:vAlign w:val="center"/>
            <w:hideMark/>
          </w:tcPr>
          <w:p w14:paraId="0BB1FB5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4603B63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1771F04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091C02F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shd w:val="clear" w:color="auto" w:fill="auto"/>
            <w:noWrap/>
            <w:tcMar>
              <w:left w:w="0" w:type="dxa"/>
              <w:right w:w="0" w:type="dxa"/>
            </w:tcMar>
            <w:vAlign w:val="center"/>
            <w:hideMark/>
          </w:tcPr>
          <w:p w14:paraId="12AAFE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1.94</w:t>
            </w:r>
          </w:p>
        </w:tc>
        <w:tc>
          <w:tcPr>
            <w:tcW w:w="332" w:type="dxa"/>
            <w:shd w:val="clear" w:color="auto" w:fill="auto"/>
            <w:noWrap/>
            <w:tcMar>
              <w:left w:w="0" w:type="dxa"/>
              <w:right w:w="0" w:type="dxa"/>
            </w:tcMar>
            <w:vAlign w:val="center"/>
            <w:hideMark/>
          </w:tcPr>
          <w:p w14:paraId="44E79C8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shd w:val="clear" w:color="auto" w:fill="auto"/>
            <w:noWrap/>
            <w:tcMar>
              <w:left w:w="0" w:type="dxa"/>
              <w:right w:w="0" w:type="dxa"/>
            </w:tcMar>
            <w:vAlign w:val="center"/>
            <w:hideMark/>
          </w:tcPr>
          <w:p w14:paraId="046D06B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65A7773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4965A6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shd w:val="clear" w:color="auto" w:fill="auto"/>
            <w:noWrap/>
            <w:tcMar>
              <w:left w:w="0" w:type="dxa"/>
              <w:right w:w="0" w:type="dxa"/>
            </w:tcMar>
            <w:vAlign w:val="center"/>
            <w:hideMark/>
          </w:tcPr>
          <w:p w14:paraId="77178CF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D88C91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shd w:val="clear" w:color="auto" w:fill="auto"/>
            <w:noWrap/>
            <w:tcMar>
              <w:left w:w="0" w:type="dxa"/>
              <w:right w:w="0" w:type="dxa"/>
            </w:tcMar>
            <w:vAlign w:val="center"/>
            <w:hideMark/>
          </w:tcPr>
          <w:p w14:paraId="6398131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5C21EE2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292" w:type="dxa"/>
            <w:shd w:val="clear" w:color="auto" w:fill="auto"/>
            <w:noWrap/>
            <w:tcMar>
              <w:left w:w="0" w:type="dxa"/>
              <w:right w:w="0" w:type="dxa"/>
            </w:tcMar>
            <w:vAlign w:val="center"/>
            <w:hideMark/>
          </w:tcPr>
          <w:p w14:paraId="1CB9B42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57" w:type="dxa"/>
            <w:shd w:val="clear" w:color="auto" w:fill="auto"/>
            <w:noWrap/>
            <w:tcMar>
              <w:left w:w="0" w:type="dxa"/>
              <w:right w:w="0" w:type="dxa"/>
            </w:tcMar>
            <w:vAlign w:val="center"/>
            <w:hideMark/>
          </w:tcPr>
          <w:p w14:paraId="1B41AE5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38.9</w:t>
            </w:r>
          </w:p>
        </w:tc>
        <w:tc>
          <w:tcPr>
            <w:tcW w:w="292" w:type="dxa"/>
            <w:shd w:val="clear" w:color="auto" w:fill="auto"/>
            <w:noWrap/>
            <w:tcMar>
              <w:left w:w="0" w:type="dxa"/>
              <w:right w:w="0" w:type="dxa"/>
            </w:tcMar>
            <w:vAlign w:val="center"/>
            <w:hideMark/>
          </w:tcPr>
          <w:p w14:paraId="41C9F57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shd w:val="clear" w:color="auto" w:fill="auto"/>
            <w:noWrap/>
            <w:tcMar>
              <w:left w:w="0" w:type="dxa"/>
              <w:right w:w="0" w:type="dxa"/>
            </w:tcMar>
            <w:vAlign w:val="center"/>
            <w:hideMark/>
          </w:tcPr>
          <w:p w14:paraId="7BDB3A2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45325D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shd w:val="clear" w:color="auto" w:fill="auto"/>
            <w:noWrap/>
            <w:tcMar>
              <w:left w:w="0" w:type="dxa"/>
              <w:right w:w="0" w:type="dxa"/>
            </w:tcMar>
            <w:vAlign w:val="center"/>
            <w:hideMark/>
          </w:tcPr>
          <w:p w14:paraId="24E0699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shd w:val="clear" w:color="auto" w:fill="auto"/>
            <w:noWrap/>
            <w:tcMar>
              <w:left w:w="0" w:type="dxa"/>
              <w:right w:w="0" w:type="dxa"/>
            </w:tcMar>
            <w:vAlign w:val="center"/>
            <w:hideMark/>
          </w:tcPr>
          <w:p w14:paraId="503F018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shd w:val="clear" w:color="auto" w:fill="auto"/>
            <w:noWrap/>
            <w:tcMar>
              <w:left w:w="0" w:type="dxa"/>
              <w:right w:w="0" w:type="dxa"/>
            </w:tcMar>
            <w:vAlign w:val="center"/>
            <w:hideMark/>
          </w:tcPr>
          <w:p w14:paraId="1C2A325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r>
      <w:tr w:rsidR="00FF1B38" w:rsidRPr="002E2EB3" w14:paraId="0FCB0DA4" w14:textId="77777777" w:rsidTr="009276CC">
        <w:trPr>
          <w:trHeight w:val="300"/>
        </w:trPr>
        <w:tc>
          <w:tcPr>
            <w:tcW w:w="529" w:type="dxa"/>
            <w:vMerge/>
            <w:tcBorders>
              <w:bottom w:val="single" w:sz="4" w:space="0" w:color="auto"/>
            </w:tcBorders>
            <w:tcMar>
              <w:left w:w="0" w:type="dxa"/>
              <w:right w:w="0" w:type="dxa"/>
            </w:tcMar>
            <w:vAlign w:val="center"/>
            <w:hideMark/>
          </w:tcPr>
          <w:p w14:paraId="619B0E09" w14:textId="77777777" w:rsidR="00FF1B38" w:rsidRPr="002E2EB3" w:rsidRDefault="00FF1B38" w:rsidP="009276CC">
            <w:pPr>
              <w:spacing w:after="0"/>
              <w:rPr>
                <w:rFonts w:ascii="Arial Narrow" w:hAnsi="Arial Narrow"/>
                <w:color w:val="000000"/>
                <w:sz w:val="20"/>
                <w:lang w:val="en-AU" w:eastAsia="en-AU"/>
              </w:rPr>
            </w:pPr>
          </w:p>
        </w:tc>
        <w:tc>
          <w:tcPr>
            <w:tcW w:w="1597" w:type="dxa"/>
            <w:vMerge/>
            <w:tcBorders>
              <w:bottom w:val="single" w:sz="4" w:space="0" w:color="auto"/>
            </w:tcBorders>
            <w:shd w:val="clear" w:color="auto" w:fill="auto"/>
            <w:noWrap/>
            <w:tcMar>
              <w:left w:w="0" w:type="dxa"/>
              <w:right w:w="0" w:type="dxa"/>
            </w:tcMar>
            <w:vAlign w:val="bottom"/>
            <w:hideMark/>
          </w:tcPr>
          <w:p w14:paraId="14765912" w14:textId="77777777" w:rsidR="00FF1B38" w:rsidRPr="002E2EB3" w:rsidRDefault="00FF1B38" w:rsidP="009276CC">
            <w:pPr>
              <w:spacing w:after="0"/>
              <w:rPr>
                <w:rFonts w:ascii="Arial Narrow" w:hAnsi="Arial Narrow"/>
                <w:color w:val="000000"/>
                <w:sz w:val="20"/>
                <w:lang w:val="en-AU" w:eastAsia="en-AU"/>
              </w:rPr>
            </w:pPr>
          </w:p>
        </w:tc>
        <w:tc>
          <w:tcPr>
            <w:tcW w:w="425" w:type="dxa"/>
            <w:tcBorders>
              <w:bottom w:val="single" w:sz="4" w:space="0" w:color="auto"/>
            </w:tcBorders>
            <w:shd w:val="clear" w:color="auto" w:fill="auto"/>
            <w:noWrap/>
            <w:tcMar>
              <w:left w:w="0" w:type="dxa"/>
              <w:right w:w="0" w:type="dxa"/>
            </w:tcMar>
            <w:vAlign w:val="center"/>
            <w:hideMark/>
          </w:tcPr>
          <w:p w14:paraId="1B43CD4D"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298" w:type="dxa"/>
            <w:tcBorders>
              <w:bottom w:val="single" w:sz="4" w:space="0" w:color="auto"/>
            </w:tcBorders>
            <w:shd w:val="clear" w:color="auto" w:fill="auto"/>
            <w:noWrap/>
            <w:tcMar>
              <w:left w:w="0" w:type="dxa"/>
              <w:right w:w="0" w:type="dxa"/>
            </w:tcMar>
            <w:vAlign w:val="center"/>
            <w:hideMark/>
          </w:tcPr>
          <w:p w14:paraId="1327BA9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1.50</w:t>
            </w:r>
          </w:p>
        </w:tc>
        <w:tc>
          <w:tcPr>
            <w:tcW w:w="292" w:type="dxa"/>
            <w:tcBorders>
              <w:bottom w:val="single" w:sz="4" w:space="0" w:color="auto"/>
            </w:tcBorders>
            <w:shd w:val="clear" w:color="auto" w:fill="auto"/>
            <w:noWrap/>
            <w:tcMar>
              <w:left w:w="0" w:type="dxa"/>
              <w:right w:w="0" w:type="dxa"/>
            </w:tcMar>
            <w:vAlign w:val="center"/>
            <w:hideMark/>
          </w:tcPr>
          <w:p w14:paraId="762D445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41A3742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36ABDF0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tcBorders>
              <w:bottom w:val="single" w:sz="4" w:space="0" w:color="auto"/>
            </w:tcBorders>
            <w:shd w:val="clear" w:color="auto" w:fill="auto"/>
            <w:noWrap/>
            <w:tcMar>
              <w:left w:w="0" w:type="dxa"/>
              <w:right w:w="0" w:type="dxa"/>
            </w:tcMar>
            <w:vAlign w:val="center"/>
            <w:hideMark/>
          </w:tcPr>
          <w:p w14:paraId="7A96CCE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063EB15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8" w:type="dxa"/>
            <w:tcBorders>
              <w:bottom w:val="single" w:sz="4" w:space="0" w:color="auto"/>
            </w:tcBorders>
            <w:shd w:val="clear" w:color="auto" w:fill="auto"/>
            <w:noWrap/>
            <w:tcMar>
              <w:left w:w="0" w:type="dxa"/>
              <w:right w:w="0" w:type="dxa"/>
            </w:tcMar>
            <w:vAlign w:val="center"/>
            <w:hideMark/>
          </w:tcPr>
          <w:p w14:paraId="2E25920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tcBorders>
              <w:bottom w:val="single" w:sz="4" w:space="0" w:color="auto"/>
            </w:tcBorders>
            <w:shd w:val="clear" w:color="auto" w:fill="auto"/>
            <w:noWrap/>
            <w:tcMar>
              <w:left w:w="0" w:type="dxa"/>
              <w:right w:w="0" w:type="dxa"/>
            </w:tcMar>
            <w:vAlign w:val="center"/>
            <w:hideMark/>
          </w:tcPr>
          <w:p w14:paraId="7260A87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292" w:type="dxa"/>
            <w:tcBorders>
              <w:bottom w:val="single" w:sz="4" w:space="0" w:color="auto"/>
            </w:tcBorders>
            <w:shd w:val="clear" w:color="auto" w:fill="auto"/>
            <w:noWrap/>
            <w:tcMar>
              <w:left w:w="0" w:type="dxa"/>
              <w:right w:w="0" w:type="dxa"/>
            </w:tcMar>
            <w:vAlign w:val="center"/>
            <w:hideMark/>
          </w:tcPr>
          <w:p w14:paraId="012C53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292" w:type="dxa"/>
            <w:tcBorders>
              <w:bottom w:val="single" w:sz="4" w:space="0" w:color="auto"/>
            </w:tcBorders>
            <w:shd w:val="clear" w:color="auto" w:fill="auto"/>
            <w:noWrap/>
            <w:tcMar>
              <w:left w:w="0" w:type="dxa"/>
              <w:right w:w="0" w:type="dxa"/>
            </w:tcMar>
            <w:vAlign w:val="center"/>
            <w:hideMark/>
          </w:tcPr>
          <w:p w14:paraId="1C8CF14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tcBorders>
              <w:bottom w:val="single" w:sz="4" w:space="0" w:color="auto"/>
            </w:tcBorders>
            <w:shd w:val="clear" w:color="auto" w:fill="auto"/>
            <w:noWrap/>
            <w:tcMar>
              <w:left w:w="0" w:type="dxa"/>
              <w:right w:w="0" w:type="dxa"/>
            </w:tcMar>
            <w:vAlign w:val="center"/>
            <w:hideMark/>
          </w:tcPr>
          <w:p w14:paraId="66101F9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tcBorders>
              <w:bottom w:val="single" w:sz="4" w:space="0" w:color="auto"/>
            </w:tcBorders>
            <w:shd w:val="clear" w:color="auto" w:fill="auto"/>
            <w:noWrap/>
            <w:tcMar>
              <w:left w:w="0" w:type="dxa"/>
              <w:right w:w="0" w:type="dxa"/>
            </w:tcMar>
            <w:vAlign w:val="center"/>
            <w:hideMark/>
          </w:tcPr>
          <w:p w14:paraId="13987BB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292" w:type="dxa"/>
            <w:tcBorders>
              <w:bottom w:val="single" w:sz="4" w:space="0" w:color="auto"/>
            </w:tcBorders>
            <w:shd w:val="clear" w:color="auto" w:fill="auto"/>
            <w:noWrap/>
            <w:tcMar>
              <w:left w:w="0" w:type="dxa"/>
              <w:right w:w="0" w:type="dxa"/>
            </w:tcMar>
            <w:vAlign w:val="center"/>
            <w:hideMark/>
          </w:tcPr>
          <w:p w14:paraId="5BCF293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2.64</w:t>
            </w:r>
          </w:p>
        </w:tc>
        <w:tc>
          <w:tcPr>
            <w:tcW w:w="292" w:type="dxa"/>
            <w:tcBorders>
              <w:bottom w:val="single" w:sz="4" w:space="0" w:color="auto"/>
            </w:tcBorders>
            <w:shd w:val="clear" w:color="auto" w:fill="auto"/>
            <w:noWrap/>
            <w:tcMar>
              <w:left w:w="0" w:type="dxa"/>
              <w:right w:w="0" w:type="dxa"/>
            </w:tcMar>
            <w:vAlign w:val="center"/>
            <w:hideMark/>
          </w:tcPr>
          <w:p w14:paraId="356E22D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5D3B5A7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tcBorders>
              <w:bottom w:val="single" w:sz="4" w:space="0" w:color="auto"/>
            </w:tcBorders>
            <w:shd w:val="clear" w:color="auto" w:fill="auto"/>
            <w:noWrap/>
            <w:tcMar>
              <w:left w:w="0" w:type="dxa"/>
              <w:right w:w="0" w:type="dxa"/>
            </w:tcMar>
            <w:vAlign w:val="center"/>
            <w:hideMark/>
          </w:tcPr>
          <w:p w14:paraId="490B32B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292" w:type="dxa"/>
            <w:tcBorders>
              <w:bottom w:val="single" w:sz="4" w:space="0" w:color="auto"/>
            </w:tcBorders>
            <w:shd w:val="clear" w:color="auto" w:fill="auto"/>
            <w:noWrap/>
            <w:tcMar>
              <w:left w:w="0" w:type="dxa"/>
              <w:right w:w="0" w:type="dxa"/>
            </w:tcMar>
            <w:vAlign w:val="center"/>
            <w:hideMark/>
          </w:tcPr>
          <w:p w14:paraId="4DA5975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292" w:type="dxa"/>
            <w:tcBorders>
              <w:bottom w:val="single" w:sz="4" w:space="0" w:color="auto"/>
            </w:tcBorders>
            <w:shd w:val="clear" w:color="auto" w:fill="auto"/>
            <w:noWrap/>
            <w:tcMar>
              <w:left w:w="0" w:type="dxa"/>
              <w:right w:w="0" w:type="dxa"/>
            </w:tcMar>
            <w:vAlign w:val="center"/>
            <w:hideMark/>
          </w:tcPr>
          <w:p w14:paraId="64AC681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32" w:type="dxa"/>
            <w:tcBorders>
              <w:bottom w:val="single" w:sz="4" w:space="0" w:color="auto"/>
            </w:tcBorders>
            <w:shd w:val="clear" w:color="auto" w:fill="auto"/>
            <w:noWrap/>
            <w:tcMar>
              <w:left w:w="0" w:type="dxa"/>
              <w:right w:w="0" w:type="dxa"/>
            </w:tcMar>
            <w:vAlign w:val="center"/>
            <w:hideMark/>
          </w:tcPr>
          <w:p w14:paraId="4521C84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3C0DB6D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292" w:type="dxa"/>
            <w:tcBorders>
              <w:bottom w:val="single" w:sz="4" w:space="0" w:color="auto"/>
            </w:tcBorders>
            <w:shd w:val="clear" w:color="auto" w:fill="auto"/>
            <w:noWrap/>
            <w:tcMar>
              <w:left w:w="0" w:type="dxa"/>
              <w:right w:w="0" w:type="dxa"/>
            </w:tcMar>
            <w:vAlign w:val="center"/>
            <w:hideMark/>
          </w:tcPr>
          <w:p w14:paraId="752C4EE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292" w:type="dxa"/>
            <w:tcBorders>
              <w:bottom w:val="single" w:sz="4" w:space="0" w:color="auto"/>
            </w:tcBorders>
            <w:shd w:val="clear" w:color="auto" w:fill="auto"/>
            <w:noWrap/>
            <w:tcMar>
              <w:left w:w="0" w:type="dxa"/>
              <w:right w:w="0" w:type="dxa"/>
            </w:tcMar>
            <w:vAlign w:val="center"/>
            <w:hideMark/>
          </w:tcPr>
          <w:p w14:paraId="3FDB532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1.32</w:t>
            </w:r>
          </w:p>
        </w:tc>
        <w:tc>
          <w:tcPr>
            <w:tcW w:w="292" w:type="dxa"/>
            <w:tcBorders>
              <w:bottom w:val="single" w:sz="4" w:space="0" w:color="auto"/>
            </w:tcBorders>
            <w:shd w:val="clear" w:color="auto" w:fill="auto"/>
            <w:noWrap/>
            <w:tcMar>
              <w:left w:w="0" w:type="dxa"/>
              <w:right w:w="0" w:type="dxa"/>
            </w:tcMar>
            <w:vAlign w:val="center"/>
            <w:hideMark/>
          </w:tcPr>
          <w:p w14:paraId="5C12B0C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54157EF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292" w:type="dxa"/>
            <w:tcBorders>
              <w:bottom w:val="single" w:sz="4" w:space="0" w:color="auto"/>
            </w:tcBorders>
            <w:shd w:val="clear" w:color="auto" w:fill="auto"/>
            <w:noWrap/>
            <w:tcMar>
              <w:left w:w="0" w:type="dxa"/>
              <w:right w:w="0" w:type="dxa"/>
            </w:tcMar>
            <w:vAlign w:val="center"/>
            <w:hideMark/>
          </w:tcPr>
          <w:p w14:paraId="57B3AE8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233C509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292" w:type="dxa"/>
            <w:tcBorders>
              <w:bottom w:val="single" w:sz="4" w:space="0" w:color="auto"/>
            </w:tcBorders>
            <w:shd w:val="clear" w:color="auto" w:fill="auto"/>
            <w:noWrap/>
            <w:tcMar>
              <w:left w:w="0" w:type="dxa"/>
              <w:right w:w="0" w:type="dxa"/>
            </w:tcMar>
            <w:vAlign w:val="center"/>
            <w:hideMark/>
          </w:tcPr>
          <w:p w14:paraId="5BED2E0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57" w:type="dxa"/>
            <w:tcBorders>
              <w:bottom w:val="single" w:sz="4" w:space="0" w:color="auto"/>
            </w:tcBorders>
            <w:shd w:val="clear" w:color="auto" w:fill="auto"/>
            <w:noWrap/>
            <w:tcMar>
              <w:left w:w="0" w:type="dxa"/>
              <w:right w:w="0" w:type="dxa"/>
            </w:tcMar>
            <w:vAlign w:val="center"/>
            <w:hideMark/>
          </w:tcPr>
          <w:p w14:paraId="350C066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14.2</w:t>
            </w:r>
          </w:p>
        </w:tc>
        <w:tc>
          <w:tcPr>
            <w:tcW w:w="292" w:type="dxa"/>
            <w:tcBorders>
              <w:bottom w:val="single" w:sz="4" w:space="0" w:color="auto"/>
            </w:tcBorders>
            <w:shd w:val="clear" w:color="auto" w:fill="auto"/>
            <w:noWrap/>
            <w:tcMar>
              <w:left w:w="0" w:type="dxa"/>
              <w:right w:w="0" w:type="dxa"/>
            </w:tcMar>
            <w:vAlign w:val="center"/>
            <w:hideMark/>
          </w:tcPr>
          <w:p w14:paraId="295E964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2CB7FB1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2929286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292" w:type="dxa"/>
            <w:tcBorders>
              <w:bottom w:val="single" w:sz="4" w:space="0" w:color="auto"/>
            </w:tcBorders>
            <w:shd w:val="clear" w:color="auto" w:fill="auto"/>
            <w:noWrap/>
            <w:tcMar>
              <w:left w:w="0" w:type="dxa"/>
              <w:right w:w="0" w:type="dxa"/>
            </w:tcMar>
            <w:vAlign w:val="center"/>
            <w:hideMark/>
          </w:tcPr>
          <w:p w14:paraId="2B00D3D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92" w:type="dxa"/>
            <w:tcBorders>
              <w:bottom w:val="single" w:sz="4" w:space="0" w:color="auto"/>
            </w:tcBorders>
            <w:shd w:val="clear" w:color="auto" w:fill="auto"/>
            <w:noWrap/>
            <w:tcMar>
              <w:left w:w="0" w:type="dxa"/>
              <w:right w:w="0" w:type="dxa"/>
            </w:tcMar>
            <w:vAlign w:val="center"/>
            <w:hideMark/>
          </w:tcPr>
          <w:p w14:paraId="59CB845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25" w:type="dxa"/>
            <w:tcBorders>
              <w:bottom w:val="single" w:sz="4" w:space="0" w:color="auto"/>
            </w:tcBorders>
            <w:shd w:val="clear" w:color="auto" w:fill="auto"/>
            <w:noWrap/>
            <w:tcMar>
              <w:left w:w="0" w:type="dxa"/>
              <w:right w:w="0" w:type="dxa"/>
            </w:tcMar>
            <w:vAlign w:val="center"/>
            <w:hideMark/>
          </w:tcPr>
          <w:p w14:paraId="6FA1085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1.88</w:t>
            </w:r>
          </w:p>
        </w:tc>
      </w:tr>
    </w:tbl>
    <w:p w14:paraId="7BD6FA0E" w14:textId="77777777" w:rsidR="00FF1B38" w:rsidRPr="002E2EB3" w:rsidRDefault="00FF1B38" w:rsidP="00FF1B38"/>
    <w:p w14:paraId="0143F51C" w14:textId="77777777" w:rsidR="00FF1B38" w:rsidRPr="002E2EB3" w:rsidRDefault="00FF1B38" w:rsidP="00FF1B38"/>
    <w:p w14:paraId="271ED6C4" w14:textId="77777777" w:rsidR="00FF1B38" w:rsidRPr="002E2EB3" w:rsidRDefault="00FF1B38" w:rsidP="00FF1B38"/>
    <w:p w14:paraId="6521DB65" w14:textId="77777777" w:rsidR="00FF1B38" w:rsidRPr="002E2EB3" w:rsidRDefault="00FF1B38" w:rsidP="00FF1B38">
      <w:pPr>
        <w:rPr>
          <w:rFonts w:ascii="Arial Narrow" w:hAnsi="Arial Narrow"/>
          <w:sz w:val="20"/>
        </w:rPr>
      </w:pPr>
      <w:r w:rsidRPr="002E2EB3">
        <w:rPr>
          <w:rFonts w:ascii="Arial Narrow" w:hAnsi="Arial Narrow"/>
          <w:sz w:val="20"/>
        </w:rPr>
        <w:t xml:space="preserve">Table </w:t>
      </w:r>
      <w:proofErr w:type="gramStart"/>
      <w:r w:rsidRPr="002E2EB3">
        <w:rPr>
          <w:rFonts w:ascii="Arial Narrow" w:hAnsi="Arial Narrow"/>
          <w:sz w:val="20"/>
        </w:rPr>
        <w:t>A</w:t>
      </w:r>
      <w:proofErr w:type="gramEnd"/>
      <w:r w:rsidR="0096504D">
        <w:rPr>
          <w:rFonts w:ascii="Arial Narrow" w:hAnsi="Arial Narrow"/>
          <w:sz w:val="20"/>
        </w:rPr>
        <w:t xml:space="preserve"> </w:t>
      </w:r>
      <w:r w:rsidRPr="002E2EB3">
        <w:rPr>
          <w:rFonts w:ascii="Arial Narrow" w:hAnsi="Arial Narrow"/>
          <w:sz w:val="20"/>
        </w:rPr>
        <w:t>5 cont</w:t>
      </w:r>
      <w:r w:rsidR="0033244F">
        <w:rPr>
          <w:rFonts w:ascii="Arial Narrow" w:hAnsi="Arial Narrow"/>
          <w:sz w:val="20"/>
        </w:rPr>
        <w:t>inued</w:t>
      </w:r>
    </w:p>
    <w:tbl>
      <w:tblPr>
        <w:tblW w:w="1332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      Table A1-5 cont."/>
        <w:tblDescription w:val="      Table A1-5 cont."/>
      </w:tblPr>
      <w:tblGrid>
        <w:gridCol w:w="545"/>
        <w:gridCol w:w="1649"/>
        <w:gridCol w:w="438"/>
        <w:gridCol w:w="307"/>
        <w:gridCol w:w="301"/>
        <w:gridCol w:w="301"/>
        <w:gridCol w:w="301"/>
        <w:gridCol w:w="301"/>
        <w:gridCol w:w="301"/>
        <w:gridCol w:w="379"/>
        <w:gridCol w:w="302"/>
        <w:gridCol w:w="302"/>
        <w:gridCol w:w="302"/>
        <w:gridCol w:w="302"/>
        <w:gridCol w:w="302"/>
        <w:gridCol w:w="302"/>
        <w:gridCol w:w="302"/>
        <w:gridCol w:w="302"/>
        <w:gridCol w:w="302"/>
        <w:gridCol w:w="302"/>
        <w:gridCol w:w="302"/>
        <w:gridCol w:w="343"/>
        <w:gridCol w:w="302"/>
        <w:gridCol w:w="302"/>
        <w:gridCol w:w="302"/>
        <w:gridCol w:w="302"/>
        <w:gridCol w:w="302"/>
        <w:gridCol w:w="302"/>
        <w:gridCol w:w="302"/>
        <w:gridCol w:w="302"/>
        <w:gridCol w:w="369"/>
        <w:gridCol w:w="302"/>
        <w:gridCol w:w="302"/>
        <w:gridCol w:w="302"/>
        <w:gridCol w:w="302"/>
        <w:gridCol w:w="405"/>
        <w:gridCol w:w="439"/>
      </w:tblGrid>
      <w:tr w:rsidR="00DD4BB0" w:rsidRPr="002E2EB3" w14:paraId="34EFE25E" w14:textId="77777777" w:rsidTr="009276CC">
        <w:trPr>
          <w:trHeight w:val="1380"/>
        </w:trPr>
        <w:tc>
          <w:tcPr>
            <w:tcW w:w="545" w:type="dxa"/>
            <w:shd w:val="clear" w:color="auto" w:fill="F2F2F2" w:themeFill="background1" w:themeFillShade="F2"/>
            <w:noWrap/>
            <w:tcMar>
              <w:left w:w="0" w:type="dxa"/>
              <w:right w:w="0" w:type="dxa"/>
            </w:tcMar>
            <w:textDirection w:val="btLr"/>
            <w:vAlign w:val="center"/>
            <w:hideMark/>
          </w:tcPr>
          <w:p w14:paraId="5EEA8DE4"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lastRenderedPageBreak/>
              <w:t>sub/Region</w:t>
            </w:r>
          </w:p>
        </w:tc>
        <w:tc>
          <w:tcPr>
            <w:tcW w:w="1649" w:type="dxa"/>
            <w:shd w:val="clear" w:color="auto" w:fill="F2F2F2" w:themeFill="background1" w:themeFillShade="F2"/>
            <w:noWrap/>
            <w:tcMar>
              <w:left w:w="0" w:type="dxa"/>
              <w:right w:w="0" w:type="dxa"/>
            </w:tcMar>
            <w:vAlign w:val="center"/>
            <w:hideMark/>
          </w:tcPr>
          <w:p w14:paraId="67523E0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Reef</w:t>
            </w:r>
          </w:p>
        </w:tc>
        <w:tc>
          <w:tcPr>
            <w:tcW w:w="438" w:type="dxa"/>
            <w:shd w:val="clear" w:color="auto" w:fill="F2F2F2" w:themeFill="background1" w:themeFillShade="F2"/>
            <w:noWrap/>
            <w:tcMar>
              <w:left w:w="0" w:type="dxa"/>
              <w:right w:w="0" w:type="dxa"/>
            </w:tcMar>
            <w:textDirection w:val="btLr"/>
            <w:vAlign w:val="center"/>
            <w:hideMark/>
          </w:tcPr>
          <w:p w14:paraId="5922FA2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DEPTH</w:t>
            </w:r>
          </w:p>
        </w:tc>
        <w:tc>
          <w:tcPr>
            <w:tcW w:w="307" w:type="dxa"/>
            <w:shd w:val="clear" w:color="auto" w:fill="F2F2F2" w:themeFill="background1" w:themeFillShade="F2"/>
            <w:noWrap/>
            <w:tcMar>
              <w:left w:w="0" w:type="dxa"/>
              <w:right w:w="0" w:type="dxa"/>
            </w:tcMar>
            <w:textDirection w:val="btLr"/>
            <w:vAlign w:val="center"/>
            <w:hideMark/>
          </w:tcPr>
          <w:p w14:paraId="2DE34897"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Acropora</w:t>
            </w:r>
          </w:p>
        </w:tc>
        <w:tc>
          <w:tcPr>
            <w:tcW w:w="301" w:type="dxa"/>
            <w:shd w:val="clear" w:color="auto" w:fill="F2F2F2" w:themeFill="background1" w:themeFillShade="F2"/>
            <w:noWrap/>
            <w:tcMar>
              <w:left w:w="0" w:type="dxa"/>
              <w:right w:w="0" w:type="dxa"/>
            </w:tcMar>
            <w:textDirection w:val="btLr"/>
            <w:vAlign w:val="center"/>
            <w:hideMark/>
          </w:tcPr>
          <w:p w14:paraId="036498F5"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Alveopora</w:t>
            </w:r>
          </w:p>
        </w:tc>
        <w:tc>
          <w:tcPr>
            <w:tcW w:w="301" w:type="dxa"/>
            <w:shd w:val="clear" w:color="auto" w:fill="F2F2F2" w:themeFill="background1" w:themeFillShade="F2"/>
            <w:noWrap/>
            <w:tcMar>
              <w:left w:w="0" w:type="dxa"/>
              <w:right w:w="0" w:type="dxa"/>
            </w:tcMar>
            <w:textDirection w:val="btLr"/>
            <w:vAlign w:val="center"/>
            <w:hideMark/>
          </w:tcPr>
          <w:p w14:paraId="454CA92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Caulastrea</w:t>
            </w:r>
          </w:p>
        </w:tc>
        <w:tc>
          <w:tcPr>
            <w:tcW w:w="301" w:type="dxa"/>
            <w:shd w:val="clear" w:color="auto" w:fill="F2F2F2" w:themeFill="background1" w:themeFillShade="F2"/>
            <w:noWrap/>
            <w:tcMar>
              <w:left w:w="0" w:type="dxa"/>
              <w:right w:w="0" w:type="dxa"/>
            </w:tcMar>
            <w:textDirection w:val="btLr"/>
            <w:vAlign w:val="center"/>
            <w:hideMark/>
          </w:tcPr>
          <w:p w14:paraId="2901EED9"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Cyphastrea</w:t>
            </w:r>
          </w:p>
        </w:tc>
        <w:tc>
          <w:tcPr>
            <w:tcW w:w="301" w:type="dxa"/>
            <w:shd w:val="clear" w:color="auto" w:fill="F2F2F2" w:themeFill="background1" w:themeFillShade="F2"/>
            <w:noWrap/>
            <w:tcMar>
              <w:left w:w="0" w:type="dxa"/>
              <w:right w:w="0" w:type="dxa"/>
            </w:tcMar>
            <w:textDirection w:val="btLr"/>
            <w:vAlign w:val="center"/>
            <w:hideMark/>
          </w:tcPr>
          <w:p w14:paraId="4A34BEB7"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Diploastrea</w:t>
            </w:r>
          </w:p>
        </w:tc>
        <w:tc>
          <w:tcPr>
            <w:tcW w:w="301" w:type="dxa"/>
            <w:shd w:val="clear" w:color="auto" w:fill="F2F2F2" w:themeFill="background1" w:themeFillShade="F2"/>
            <w:noWrap/>
            <w:tcMar>
              <w:left w:w="0" w:type="dxa"/>
              <w:right w:w="0" w:type="dxa"/>
            </w:tcMar>
            <w:textDirection w:val="btLr"/>
            <w:vAlign w:val="center"/>
            <w:hideMark/>
          </w:tcPr>
          <w:p w14:paraId="6485620C"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Echinophyllia</w:t>
            </w:r>
          </w:p>
        </w:tc>
        <w:tc>
          <w:tcPr>
            <w:tcW w:w="379" w:type="dxa"/>
            <w:shd w:val="clear" w:color="auto" w:fill="F2F2F2" w:themeFill="background1" w:themeFillShade="F2"/>
            <w:noWrap/>
            <w:tcMar>
              <w:left w:w="0" w:type="dxa"/>
              <w:right w:w="0" w:type="dxa"/>
            </w:tcMar>
            <w:textDirection w:val="btLr"/>
            <w:vAlign w:val="center"/>
            <w:hideMark/>
          </w:tcPr>
          <w:p w14:paraId="6C0F51F4"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Echinopora</w:t>
            </w:r>
          </w:p>
        </w:tc>
        <w:tc>
          <w:tcPr>
            <w:tcW w:w="302" w:type="dxa"/>
            <w:shd w:val="clear" w:color="auto" w:fill="F2F2F2" w:themeFill="background1" w:themeFillShade="F2"/>
            <w:noWrap/>
            <w:tcMar>
              <w:left w:w="0" w:type="dxa"/>
              <w:right w:w="0" w:type="dxa"/>
            </w:tcMar>
            <w:textDirection w:val="btLr"/>
            <w:vAlign w:val="center"/>
            <w:hideMark/>
          </w:tcPr>
          <w:p w14:paraId="22C7F78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Favia</w:t>
            </w:r>
          </w:p>
        </w:tc>
        <w:tc>
          <w:tcPr>
            <w:tcW w:w="302" w:type="dxa"/>
            <w:shd w:val="clear" w:color="auto" w:fill="F2F2F2" w:themeFill="background1" w:themeFillShade="F2"/>
            <w:noWrap/>
            <w:tcMar>
              <w:left w:w="0" w:type="dxa"/>
              <w:right w:w="0" w:type="dxa"/>
            </w:tcMar>
            <w:textDirection w:val="btLr"/>
            <w:vAlign w:val="center"/>
            <w:hideMark/>
          </w:tcPr>
          <w:p w14:paraId="6C70A414"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Favites</w:t>
            </w:r>
          </w:p>
        </w:tc>
        <w:tc>
          <w:tcPr>
            <w:tcW w:w="302" w:type="dxa"/>
            <w:shd w:val="clear" w:color="auto" w:fill="F2F2F2" w:themeFill="background1" w:themeFillShade="F2"/>
            <w:noWrap/>
            <w:tcMar>
              <w:left w:w="0" w:type="dxa"/>
              <w:right w:w="0" w:type="dxa"/>
            </w:tcMar>
            <w:textDirection w:val="btLr"/>
            <w:vAlign w:val="center"/>
            <w:hideMark/>
          </w:tcPr>
          <w:p w14:paraId="3853748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Fungia</w:t>
            </w:r>
          </w:p>
        </w:tc>
        <w:tc>
          <w:tcPr>
            <w:tcW w:w="302" w:type="dxa"/>
            <w:shd w:val="clear" w:color="auto" w:fill="F2F2F2" w:themeFill="background1" w:themeFillShade="F2"/>
            <w:noWrap/>
            <w:tcMar>
              <w:left w:w="0" w:type="dxa"/>
              <w:right w:w="0" w:type="dxa"/>
            </w:tcMar>
            <w:textDirection w:val="btLr"/>
            <w:vAlign w:val="center"/>
            <w:hideMark/>
          </w:tcPr>
          <w:p w14:paraId="74AA09D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Galaxea</w:t>
            </w:r>
          </w:p>
        </w:tc>
        <w:tc>
          <w:tcPr>
            <w:tcW w:w="302" w:type="dxa"/>
            <w:shd w:val="clear" w:color="auto" w:fill="F2F2F2" w:themeFill="background1" w:themeFillShade="F2"/>
            <w:noWrap/>
            <w:tcMar>
              <w:left w:w="0" w:type="dxa"/>
              <w:right w:w="0" w:type="dxa"/>
            </w:tcMar>
            <w:textDirection w:val="btLr"/>
            <w:vAlign w:val="center"/>
            <w:hideMark/>
          </w:tcPr>
          <w:p w14:paraId="3A47D8FE"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Goniastrea</w:t>
            </w:r>
          </w:p>
        </w:tc>
        <w:tc>
          <w:tcPr>
            <w:tcW w:w="302" w:type="dxa"/>
            <w:shd w:val="clear" w:color="auto" w:fill="F2F2F2" w:themeFill="background1" w:themeFillShade="F2"/>
            <w:noWrap/>
            <w:tcMar>
              <w:left w:w="0" w:type="dxa"/>
              <w:right w:w="0" w:type="dxa"/>
            </w:tcMar>
            <w:textDirection w:val="btLr"/>
            <w:vAlign w:val="center"/>
            <w:hideMark/>
          </w:tcPr>
          <w:p w14:paraId="715C4D2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Goniopora</w:t>
            </w:r>
          </w:p>
        </w:tc>
        <w:tc>
          <w:tcPr>
            <w:tcW w:w="302" w:type="dxa"/>
            <w:shd w:val="clear" w:color="auto" w:fill="F2F2F2" w:themeFill="background1" w:themeFillShade="F2"/>
            <w:noWrap/>
            <w:tcMar>
              <w:left w:w="0" w:type="dxa"/>
              <w:right w:w="0" w:type="dxa"/>
            </w:tcMar>
            <w:textDirection w:val="btLr"/>
            <w:vAlign w:val="center"/>
            <w:hideMark/>
          </w:tcPr>
          <w:p w14:paraId="7D07E86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Hydnophora</w:t>
            </w:r>
          </w:p>
        </w:tc>
        <w:tc>
          <w:tcPr>
            <w:tcW w:w="302" w:type="dxa"/>
            <w:shd w:val="clear" w:color="auto" w:fill="F2F2F2" w:themeFill="background1" w:themeFillShade="F2"/>
            <w:noWrap/>
            <w:tcMar>
              <w:left w:w="0" w:type="dxa"/>
              <w:right w:w="0" w:type="dxa"/>
            </w:tcMar>
            <w:textDirection w:val="btLr"/>
            <w:vAlign w:val="center"/>
            <w:hideMark/>
          </w:tcPr>
          <w:p w14:paraId="336C2D69"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Leptoseris</w:t>
            </w:r>
          </w:p>
        </w:tc>
        <w:tc>
          <w:tcPr>
            <w:tcW w:w="302" w:type="dxa"/>
            <w:shd w:val="clear" w:color="auto" w:fill="F2F2F2" w:themeFill="background1" w:themeFillShade="F2"/>
            <w:noWrap/>
            <w:tcMar>
              <w:left w:w="0" w:type="dxa"/>
              <w:right w:w="0" w:type="dxa"/>
            </w:tcMar>
            <w:textDirection w:val="btLr"/>
            <w:vAlign w:val="center"/>
            <w:hideMark/>
          </w:tcPr>
          <w:p w14:paraId="5816D535"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Lobophyllia</w:t>
            </w:r>
          </w:p>
        </w:tc>
        <w:tc>
          <w:tcPr>
            <w:tcW w:w="302" w:type="dxa"/>
            <w:shd w:val="clear" w:color="auto" w:fill="F2F2F2" w:themeFill="background1" w:themeFillShade="F2"/>
            <w:noWrap/>
            <w:tcMar>
              <w:left w:w="0" w:type="dxa"/>
              <w:right w:w="0" w:type="dxa"/>
            </w:tcMar>
            <w:textDirection w:val="btLr"/>
            <w:vAlign w:val="center"/>
            <w:hideMark/>
          </w:tcPr>
          <w:p w14:paraId="7EFE37B4"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Merulina</w:t>
            </w:r>
          </w:p>
        </w:tc>
        <w:tc>
          <w:tcPr>
            <w:tcW w:w="302" w:type="dxa"/>
            <w:shd w:val="clear" w:color="auto" w:fill="F2F2F2" w:themeFill="background1" w:themeFillShade="F2"/>
            <w:noWrap/>
            <w:tcMar>
              <w:left w:w="0" w:type="dxa"/>
              <w:right w:w="0" w:type="dxa"/>
            </w:tcMar>
            <w:textDirection w:val="btLr"/>
            <w:vAlign w:val="center"/>
            <w:hideMark/>
          </w:tcPr>
          <w:p w14:paraId="79ABF258"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Montipora</w:t>
            </w:r>
          </w:p>
        </w:tc>
        <w:tc>
          <w:tcPr>
            <w:tcW w:w="343" w:type="dxa"/>
            <w:shd w:val="clear" w:color="auto" w:fill="F2F2F2" w:themeFill="background1" w:themeFillShade="F2"/>
            <w:noWrap/>
            <w:tcMar>
              <w:left w:w="0" w:type="dxa"/>
              <w:right w:w="0" w:type="dxa"/>
            </w:tcMar>
            <w:textDirection w:val="btLr"/>
            <w:vAlign w:val="center"/>
            <w:hideMark/>
          </w:tcPr>
          <w:p w14:paraId="547D00D8"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Mycedium</w:t>
            </w:r>
          </w:p>
        </w:tc>
        <w:tc>
          <w:tcPr>
            <w:tcW w:w="302" w:type="dxa"/>
            <w:shd w:val="clear" w:color="auto" w:fill="F2F2F2" w:themeFill="background1" w:themeFillShade="F2"/>
            <w:noWrap/>
            <w:tcMar>
              <w:left w:w="0" w:type="dxa"/>
              <w:right w:w="0" w:type="dxa"/>
            </w:tcMar>
            <w:textDirection w:val="btLr"/>
            <w:vAlign w:val="center"/>
            <w:hideMark/>
          </w:tcPr>
          <w:p w14:paraId="5A96477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Oxypora</w:t>
            </w:r>
          </w:p>
        </w:tc>
        <w:tc>
          <w:tcPr>
            <w:tcW w:w="302" w:type="dxa"/>
            <w:shd w:val="clear" w:color="auto" w:fill="F2F2F2" w:themeFill="background1" w:themeFillShade="F2"/>
            <w:noWrap/>
            <w:tcMar>
              <w:left w:w="0" w:type="dxa"/>
              <w:right w:w="0" w:type="dxa"/>
            </w:tcMar>
            <w:textDirection w:val="btLr"/>
            <w:vAlign w:val="center"/>
            <w:hideMark/>
          </w:tcPr>
          <w:p w14:paraId="523FA63F"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Pachyseris</w:t>
            </w:r>
          </w:p>
        </w:tc>
        <w:tc>
          <w:tcPr>
            <w:tcW w:w="302" w:type="dxa"/>
            <w:shd w:val="clear" w:color="auto" w:fill="F2F2F2" w:themeFill="background1" w:themeFillShade="F2"/>
            <w:noWrap/>
            <w:tcMar>
              <w:left w:w="0" w:type="dxa"/>
              <w:right w:w="0" w:type="dxa"/>
            </w:tcMar>
            <w:textDirection w:val="btLr"/>
            <w:vAlign w:val="center"/>
            <w:hideMark/>
          </w:tcPr>
          <w:p w14:paraId="6ED9A3D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Pavona</w:t>
            </w:r>
          </w:p>
        </w:tc>
        <w:tc>
          <w:tcPr>
            <w:tcW w:w="302" w:type="dxa"/>
            <w:shd w:val="clear" w:color="auto" w:fill="F2F2F2" w:themeFill="background1" w:themeFillShade="F2"/>
            <w:noWrap/>
            <w:tcMar>
              <w:left w:w="0" w:type="dxa"/>
              <w:right w:w="0" w:type="dxa"/>
            </w:tcMar>
            <w:textDirection w:val="btLr"/>
            <w:vAlign w:val="center"/>
            <w:hideMark/>
          </w:tcPr>
          <w:p w14:paraId="2E6E561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Pectinia</w:t>
            </w:r>
          </w:p>
        </w:tc>
        <w:tc>
          <w:tcPr>
            <w:tcW w:w="302" w:type="dxa"/>
            <w:shd w:val="clear" w:color="auto" w:fill="F2F2F2" w:themeFill="background1" w:themeFillShade="F2"/>
            <w:noWrap/>
            <w:tcMar>
              <w:left w:w="0" w:type="dxa"/>
              <w:right w:w="0" w:type="dxa"/>
            </w:tcMar>
            <w:textDirection w:val="btLr"/>
            <w:vAlign w:val="center"/>
            <w:hideMark/>
          </w:tcPr>
          <w:p w14:paraId="59EA00E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Platygyra</w:t>
            </w:r>
          </w:p>
        </w:tc>
        <w:tc>
          <w:tcPr>
            <w:tcW w:w="302" w:type="dxa"/>
            <w:shd w:val="clear" w:color="auto" w:fill="F2F2F2" w:themeFill="background1" w:themeFillShade="F2"/>
            <w:noWrap/>
            <w:tcMar>
              <w:left w:w="0" w:type="dxa"/>
              <w:right w:w="0" w:type="dxa"/>
            </w:tcMar>
            <w:textDirection w:val="btLr"/>
            <w:vAlign w:val="center"/>
            <w:hideMark/>
          </w:tcPr>
          <w:p w14:paraId="0130A4F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Pleisiastrea</w:t>
            </w:r>
          </w:p>
        </w:tc>
        <w:tc>
          <w:tcPr>
            <w:tcW w:w="302" w:type="dxa"/>
            <w:shd w:val="clear" w:color="auto" w:fill="F2F2F2" w:themeFill="background1" w:themeFillShade="F2"/>
            <w:noWrap/>
            <w:tcMar>
              <w:left w:w="0" w:type="dxa"/>
              <w:right w:w="0" w:type="dxa"/>
            </w:tcMar>
            <w:textDirection w:val="btLr"/>
            <w:vAlign w:val="center"/>
            <w:hideMark/>
          </w:tcPr>
          <w:p w14:paraId="42362AF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Pocillopora</w:t>
            </w:r>
          </w:p>
        </w:tc>
        <w:tc>
          <w:tcPr>
            <w:tcW w:w="302" w:type="dxa"/>
            <w:shd w:val="clear" w:color="auto" w:fill="F2F2F2" w:themeFill="background1" w:themeFillShade="F2"/>
            <w:noWrap/>
            <w:tcMar>
              <w:left w:w="0" w:type="dxa"/>
              <w:right w:w="0" w:type="dxa"/>
            </w:tcMar>
            <w:textDirection w:val="btLr"/>
            <w:vAlign w:val="center"/>
            <w:hideMark/>
          </w:tcPr>
          <w:p w14:paraId="331A3FC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Podobacia</w:t>
            </w:r>
          </w:p>
        </w:tc>
        <w:tc>
          <w:tcPr>
            <w:tcW w:w="369" w:type="dxa"/>
            <w:shd w:val="clear" w:color="auto" w:fill="F2F2F2" w:themeFill="background1" w:themeFillShade="F2"/>
            <w:noWrap/>
            <w:tcMar>
              <w:left w:w="0" w:type="dxa"/>
              <w:right w:w="0" w:type="dxa"/>
            </w:tcMar>
            <w:textDirection w:val="btLr"/>
            <w:vAlign w:val="center"/>
            <w:hideMark/>
          </w:tcPr>
          <w:p w14:paraId="110CE379"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Porites</w:t>
            </w:r>
          </w:p>
        </w:tc>
        <w:tc>
          <w:tcPr>
            <w:tcW w:w="302" w:type="dxa"/>
            <w:shd w:val="clear" w:color="auto" w:fill="F2F2F2" w:themeFill="background1" w:themeFillShade="F2"/>
            <w:noWrap/>
            <w:tcMar>
              <w:left w:w="0" w:type="dxa"/>
              <w:right w:w="0" w:type="dxa"/>
            </w:tcMar>
            <w:textDirection w:val="btLr"/>
            <w:vAlign w:val="center"/>
            <w:hideMark/>
          </w:tcPr>
          <w:p w14:paraId="367F654F"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Psammocora</w:t>
            </w:r>
          </w:p>
        </w:tc>
        <w:tc>
          <w:tcPr>
            <w:tcW w:w="302" w:type="dxa"/>
            <w:shd w:val="clear" w:color="auto" w:fill="F2F2F2" w:themeFill="background1" w:themeFillShade="F2"/>
            <w:noWrap/>
            <w:tcMar>
              <w:left w:w="0" w:type="dxa"/>
              <w:right w:w="0" w:type="dxa"/>
            </w:tcMar>
            <w:textDirection w:val="btLr"/>
            <w:vAlign w:val="center"/>
            <w:hideMark/>
          </w:tcPr>
          <w:p w14:paraId="505E650F"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Seriatopora</w:t>
            </w:r>
          </w:p>
        </w:tc>
        <w:tc>
          <w:tcPr>
            <w:tcW w:w="302" w:type="dxa"/>
            <w:shd w:val="clear" w:color="auto" w:fill="F2F2F2" w:themeFill="background1" w:themeFillShade="F2"/>
            <w:noWrap/>
            <w:tcMar>
              <w:left w:w="0" w:type="dxa"/>
              <w:right w:w="0" w:type="dxa"/>
            </w:tcMar>
            <w:textDirection w:val="btLr"/>
            <w:vAlign w:val="center"/>
            <w:hideMark/>
          </w:tcPr>
          <w:p w14:paraId="5057D6B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Stylophora</w:t>
            </w:r>
          </w:p>
        </w:tc>
        <w:tc>
          <w:tcPr>
            <w:tcW w:w="302" w:type="dxa"/>
            <w:shd w:val="clear" w:color="auto" w:fill="F2F2F2" w:themeFill="background1" w:themeFillShade="F2"/>
            <w:noWrap/>
            <w:tcMar>
              <w:left w:w="0" w:type="dxa"/>
              <w:right w:w="0" w:type="dxa"/>
            </w:tcMar>
            <w:textDirection w:val="btLr"/>
            <w:vAlign w:val="center"/>
            <w:hideMark/>
          </w:tcPr>
          <w:p w14:paraId="54D5751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Symphyllia</w:t>
            </w:r>
          </w:p>
        </w:tc>
        <w:tc>
          <w:tcPr>
            <w:tcW w:w="405" w:type="dxa"/>
            <w:shd w:val="clear" w:color="auto" w:fill="F2F2F2" w:themeFill="background1" w:themeFillShade="F2"/>
            <w:noWrap/>
            <w:tcMar>
              <w:left w:w="0" w:type="dxa"/>
              <w:right w:w="0" w:type="dxa"/>
            </w:tcMar>
            <w:textDirection w:val="btLr"/>
            <w:vAlign w:val="center"/>
            <w:hideMark/>
          </w:tcPr>
          <w:p w14:paraId="1BF9ACD4"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Turbinaria</w:t>
            </w:r>
          </w:p>
        </w:tc>
        <w:tc>
          <w:tcPr>
            <w:tcW w:w="439" w:type="dxa"/>
            <w:shd w:val="clear" w:color="auto" w:fill="F2F2F2" w:themeFill="background1" w:themeFillShade="F2"/>
            <w:noWrap/>
            <w:tcMar>
              <w:left w:w="0" w:type="dxa"/>
              <w:right w:w="0" w:type="dxa"/>
            </w:tcMar>
            <w:textDirection w:val="btLr"/>
            <w:vAlign w:val="center"/>
            <w:hideMark/>
          </w:tcPr>
          <w:p w14:paraId="546800B4" w14:textId="77777777" w:rsidR="00FF1B38" w:rsidRPr="002E2EB3" w:rsidRDefault="00FF1B38" w:rsidP="009276CC">
            <w:pPr>
              <w:spacing w:after="0"/>
              <w:jc w:val="center"/>
              <w:rPr>
                <w:rFonts w:ascii="Calibri" w:hAnsi="Calibri"/>
                <w:color w:val="000000"/>
                <w:szCs w:val="22"/>
                <w:lang w:val="en-AU" w:eastAsia="en-AU"/>
              </w:rPr>
            </w:pPr>
            <w:r w:rsidRPr="002E2EB3">
              <w:rPr>
                <w:rFonts w:ascii="Calibri" w:hAnsi="Calibri"/>
                <w:color w:val="000000"/>
                <w:szCs w:val="22"/>
                <w:lang w:val="en-AU" w:eastAsia="en-AU"/>
              </w:rPr>
              <w:t>Other</w:t>
            </w:r>
          </w:p>
        </w:tc>
      </w:tr>
      <w:tr w:rsidR="00FF1B38" w:rsidRPr="002E2EB3" w14:paraId="572086D3" w14:textId="77777777" w:rsidTr="009276CC">
        <w:trPr>
          <w:trHeight w:val="300"/>
        </w:trPr>
        <w:tc>
          <w:tcPr>
            <w:tcW w:w="545" w:type="dxa"/>
            <w:vMerge w:val="restart"/>
            <w:shd w:val="clear" w:color="auto" w:fill="auto"/>
            <w:noWrap/>
            <w:tcMar>
              <w:left w:w="0" w:type="dxa"/>
              <w:right w:w="0" w:type="dxa"/>
            </w:tcMar>
            <w:textDirection w:val="btLr"/>
            <w:vAlign w:val="center"/>
            <w:hideMark/>
          </w:tcPr>
          <w:p w14:paraId="71CBF5FB"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Herbert Tully</w:t>
            </w:r>
          </w:p>
        </w:tc>
        <w:tc>
          <w:tcPr>
            <w:tcW w:w="1649" w:type="dxa"/>
            <w:vMerge w:val="restart"/>
            <w:shd w:val="clear" w:color="auto" w:fill="auto"/>
            <w:noWrap/>
            <w:tcMar>
              <w:left w:w="0" w:type="dxa"/>
              <w:right w:w="0" w:type="dxa"/>
            </w:tcMar>
            <w:vAlign w:val="center"/>
            <w:hideMark/>
          </w:tcPr>
          <w:p w14:paraId="38A8831D"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Barnards</w:t>
            </w:r>
          </w:p>
        </w:tc>
        <w:tc>
          <w:tcPr>
            <w:tcW w:w="438" w:type="dxa"/>
            <w:shd w:val="clear" w:color="auto" w:fill="auto"/>
            <w:noWrap/>
            <w:tcMar>
              <w:left w:w="0" w:type="dxa"/>
              <w:right w:w="0" w:type="dxa"/>
            </w:tcMar>
            <w:vAlign w:val="center"/>
            <w:hideMark/>
          </w:tcPr>
          <w:p w14:paraId="33BABCC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1DE94F4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16.0</w:t>
            </w:r>
          </w:p>
        </w:tc>
        <w:tc>
          <w:tcPr>
            <w:tcW w:w="301" w:type="dxa"/>
            <w:shd w:val="clear" w:color="auto" w:fill="auto"/>
            <w:noWrap/>
            <w:tcMar>
              <w:left w:w="0" w:type="dxa"/>
              <w:right w:w="0" w:type="dxa"/>
            </w:tcMar>
            <w:vAlign w:val="center"/>
            <w:hideMark/>
          </w:tcPr>
          <w:p w14:paraId="1A930B9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631886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54B001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1" w:type="dxa"/>
            <w:shd w:val="clear" w:color="auto" w:fill="auto"/>
            <w:noWrap/>
            <w:tcMar>
              <w:left w:w="0" w:type="dxa"/>
              <w:right w:w="0" w:type="dxa"/>
            </w:tcMar>
            <w:vAlign w:val="center"/>
            <w:hideMark/>
          </w:tcPr>
          <w:p w14:paraId="294EFA9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5F098A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0A1DD73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5D59BC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EC578A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8B39A2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D2EB0E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0346424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968561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2BC473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C05E28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8D10A9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68F6A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6F8FDB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8.26</w:t>
            </w:r>
          </w:p>
        </w:tc>
        <w:tc>
          <w:tcPr>
            <w:tcW w:w="343" w:type="dxa"/>
            <w:shd w:val="clear" w:color="auto" w:fill="auto"/>
            <w:noWrap/>
            <w:tcMar>
              <w:left w:w="0" w:type="dxa"/>
              <w:right w:w="0" w:type="dxa"/>
            </w:tcMar>
            <w:vAlign w:val="center"/>
            <w:hideMark/>
          </w:tcPr>
          <w:p w14:paraId="692B488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C8A291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B579DE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B52013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404467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310D7C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08334AE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2CE718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34E6963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0D1EC3E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04F618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05CFFE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AD26A5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5460CC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1B66111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439" w:type="dxa"/>
            <w:shd w:val="clear" w:color="auto" w:fill="auto"/>
            <w:noWrap/>
            <w:tcMar>
              <w:left w:w="0" w:type="dxa"/>
              <w:right w:w="0" w:type="dxa"/>
            </w:tcMar>
            <w:vAlign w:val="center"/>
            <w:hideMark/>
          </w:tcPr>
          <w:p w14:paraId="35AA08CE"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7B0EF2CA" w14:textId="77777777" w:rsidTr="009276CC">
        <w:trPr>
          <w:trHeight w:val="300"/>
        </w:trPr>
        <w:tc>
          <w:tcPr>
            <w:tcW w:w="545" w:type="dxa"/>
            <w:vMerge/>
            <w:tcMar>
              <w:left w:w="0" w:type="dxa"/>
              <w:right w:w="0" w:type="dxa"/>
            </w:tcMar>
            <w:vAlign w:val="center"/>
            <w:hideMark/>
          </w:tcPr>
          <w:p w14:paraId="15E12B24"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7A40B96D"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20167107"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17FAD8B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8.31</w:t>
            </w:r>
          </w:p>
        </w:tc>
        <w:tc>
          <w:tcPr>
            <w:tcW w:w="301" w:type="dxa"/>
            <w:shd w:val="clear" w:color="auto" w:fill="auto"/>
            <w:noWrap/>
            <w:tcMar>
              <w:left w:w="0" w:type="dxa"/>
              <w:right w:w="0" w:type="dxa"/>
            </w:tcMar>
            <w:vAlign w:val="center"/>
            <w:hideMark/>
          </w:tcPr>
          <w:p w14:paraId="0D58765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5BFBDB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7DF045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1" w:type="dxa"/>
            <w:shd w:val="clear" w:color="auto" w:fill="auto"/>
            <w:noWrap/>
            <w:tcMar>
              <w:left w:w="0" w:type="dxa"/>
              <w:right w:w="0" w:type="dxa"/>
            </w:tcMar>
            <w:vAlign w:val="center"/>
            <w:hideMark/>
          </w:tcPr>
          <w:p w14:paraId="41B5F05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BD2341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79" w:type="dxa"/>
            <w:shd w:val="clear" w:color="auto" w:fill="auto"/>
            <w:noWrap/>
            <w:tcMar>
              <w:left w:w="0" w:type="dxa"/>
              <w:right w:w="0" w:type="dxa"/>
            </w:tcMar>
            <w:vAlign w:val="center"/>
            <w:hideMark/>
          </w:tcPr>
          <w:p w14:paraId="4A2615B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321B53D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5D6D04F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3A64AD6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35E41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11F680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8AAFC0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12940F4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551B1C7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C1FDCD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3D69101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29BC56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10.8</w:t>
            </w:r>
          </w:p>
        </w:tc>
        <w:tc>
          <w:tcPr>
            <w:tcW w:w="343" w:type="dxa"/>
            <w:shd w:val="clear" w:color="auto" w:fill="auto"/>
            <w:noWrap/>
            <w:tcMar>
              <w:left w:w="0" w:type="dxa"/>
              <w:right w:w="0" w:type="dxa"/>
            </w:tcMar>
            <w:vAlign w:val="center"/>
            <w:hideMark/>
          </w:tcPr>
          <w:p w14:paraId="2CF017D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11CE974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3D8D596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2AC890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010E67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366743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C854E0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10F398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1.50</w:t>
            </w:r>
          </w:p>
        </w:tc>
        <w:tc>
          <w:tcPr>
            <w:tcW w:w="302" w:type="dxa"/>
            <w:shd w:val="clear" w:color="auto" w:fill="auto"/>
            <w:noWrap/>
            <w:tcMar>
              <w:left w:w="0" w:type="dxa"/>
              <w:right w:w="0" w:type="dxa"/>
            </w:tcMar>
            <w:vAlign w:val="center"/>
            <w:hideMark/>
          </w:tcPr>
          <w:p w14:paraId="701F122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69" w:type="dxa"/>
            <w:shd w:val="clear" w:color="auto" w:fill="auto"/>
            <w:noWrap/>
            <w:tcMar>
              <w:left w:w="0" w:type="dxa"/>
              <w:right w:w="0" w:type="dxa"/>
            </w:tcMar>
            <w:vAlign w:val="center"/>
            <w:hideMark/>
          </w:tcPr>
          <w:p w14:paraId="730997F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302" w:type="dxa"/>
            <w:shd w:val="clear" w:color="auto" w:fill="auto"/>
            <w:noWrap/>
            <w:tcMar>
              <w:left w:w="0" w:type="dxa"/>
              <w:right w:w="0" w:type="dxa"/>
            </w:tcMar>
            <w:vAlign w:val="center"/>
            <w:hideMark/>
          </w:tcPr>
          <w:p w14:paraId="521811E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0072F0A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54862F0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3AC7C2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1C6BE76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439" w:type="dxa"/>
            <w:shd w:val="clear" w:color="auto" w:fill="auto"/>
            <w:noWrap/>
            <w:tcMar>
              <w:left w:w="0" w:type="dxa"/>
              <w:right w:w="0" w:type="dxa"/>
            </w:tcMar>
            <w:vAlign w:val="center"/>
            <w:hideMark/>
          </w:tcPr>
          <w:p w14:paraId="7299383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r>
      <w:tr w:rsidR="00FF1B38" w:rsidRPr="002E2EB3" w14:paraId="7CBF24EB" w14:textId="77777777" w:rsidTr="009276CC">
        <w:trPr>
          <w:trHeight w:val="300"/>
        </w:trPr>
        <w:tc>
          <w:tcPr>
            <w:tcW w:w="545" w:type="dxa"/>
            <w:vMerge/>
            <w:tcMar>
              <w:left w:w="0" w:type="dxa"/>
              <w:right w:w="0" w:type="dxa"/>
            </w:tcMar>
            <w:vAlign w:val="center"/>
            <w:hideMark/>
          </w:tcPr>
          <w:p w14:paraId="07853AFA"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1D344B9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Dunk North</w:t>
            </w:r>
          </w:p>
        </w:tc>
        <w:tc>
          <w:tcPr>
            <w:tcW w:w="438" w:type="dxa"/>
            <w:shd w:val="clear" w:color="auto" w:fill="auto"/>
            <w:noWrap/>
            <w:tcMar>
              <w:left w:w="0" w:type="dxa"/>
              <w:right w:w="0" w:type="dxa"/>
            </w:tcMar>
            <w:vAlign w:val="center"/>
            <w:hideMark/>
          </w:tcPr>
          <w:p w14:paraId="7A4466E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2D2C623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301" w:type="dxa"/>
            <w:shd w:val="clear" w:color="auto" w:fill="auto"/>
            <w:noWrap/>
            <w:tcMar>
              <w:left w:w="0" w:type="dxa"/>
              <w:right w:w="0" w:type="dxa"/>
            </w:tcMar>
            <w:vAlign w:val="center"/>
            <w:hideMark/>
          </w:tcPr>
          <w:p w14:paraId="1AC1B28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3EA9B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A6B522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01" w:type="dxa"/>
            <w:shd w:val="clear" w:color="auto" w:fill="auto"/>
            <w:noWrap/>
            <w:tcMar>
              <w:left w:w="0" w:type="dxa"/>
              <w:right w:w="0" w:type="dxa"/>
            </w:tcMar>
            <w:vAlign w:val="center"/>
            <w:hideMark/>
          </w:tcPr>
          <w:p w14:paraId="723C1B6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6F3375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3B9E31F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3EEF76C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03AD2E1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25CD710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577245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56B9F9E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37B57DD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8A8A5C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08EC778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2B1F3F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FE8617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0EF978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2.38</w:t>
            </w:r>
          </w:p>
        </w:tc>
        <w:tc>
          <w:tcPr>
            <w:tcW w:w="343" w:type="dxa"/>
            <w:shd w:val="clear" w:color="auto" w:fill="auto"/>
            <w:noWrap/>
            <w:tcMar>
              <w:left w:w="0" w:type="dxa"/>
              <w:right w:w="0" w:type="dxa"/>
            </w:tcMar>
            <w:vAlign w:val="center"/>
            <w:hideMark/>
          </w:tcPr>
          <w:p w14:paraId="0295D21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8A99C5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DDF8EB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473745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C4361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FEF577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6BFC247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43108D3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6D06BE5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36C1DCE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4643C7E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3158E82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CEBD9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84D18A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30B6EE9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439" w:type="dxa"/>
            <w:shd w:val="clear" w:color="auto" w:fill="auto"/>
            <w:noWrap/>
            <w:tcMar>
              <w:left w:w="0" w:type="dxa"/>
              <w:right w:w="0" w:type="dxa"/>
            </w:tcMar>
            <w:vAlign w:val="center"/>
            <w:hideMark/>
          </w:tcPr>
          <w:p w14:paraId="74EB2A3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r>
      <w:tr w:rsidR="00FF1B38" w:rsidRPr="002E2EB3" w14:paraId="7B7DFA7C" w14:textId="77777777" w:rsidTr="009276CC">
        <w:trPr>
          <w:trHeight w:val="300"/>
        </w:trPr>
        <w:tc>
          <w:tcPr>
            <w:tcW w:w="545" w:type="dxa"/>
            <w:vMerge/>
            <w:tcMar>
              <w:left w:w="0" w:type="dxa"/>
              <w:right w:w="0" w:type="dxa"/>
            </w:tcMar>
            <w:vAlign w:val="center"/>
            <w:hideMark/>
          </w:tcPr>
          <w:p w14:paraId="4BF83A57"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0CE2F5E6"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7A00274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72F0E8B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1" w:type="dxa"/>
            <w:shd w:val="clear" w:color="auto" w:fill="auto"/>
            <w:noWrap/>
            <w:tcMar>
              <w:left w:w="0" w:type="dxa"/>
              <w:right w:w="0" w:type="dxa"/>
            </w:tcMar>
            <w:vAlign w:val="center"/>
            <w:hideMark/>
          </w:tcPr>
          <w:p w14:paraId="1F1CF81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1" w:type="dxa"/>
            <w:shd w:val="clear" w:color="auto" w:fill="auto"/>
            <w:noWrap/>
            <w:tcMar>
              <w:left w:w="0" w:type="dxa"/>
              <w:right w:w="0" w:type="dxa"/>
            </w:tcMar>
            <w:vAlign w:val="center"/>
            <w:hideMark/>
          </w:tcPr>
          <w:p w14:paraId="35677AE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DE3C2B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1" w:type="dxa"/>
            <w:shd w:val="clear" w:color="auto" w:fill="auto"/>
            <w:noWrap/>
            <w:tcMar>
              <w:left w:w="0" w:type="dxa"/>
              <w:right w:w="0" w:type="dxa"/>
            </w:tcMar>
            <w:vAlign w:val="center"/>
            <w:hideMark/>
          </w:tcPr>
          <w:p w14:paraId="05B2DB6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997B2D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79" w:type="dxa"/>
            <w:shd w:val="clear" w:color="auto" w:fill="auto"/>
            <w:noWrap/>
            <w:tcMar>
              <w:left w:w="0" w:type="dxa"/>
              <w:right w:w="0" w:type="dxa"/>
            </w:tcMar>
            <w:vAlign w:val="center"/>
            <w:hideMark/>
          </w:tcPr>
          <w:p w14:paraId="0BB5CE2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8B3AB4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7FBDAFB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2B0A9D7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14737C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434399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5293383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4DF88D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E908BA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A4B25E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3FFA797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711D26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3.88</w:t>
            </w:r>
          </w:p>
        </w:tc>
        <w:tc>
          <w:tcPr>
            <w:tcW w:w="343" w:type="dxa"/>
            <w:shd w:val="clear" w:color="auto" w:fill="auto"/>
            <w:noWrap/>
            <w:tcMar>
              <w:left w:w="0" w:type="dxa"/>
              <w:right w:w="0" w:type="dxa"/>
            </w:tcMar>
            <w:vAlign w:val="center"/>
            <w:hideMark/>
          </w:tcPr>
          <w:p w14:paraId="51C242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46D4EE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1079E89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FDD94F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2A7CD7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A817DD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34C5320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C1D856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6394474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4A7EDD0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7FF27A3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1448331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0DC53A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F8292F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1F4C473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1.19</w:t>
            </w:r>
          </w:p>
        </w:tc>
        <w:tc>
          <w:tcPr>
            <w:tcW w:w="439" w:type="dxa"/>
            <w:shd w:val="clear" w:color="auto" w:fill="auto"/>
            <w:noWrap/>
            <w:tcMar>
              <w:left w:w="0" w:type="dxa"/>
              <w:right w:w="0" w:type="dxa"/>
            </w:tcMar>
            <w:vAlign w:val="center"/>
            <w:hideMark/>
          </w:tcPr>
          <w:p w14:paraId="4C55327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r>
      <w:tr w:rsidR="00FF1B38" w:rsidRPr="002E2EB3" w14:paraId="410FB47D" w14:textId="77777777" w:rsidTr="009276CC">
        <w:trPr>
          <w:trHeight w:val="300"/>
        </w:trPr>
        <w:tc>
          <w:tcPr>
            <w:tcW w:w="545" w:type="dxa"/>
            <w:vMerge/>
            <w:tcMar>
              <w:left w:w="0" w:type="dxa"/>
              <w:right w:w="0" w:type="dxa"/>
            </w:tcMar>
            <w:vAlign w:val="center"/>
            <w:hideMark/>
          </w:tcPr>
          <w:p w14:paraId="2AFF5F88"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2200C13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Dunk South</w:t>
            </w:r>
          </w:p>
        </w:tc>
        <w:tc>
          <w:tcPr>
            <w:tcW w:w="438" w:type="dxa"/>
            <w:shd w:val="clear" w:color="auto" w:fill="auto"/>
            <w:noWrap/>
            <w:tcMar>
              <w:left w:w="0" w:type="dxa"/>
              <w:right w:w="0" w:type="dxa"/>
            </w:tcMar>
            <w:vAlign w:val="center"/>
            <w:hideMark/>
          </w:tcPr>
          <w:p w14:paraId="12024363"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7BDFFAF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2.06</w:t>
            </w:r>
          </w:p>
        </w:tc>
        <w:tc>
          <w:tcPr>
            <w:tcW w:w="301" w:type="dxa"/>
            <w:shd w:val="clear" w:color="auto" w:fill="auto"/>
            <w:noWrap/>
            <w:tcMar>
              <w:left w:w="0" w:type="dxa"/>
              <w:right w:w="0" w:type="dxa"/>
            </w:tcMar>
            <w:vAlign w:val="center"/>
            <w:hideMark/>
          </w:tcPr>
          <w:p w14:paraId="5AABB2F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7FC9F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18ECD9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1" w:type="dxa"/>
            <w:shd w:val="clear" w:color="auto" w:fill="auto"/>
            <w:noWrap/>
            <w:tcMar>
              <w:left w:w="0" w:type="dxa"/>
              <w:right w:w="0" w:type="dxa"/>
            </w:tcMar>
            <w:vAlign w:val="center"/>
            <w:hideMark/>
          </w:tcPr>
          <w:p w14:paraId="5E71D29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FA83E8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0472856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87560A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0A0A513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48D9B32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2BB67D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4A8A85A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3F374C5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477951B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43FDF3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162709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6885E1C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333DE5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43" w:type="dxa"/>
            <w:shd w:val="clear" w:color="auto" w:fill="auto"/>
            <w:noWrap/>
            <w:tcMar>
              <w:left w:w="0" w:type="dxa"/>
              <w:right w:w="0" w:type="dxa"/>
            </w:tcMar>
            <w:vAlign w:val="center"/>
            <w:hideMark/>
          </w:tcPr>
          <w:p w14:paraId="27E4C4C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E5D1FB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596962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D0A6A5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339EA39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7F58CD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22A44B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9BFEE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D8F6BA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522240F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2.13</w:t>
            </w:r>
          </w:p>
        </w:tc>
        <w:tc>
          <w:tcPr>
            <w:tcW w:w="302" w:type="dxa"/>
            <w:shd w:val="clear" w:color="auto" w:fill="auto"/>
            <w:noWrap/>
            <w:tcMar>
              <w:left w:w="0" w:type="dxa"/>
              <w:right w:w="0" w:type="dxa"/>
            </w:tcMar>
            <w:vAlign w:val="center"/>
            <w:hideMark/>
          </w:tcPr>
          <w:p w14:paraId="0723D06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03FFA70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1B6E78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0DCB37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0DDD56B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439" w:type="dxa"/>
            <w:shd w:val="clear" w:color="auto" w:fill="auto"/>
            <w:noWrap/>
            <w:tcMar>
              <w:left w:w="0" w:type="dxa"/>
              <w:right w:w="0" w:type="dxa"/>
            </w:tcMar>
            <w:vAlign w:val="center"/>
            <w:hideMark/>
          </w:tcPr>
          <w:p w14:paraId="7F537DD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r>
      <w:tr w:rsidR="00FF1B38" w:rsidRPr="002E2EB3" w14:paraId="57EE50B4" w14:textId="77777777" w:rsidTr="009276CC">
        <w:trPr>
          <w:trHeight w:val="300"/>
        </w:trPr>
        <w:tc>
          <w:tcPr>
            <w:tcW w:w="545" w:type="dxa"/>
            <w:vMerge/>
            <w:tcMar>
              <w:left w:w="0" w:type="dxa"/>
              <w:right w:w="0" w:type="dxa"/>
            </w:tcMar>
            <w:vAlign w:val="center"/>
            <w:hideMark/>
          </w:tcPr>
          <w:p w14:paraId="128C0457"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208F4AC9"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3434B7F1"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658177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1" w:type="dxa"/>
            <w:shd w:val="clear" w:color="auto" w:fill="auto"/>
            <w:noWrap/>
            <w:tcMar>
              <w:left w:w="0" w:type="dxa"/>
              <w:right w:w="0" w:type="dxa"/>
            </w:tcMar>
            <w:vAlign w:val="center"/>
            <w:hideMark/>
          </w:tcPr>
          <w:p w14:paraId="32E00E8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89B636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C41765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1.06</w:t>
            </w:r>
          </w:p>
        </w:tc>
        <w:tc>
          <w:tcPr>
            <w:tcW w:w="301" w:type="dxa"/>
            <w:shd w:val="clear" w:color="auto" w:fill="auto"/>
            <w:noWrap/>
            <w:tcMar>
              <w:left w:w="0" w:type="dxa"/>
              <w:right w:w="0" w:type="dxa"/>
            </w:tcMar>
            <w:vAlign w:val="center"/>
            <w:hideMark/>
          </w:tcPr>
          <w:p w14:paraId="5666584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F555FC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79" w:type="dxa"/>
            <w:shd w:val="clear" w:color="auto" w:fill="auto"/>
            <w:noWrap/>
            <w:tcMar>
              <w:left w:w="0" w:type="dxa"/>
              <w:right w:w="0" w:type="dxa"/>
            </w:tcMar>
            <w:vAlign w:val="center"/>
            <w:hideMark/>
          </w:tcPr>
          <w:p w14:paraId="79473F4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3D53BAF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3.25</w:t>
            </w:r>
          </w:p>
        </w:tc>
        <w:tc>
          <w:tcPr>
            <w:tcW w:w="302" w:type="dxa"/>
            <w:shd w:val="clear" w:color="auto" w:fill="auto"/>
            <w:noWrap/>
            <w:tcMar>
              <w:left w:w="0" w:type="dxa"/>
              <w:right w:w="0" w:type="dxa"/>
            </w:tcMar>
            <w:vAlign w:val="center"/>
            <w:hideMark/>
          </w:tcPr>
          <w:p w14:paraId="50399CA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1.38</w:t>
            </w:r>
          </w:p>
        </w:tc>
        <w:tc>
          <w:tcPr>
            <w:tcW w:w="302" w:type="dxa"/>
            <w:shd w:val="clear" w:color="auto" w:fill="auto"/>
            <w:noWrap/>
            <w:tcMar>
              <w:left w:w="0" w:type="dxa"/>
              <w:right w:w="0" w:type="dxa"/>
            </w:tcMar>
            <w:vAlign w:val="center"/>
            <w:hideMark/>
          </w:tcPr>
          <w:p w14:paraId="4D3ABE1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19AED3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0F8A482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02" w:type="dxa"/>
            <w:shd w:val="clear" w:color="auto" w:fill="auto"/>
            <w:noWrap/>
            <w:tcMar>
              <w:left w:w="0" w:type="dxa"/>
              <w:right w:w="0" w:type="dxa"/>
            </w:tcMar>
            <w:vAlign w:val="center"/>
            <w:hideMark/>
          </w:tcPr>
          <w:p w14:paraId="46FF6B8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4FCC953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6867A1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007776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597CDF1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3.19</w:t>
            </w:r>
          </w:p>
        </w:tc>
        <w:tc>
          <w:tcPr>
            <w:tcW w:w="302" w:type="dxa"/>
            <w:shd w:val="clear" w:color="auto" w:fill="auto"/>
            <w:noWrap/>
            <w:tcMar>
              <w:left w:w="0" w:type="dxa"/>
              <w:right w:w="0" w:type="dxa"/>
            </w:tcMar>
            <w:vAlign w:val="center"/>
            <w:hideMark/>
          </w:tcPr>
          <w:p w14:paraId="26868CE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2.19</w:t>
            </w:r>
          </w:p>
        </w:tc>
        <w:tc>
          <w:tcPr>
            <w:tcW w:w="343" w:type="dxa"/>
            <w:shd w:val="clear" w:color="auto" w:fill="auto"/>
            <w:noWrap/>
            <w:tcMar>
              <w:left w:w="0" w:type="dxa"/>
              <w:right w:w="0" w:type="dxa"/>
            </w:tcMar>
            <w:vAlign w:val="center"/>
            <w:hideMark/>
          </w:tcPr>
          <w:p w14:paraId="12D8722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2.25</w:t>
            </w:r>
          </w:p>
        </w:tc>
        <w:tc>
          <w:tcPr>
            <w:tcW w:w="302" w:type="dxa"/>
            <w:shd w:val="clear" w:color="auto" w:fill="auto"/>
            <w:noWrap/>
            <w:tcMar>
              <w:left w:w="0" w:type="dxa"/>
              <w:right w:w="0" w:type="dxa"/>
            </w:tcMar>
            <w:vAlign w:val="center"/>
            <w:hideMark/>
          </w:tcPr>
          <w:p w14:paraId="14A116A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02EE79C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4.01</w:t>
            </w:r>
          </w:p>
        </w:tc>
        <w:tc>
          <w:tcPr>
            <w:tcW w:w="302" w:type="dxa"/>
            <w:shd w:val="clear" w:color="auto" w:fill="auto"/>
            <w:noWrap/>
            <w:tcMar>
              <w:left w:w="0" w:type="dxa"/>
              <w:right w:w="0" w:type="dxa"/>
            </w:tcMar>
            <w:vAlign w:val="center"/>
            <w:hideMark/>
          </w:tcPr>
          <w:p w14:paraId="11C3A0B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18F94DE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2F2E2AA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02" w:type="dxa"/>
            <w:shd w:val="clear" w:color="auto" w:fill="auto"/>
            <w:noWrap/>
            <w:tcMar>
              <w:left w:w="0" w:type="dxa"/>
              <w:right w:w="0" w:type="dxa"/>
            </w:tcMar>
            <w:vAlign w:val="center"/>
            <w:hideMark/>
          </w:tcPr>
          <w:p w14:paraId="19260D3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3D5258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030DC19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69" w:type="dxa"/>
            <w:shd w:val="clear" w:color="auto" w:fill="auto"/>
            <w:noWrap/>
            <w:tcMar>
              <w:left w:w="0" w:type="dxa"/>
              <w:right w:w="0" w:type="dxa"/>
            </w:tcMar>
            <w:vAlign w:val="center"/>
            <w:hideMark/>
          </w:tcPr>
          <w:p w14:paraId="41C8F9B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2.19</w:t>
            </w:r>
          </w:p>
        </w:tc>
        <w:tc>
          <w:tcPr>
            <w:tcW w:w="302" w:type="dxa"/>
            <w:shd w:val="clear" w:color="auto" w:fill="auto"/>
            <w:noWrap/>
            <w:tcMar>
              <w:left w:w="0" w:type="dxa"/>
              <w:right w:w="0" w:type="dxa"/>
            </w:tcMar>
            <w:vAlign w:val="center"/>
            <w:hideMark/>
          </w:tcPr>
          <w:p w14:paraId="5620302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BE531A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2AD839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59E281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3F7524A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3.32</w:t>
            </w:r>
          </w:p>
        </w:tc>
        <w:tc>
          <w:tcPr>
            <w:tcW w:w="439" w:type="dxa"/>
            <w:shd w:val="clear" w:color="auto" w:fill="auto"/>
            <w:noWrap/>
            <w:tcMar>
              <w:left w:w="0" w:type="dxa"/>
              <w:right w:w="0" w:type="dxa"/>
            </w:tcMar>
            <w:vAlign w:val="center"/>
            <w:hideMark/>
          </w:tcPr>
          <w:p w14:paraId="0C0C88F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r>
      <w:tr w:rsidR="00FF1B38" w:rsidRPr="002E2EB3" w14:paraId="0F71EF93" w14:textId="77777777" w:rsidTr="009276CC">
        <w:trPr>
          <w:trHeight w:val="300"/>
        </w:trPr>
        <w:tc>
          <w:tcPr>
            <w:tcW w:w="545" w:type="dxa"/>
            <w:vMerge/>
            <w:tcMar>
              <w:left w:w="0" w:type="dxa"/>
              <w:right w:w="0" w:type="dxa"/>
            </w:tcMar>
            <w:vAlign w:val="center"/>
            <w:hideMark/>
          </w:tcPr>
          <w:p w14:paraId="6C9AEA58"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0E1D33D3"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Bedarra</w:t>
            </w:r>
          </w:p>
        </w:tc>
        <w:tc>
          <w:tcPr>
            <w:tcW w:w="438" w:type="dxa"/>
            <w:shd w:val="clear" w:color="auto" w:fill="auto"/>
            <w:noWrap/>
            <w:tcMar>
              <w:left w:w="0" w:type="dxa"/>
              <w:right w:w="0" w:type="dxa"/>
            </w:tcMar>
            <w:vAlign w:val="center"/>
            <w:hideMark/>
          </w:tcPr>
          <w:p w14:paraId="1159D0E4"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3DAF66E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2.06</w:t>
            </w:r>
          </w:p>
        </w:tc>
        <w:tc>
          <w:tcPr>
            <w:tcW w:w="301" w:type="dxa"/>
            <w:shd w:val="clear" w:color="auto" w:fill="auto"/>
            <w:noWrap/>
            <w:tcMar>
              <w:left w:w="0" w:type="dxa"/>
              <w:right w:w="0" w:type="dxa"/>
            </w:tcMar>
            <w:vAlign w:val="center"/>
            <w:hideMark/>
          </w:tcPr>
          <w:p w14:paraId="0D0AE4D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5F8CAF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48E4F0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1" w:type="dxa"/>
            <w:shd w:val="clear" w:color="auto" w:fill="auto"/>
            <w:noWrap/>
            <w:tcMar>
              <w:left w:w="0" w:type="dxa"/>
              <w:right w:w="0" w:type="dxa"/>
            </w:tcMar>
            <w:vAlign w:val="center"/>
            <w:hideMark/>
          </w:tcPr>
          <w:p w14:paraId="427B74E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5415B5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075A487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D9ABC9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02" w:type="dxa"/>
            <w:shd w:val="clear" w:color="auto" w:fill="auto"/>
            <w:noWrap/>
            <w:tcMar>
              <w:left w:w="0" w:type="dxa"/>
              <w:right w:w="0" w:type="dxa"/>
            </w:tcMar>
            <w:vAlign w:val="center"/>
            <w:hideMark/>
          </w:tcPr>
          <w:p w14:paraId="2442ECD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3685B09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1D4E76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1FBD292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6E006B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4B6DB27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4A64EE0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D0C581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shd w:val="clear" w:color="auto" w:fill="auto"/>
            <w:noWrap/>
            <w:tcMar>
              <w:left w:w="0" w:type="dxa"/>
              <w:right w:w="0" w:type="dxa"/>
            </w:tcMar>
            <w:vAlign w:val="center"/>
            <w:hideMark/>
          </w:tcPr>
          <w:p w14:paraId="7D9D14A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E2DDC0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43" w:type="dxa"/>
            <w:shd w:val="clear" w:color="auto" w:fill="auto"/>
            <w:noWrap/>
            <w:tcMar>
              <w:left w:w="0" w:type="dxa"/>
              <w:right w:w="0" w:type="dxa"/>
            </w:tcMar>
            <w:vAlign w:val="center"/>
            <w:hideMark/>
          </w:tcPr>
          <w:p w14:paraId="105FBDF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40734A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37C8E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C62E50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8F87ED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026639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4BC7196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302763A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227F86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69" w:type="dxa"/>
            <w:shd w:val="clear" w:color="auto" w:fill="auto"/>
            <w:noWrap/>
            <w:tcMar>
              <w:left w:w="0" w:type="dxa"/>
              <w:right w:w="0" w:type="dxa"/>
            </w:tcMar>
            <w:vAlign w:val="center"/>
            <w:hideMark/>
          </w:tcPr>
          <w:p w14:paraId="027275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4.38</w:t>
            </w:r>
          </w:p>
        </w:tc>
        <w:tc>
          <w:tcPr>
            <w:tcW w:w="302" w:type="dxa"/>
            <w:shd w:val="clear" w:color="auto" w:fill="auto"/>
            <w:noWrap/>
            <w:tcMar>
              <w:left w:w="0" w:type="dxa"/>
              <w:right w:w="0" w:type="dxa"/>
            </w:tcMar>
            <w:vAlign w:val="center"/>
            <w:hideMark/>
          </w:tcPr>
          <w:p w14:paraId="7C07B67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EF0CEC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738778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C4EB02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405" w:type="dxa"/>
            <w:shd w:val="clear" w:color="auto" w:fill="auto"/>
            <w:noWrap/>
            <w:tcMar>
              <w:left w:w="0" w:type="dxa"/>
              <w:right w:w="0" w:type="dxa"/>
            </w:tcMar>
            <w:vAlign w:val="center"/>
            <w:hideMark/>
          </w:tcPr>
          <w:p w14:paraId="11C91C9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439" w:type="dxa"/>
            <w:shd w:val="clear" w:color="auto" w:fill="auto"/>
            <w:noWrap/>
            <w:tcMar>
              <w:left w:w="0" w:type="dxa"/>
              <w:right w:w="0" w:type="dxa"/>
            </w:tcMar>
            <w:vAlign w:val="center"/>
            <w:hideMark/>
          </w:tcPr>
          <w:p w14:paraId="6B5AA4D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r>
      <w:tr w:rsidR="00FF1B38" w:rsidRPr="002E2EB3" w14:paraId="6CD7A0CA" w14:textId="77777777" w:rsidTr="009276CC">
        <w:trPr>
          <w:trHeight w:val="300"/>
        </w:trPr>
        <w:tc>
          <w:tcPr>
            <w:tcW w:w="545" w:type="dxa"/>
            <w:vMerge/>
            <w:tcMar>
              <w:left w:w="0" w:type="dxa"/>
              <w:right w:w="0" w:type="dxa"/>
            </w:tcMar>
            <w:vAlign w:val="center"/>
            <w:hideMark/>
          </w:tcPr>
          <w:p w14:paraId="21008171"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2B7297E1"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663965A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42FEC7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1" w:type="dxa"/>
            <w:shd w:val="clear" w:color="auto" w:fill="auto"/>
            <w:noWrap/>
            <w:tcMar>
              <w:left w:w="0" w:type="dxa"/>
              <w:right w:w="0" w:type="dxa"/>
            </w:tcMar>
            <w:vAlign w:val="center"/>
            <w:hideMark/>
          </w:tcPr>
          <w:p w14:paraId="4332032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0AF27D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A98199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081A1EB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D18B45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67CC068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922A86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2.88</w:t>
            </w:r>
          </w:p>
        </w:tc>
        <w:tc>
          <w:tcPr>
            <w:tcW w:w="302" w:type="dxa"/>
            <w:shd w:val="clear" w:color="auto" w:fill="auto"/>
            <w:noWrap/>
            <w:tcMar>
              <w:left w:w="0" w:type="dxa"/>
              <w:right w:w="0" w:type="dxa"/>
            </w:tcMar>
            <w:vAlign w:val="center"/>
            <w:hideMark/>
          </w:tcPr>
          <w:p w14:paraId="61A2747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3059FFC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7B617E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FC01C5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80BEF2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2.44</w:t>
            </w:r>
          </w:p>
        </w:tc>
        <w:tc>
          <w:tcPr>
            <w:tcW w:w="302" w:type="dxa"/>
            <w:shd w:val="clear" w:color="auto" w:fill="auto"/>
            <w:noWrap/>
            <w:tcMar>
              <w:left w:w="0" w:type="dxa"/>
              <w:right w:w="0" w:type="dxa"/>
            </w:tcMar>
            <w:vAlign w:val="center"/>
            <w:hideMark/>
          </w:tcPr>
          <w:p w14:paraId="3CE271D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635908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FF5916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1.31</w:t>
            </w:r>
          </w:p>
        </w:tc>
        <w:tc>
          <w:tcPr>
            <w:tcW w:w="302" w:type="dxa"/>
            <w:shd w:val="clear" w:color="auto" w:fill="auto"/>
            <w:noWrap/>
            <w:tcMar>
              <w:left w:w="0" w:type="dxa"/>
              <w:right w:w="0" w:type="dxa"/>
            </w:tcMar>
            <w:vAlign w:val="center"/>
            <w:hideMark/>
          </w:tcPr>
          <w:p w14:paraId="6AD930B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292F54D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43" w:type="dxa"/>
            <w:shd w:val="clear" w:color="auto" w:fill="auto"/>
            <w:noWrap/>
            <w:tcMar>
              <w:left w:w="0" w:type="dxa"/>
              <w:right w:w="0" w:type="dxa"/>
            </w:tcMar>
            <w:vAlign w:val="center"/>
            <w:hideMark/>
          </w:tcPr>
          <w:p w14:paraId="17D7A7E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47505DC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712A322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7AD29EA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7D1CD45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60A001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58B1618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7F700E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9E9C89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69" w:type="dxa"/>
            <w:shd w:val="clear" w:color="auto" w:fill="auto"/>
            <w:noWrap/>
            <w:tcMar>
              <w:left w:w="0" w:type="dxa"/>
              <w:right w:w="0" w:type="dxa"/>
            </w:tcMar>
            <w:vAlign w:val="center"/>
            <w:hideMark/>
          </w:tcPr>
          <w:p w14:paraId="28C08D8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3.38</w:t>
            </w:r>
          </w:p>
        </w:tc>
        <w:tc>
          <w:tcPr>
            <w:tcW w:w="302" w:type="dxa"/>
            <w:shd w:val="clear" w:color="auto" w:fill="auto"/>
            <w:noWrap/>
            <w:tcMar>
              <w:left w:w="0" w:type="dxa"/>
              <w:right w:w="0" w:type="dxa"/>
            </w:tcMar>
            <w:vAlign w:val="center"/>
            <w:hideMark/>
          </w:tcPr>
          <w:p w14:paraId="7E01B9D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342A85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F40358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D52001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405" w:type="dxa"/>
            <w:shd w:val="clear" w:color="auto" w:fill="auto"/>
            <w:noWrap/>
            <w:tcMar>
              <w:left w:w="0" w:type="dxa"/>
              <w:right w:w="0" w:type="dxa"/>
            </w:tcMar>
            <w:vAlign w:val="center"/>
            <w:hideMark/>
          </w:tcPr>
          <w:p w14:paraId="7DDA44D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439" w:type="dxa"/>
            <w:shd w:val="clear" w:color="auto" w:fill="auto"/>
            <w:noWrap/>
            <w:tcMar>
              <w:left w:w="0" w:type="dxa"/>
              <w:right w:w="0" w:type="dxa"/>
            </w:tcMar>
            <w:vAlign w:val="center"/>
            <w:hideMark/>
          </w:tcPr>
          <w:p w14:paraId="3990389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r>
      <w:tr w:rsidR="00FF1B38" w:rsidRPr="002E2EB3" w14:paraId="057FC7AB" w14:textId="77777777" w:rsidTr="009276CC">
        <w:trPr>
          <w:trHeight w:val="300"/>
        </w:trPr>
        <w:tc>
          <w:tcPr>
            <w:tcW w:w="545" w:type="dxa"/>
            <w:vMerge w:val="restart"/>
            <w:shd w:val="clear" w:color="auto" w:fill="auto"/>
            <w:noWrap/>
            <w:tcMar>
              <w:left w:w="0" w:type="dxa"/>
              <w:right w:w="0" w:type="dxa"/>
            </w:tcMar>
            <w:textDirection w:val="btLr"/>
            <w:vAlign w:val="center"/>
            <w:hideMark/>
          </w:tcPr>
          <w:p w14:paraId="27405E7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Burdekin</w:t>
            </w:r>
          </w:p>
        </w:tc>
        <w:tc>
          <w:tcPr>
            <w:tcW w:w="1649" w:type="dxa"/>
            <w:vMerge w:val="restart"/>
            <w:shd w:val="clear" w:color="auto" w:fill="auto"/>
            <w:noWrap/>
            <w:tcMar>
              <w:left w:w="0" w:type="dxa"/>
              <w:right w:w="0" w:type="dxa"/>
            </w:tcMar>
            <w:vAlign w:val="center"/>
            <w:hideMark/>
          </w:tcPr>
          <w:p w14:paraId="6B74E973"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Palms East</w:t>
            </w:r>
          </w:p>
        </w:tc>
        <w:tc>
          <w:tcPr>
            <w:tcW w:w="438" w:type="dxa"/>
            <w:shd w:val="clear" w:color="auto" w:fill="auto"/>
            <w:noWrap/>
            <w:tcMar>
              <w:left w:w="0" w:type="dxa"/>
              <w:right w:w="0" w:type="dxa"/>
            </w:tcMar>
            <w:vAlign w:val="center"/>
            <w:hideMark/>
          </w:tcPr>
          <w:p w14:paraId="7F2CC20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731CA46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01" w:type="dxa"/>
            <w:shd w:val="clear" w:color="auto" w:fill="auto"/>
            <w:noWrap/>
            <w:tcMar>
              <w:left w:w="0" w:type="dxa"/>
              <w:right w:w="0" w:type="dxa"/>
            </w:tcMar>
            <w:vAlign w:val="center"/>
            <w:hideMark/>
          </w:tcPr>
          <w:p w14:paraId="2CDC6BE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F25087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AC36F6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69509D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EA79E5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7F72B85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F16ACC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53EE6F8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7D38B0C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2E1D6D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CFC0AB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C32E33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742DD2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2B72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CD7FEF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55E44F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C87B64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43" w:type="dxa"/>
            <w:shd w:val="clear" w:color="auto" w:fill="auto"/>
            <w:noWrap/>
            <w:tcMar>
              <w:left w:w="0" w:type="dxa"/>
              <w:right w:w="0" w:type="dxa"/>
            </w:tcMar>
            <w:vAlign w:val="center"/>
            <w:hideMark/>
          </w:tcPr>
          <w:p w14:paraId="2D67BA4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F60EC9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46201D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EECDDE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00905F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53686B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7DAAD8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B3F59A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860089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3736019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2DE7BFF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EBB625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5B8324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66E31C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2C79550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45C0837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r>
      <w:tr w:rsidR="00FF1B38" w:rsidRPr="002E2EB3" w14:paraId="6E45C64F" w14:textId="77777777" w:rsidTr="009276CC">
        <w:trPr>
          <w:trHeight w:val="300"/>
        </w:trPr>
        <w:tc>
          <w:tcPr>
            <w:tcW w:w="545" w:type="dxa"/>
            <w:vMerge/>
            <w:tcMar>
              <w:left w:w="0" w:type="dxa"/>
              <w:right w:w="0" w:type="dxa"/>
            </w:tcMar>
            <w:vAlign w:val="center"/>
            <w:hideMark/>
          </w:tcPr>
          <w:p w14:paraId="121BAC63"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4AB10D75"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055E23E3"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079381E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1" w:type="dxa"/>
            <w:shd w:val="clear" w:color="auto" w:fill="auto"/>
            <w:noWrap/>
            <w:tcMar>
              <w:left w:w="0" w:type="dxa"/>
              <w:right w:w="0" w:type="dxa"/>
            </w:tcMar>
            <w:vAlign w:val="center"/>
            <w:hideMark/>
          </w:tcPr>
          <w:p w14:paraId="40EB248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7E43B7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9C8F19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1CE9B0C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C30C57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061394D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8428BB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BF6FCD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D4EACA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E41855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42A42C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F4812D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B073DA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FD6474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794D6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A9C383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626A71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43" w:type="dxa"/>
            <w:shd w:val="clear" w:color="auto" w:fill="auto"/>
            <w:noWrap/>
            <w:tcMar>
              <w:left w:w="0" w:type="dxa"/>
              <w:right w:w="0" w:type="dxa"/>
            </w:tcMar>
            <w:vAlign w:val="center"/>
            <w:hideMark/>
          </w:tcPr>
          <w:p w14:paraId="03E443B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707A09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AA7E4F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608C9F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A385BC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F25955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FE01A3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35A1BD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2EA4CD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1191954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02" w:type="dxa"/>
            <w:shd w:val="clear" w:color="auto" w:fill="auto"/>
            <w:noWrap/>
            <w:tcMar>
              <w:left w:w="0" w:type="dxa"/>
              <w:right w:w="0" w:type="dxa"/>
            </w:tcMar>
            <w:vAlign w:val="center"/>
            <w:hideMark/>
          </w:tcPr>
          <w:p w14:paraId="191813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9F4F7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9B819C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6C13B0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1E01AE8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4190E24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r>
      <w:tr w:rsidR="00FF1B38" w:rsidRPr="002E2EB3" w14:paraId="0FE299E7" w14:textId="77777777" w:rsidTr="009276CC">
        <w:trPr>
          <w:trHeight w:val="300"/>
        </w:trPr>
        <w:tc>
          <w:tcPr>
            <w:tcW w:w="545" w:type="dxa"/>
            <w:vMerge/>
            <w:tcMar>
              <w:left w:w="0" w:type="dxa"/>
              <w:right w:w="0" w:type="dxa"/>
            </w:tcMar>
            <w:vAlign w:val="center"/>
            <w:hideMark/>
          </w:tcPr>
          <w:p w14:paraId="05D5C2F5"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74A4E70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Palms West</w:t>
            </w:r>
          </w:p>
        </w:tc>
        <w:tc>
          <w:tcPr>
            <w:tcW w:w="438" w:type="dxa"/>
            <w:shd w:val="clear" w:color="auto" w:fill="auto"/>
            <w:noWrap/>
            <w:tcMar>
              <w:left w:w="0" w:type="dxa"/>
              <w:right w:w="0" w:type="dxa"/>
            </w:tcMar>
            <w:vAlign w:val="center"/>
            <w:hideMark/>
          </w:tcPr>
          <w:p w14:paraId="753FCFF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2C19D0B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3.75</w:t>
            </w:r>
          </w:p>
        </w:tc>
        <w:tc>
          <w:tcPr>
            <w:tcW w:w="301" w:type="dxa"/>
            <w:shd w:val="clear" w:color="auto" w:fill="auto"/>
            <w:noWrap/>
            <w:tcMar>
              <w:left w:w="0" w:type="dxa"/>
              <w:right w:w="0" w:type="dxa"/>
            </w:tcMar>
            <w:vAlign w:val="center"/>
            <w:hideMark/>
          </w:tcPr>
          <w:p w14:paraId="756970F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91FCE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4431BB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D8BDD7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9BB830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499EA63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665B83C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FDBC73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0D76FD0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8D599C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57A70B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543FAF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7C00D7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75986E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0980CA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74293A6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CB1766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43" w:type="dxa"/>
            <w:shd w:val="clear" w:color="auto" w:fill="auto"/>
            <w:noWrap/>
            <w:tcMar>
              <w:left w:w="0" w:type="dxa"/>
              <w:right w:w="0" w:type="dxa"/>
            </w:tcMar>
            <w:vAlign w:val="center"/>
            <w:hideMark/>
          </w:tcPr>
          <w:p w14:paraId="6F190FA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F7B8F8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23F127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8B4AEA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69C4E4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574A47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6D5F71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9751E5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3.44</w:t>
            </w:r>
          </w:p>
        </w:tc>
        <w:tc>
          <w:tcPr>
            <w:tcW w:w="302" w:type="dxa"/>
            <w:shd w:val="clear" w:color="auto" w:fill="auto"/>
            <w:noWrap/>
            <w:tcMar>
              <w:left w:w="0" w:type="dxa"/>
              <w:right w:w="0" w:type="dxa"/>
            </w:tcMar>
            <w:vAlign w:val="center"/>
            <w:hideMark/>
          </w:tcPr>
          <w:p w14:paraId="4D1A12E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7C52ED5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14683E3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E28419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969F84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165B5C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55FA3BF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7BDAB1C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r>
      <w:tr w:rsidR="00FF1B38" w:rsidRPr="002E2EB3" w14:paraId="4C7B4200" w14:textId="77777777" w:rsidTr="009276CC">
        <w:trPr>
          <w:trHeight w:val="300"/>
        </w:trPr>
        <w:tc>
          <w:tcPr>
            <w:tcW w:w="545" w:type="dxa"/>
            <w:vMerge/>
            <w:tcMar>
              <w:left w:w="0" w:type="dxa"/>
              <w:right w:w="0" w:type="dxa"/>
            </w:tcMar>
            <w:vAlign w:val="center"/>
            <w:hideMark/>
          </w:tcPr>
          <w:p w14:paraId="0336E367"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6BBE8789"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0762778E"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6791327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1.50</w:t>
            </w:r>
          </w:p>
        </w:tc>
        <w:tc>
          <w:tcPr>
            <w:tcW w:w="301" w:type="dxa"/>
            <w:shd w:val="clear" w:color="auto" w:fill="auto"/>
            <w:noWrap/>
            <w:tcMar>
              <w:left w:w="0" w:type="dxa"/>
              <w:right w:w="0" w:type="dxa"/>
            </w:tcMar>
            <w:vAlign w:val="center"/>
            <w:hideMark/>
          </w:tcPr>
          <w:p w14:paraId="4849DBB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47DF4A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F20C02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679800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E32366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79" w:type="dxa"/>
            <w:shd w:val="clear" w:color="auto" w:fill="auto"/>
            <w:noWrap/>
            <w:tcMar>
              <w:left w:w="0" w:type="dxa"/>
              <w:right w:w="0" w:type="dxa"/>
            </w:tcMar>
            <w:vAlign w:val="center"/>
            <w:hideMark/>
          </w:tcPr>
          <w:p w14:paraId="075D284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1BDE8A4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436C7E6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3439BB0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25C93A0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3C3549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790F3F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shd w:val="clear" w:color="auto" w:fill="auto"/>
            <w:noWrap/>
            <w:tcMar>
              <w:left w:w="0" w:type="dxa"/>
              <w:right w:w="0" w:type="dxa"/>
            </w:tcMar>
            <w:vAlign w:val="center"/>
            <w:hideMark/>
          </w:tcPr>
          <w:p w14:paraId="3EECB6D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A2ECA4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012781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2F958E4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77F182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1.06</w:t>
            </w:r>
          </w:p>
        </w:tc>
        <w:tc>
          <w:tcPr>
            <w:tcW w:w="343" w:type="dxa"/>
            <w:shd w:val="clear" w:color="auto" w:fill="auto"/>
            <w:noWrap/>
            <w:tcMar>
              <w:left w:w="0" w:type="dxa"/>
              <w:right w:w="0" w:type="dxa"/>
            </w:tcMar>
            <w:vAlign w:val="center"/>
            <w:hideMark/>
          </w:tcPr>
          <w:p w14:paraId="01CF318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4AC680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51EC54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883409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0E521C4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7F12A7F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09C21A4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676D92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4875925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617B360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2.31</w:t>
            </w:r>
          </w:p>
        </w:tc>
        <w:tc>
          <w:tcPr>
            <w:tcW w:w="302" w:type="dxa"/>
            <w:shd w:val="clear" w:color="auto" w:fill="auto"/>
            <w:noWrap/>
            <w:tcMar>
              <w:left w:w="0" w:type="dxa"/>
              <w:right w:w="0" w:type="dxa"/>
            </w:tcMar>
            <w:vAlign w:val="center"/>
            <w:hideMark/>
          </w:tcPr>
          <w:p w14:paraId="4ED43CA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F28910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250FE7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83E8F7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2312B49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1FA65E4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r>
      <w:tr w:rsidR="00FF1B38" w:rsidRPr="002E2EB3" w14:paraId="2AABF542" w14:textId="77777777" w:rsidTr="009276CC">
        <w:trPr>
          <w:trHeight w:val="300"/>
        </w:trPr>
        <w:tc>
          <w:tcPr>
            <w:tcW w:w="545" w:type="dxa"/>
            <w:vMerge/>
            <w:tcMar>
              <w:left w:w="0" w:type="dxa"/>
              <w:right w:w="0" w:type="dxa"/>
            </w:tcMar>
            <w:vAlign w:val="center"/>
            <w:hideMark/>
          </w:tcPr>
          <w:p w14:paraId="2F9FD809" w14:textId="77777777" w:rsidR="00FF1B38" w:rsidRPr="002E2EB3" w:rsidRDefault="00FF1B38" w:rsidP="009276CC">
            <w:pPr>
              <w:spacing w:after="0"/>
              <w:rPr>
                <w:rFonts w:ascii="Arial Narrow" w:hAnsi="Arial Narrow"/>
                <w:color w:val="000000"/>
                <w:sz w:val="20"/>
                <w:lang w:val="en-AU" w:eastAsia="en-AU"/>
              </w:rPr>
            </w:pPr>
          </w:p>
        </w:tc>
        <w:tc>
          <w:tcPr>
            <w:tcW w:w="1649" w:type="dxa"/>
            <w:shd w:val="clear" w:color="auto" w:fill="auto"/>
            <w:noWrap/>
            <w:tcMar>
              <w:left w:w="0" w:type="dxa"/>
              <w:right w:w="0" w:type="dxa"/>
            </w:tcMar>
            <w:vAlign w:val="center"/>
            <w:hideMark/>
          </w:tcPr>
          <w:p w14:paraId="222FA98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Havannah North</w:t>
            </w:r>
          </w:p>
        </w:tc>
        <w:tc>
          <w:tcPr>
            <w:tcW w:w="438" w:type="dxa"/>
            <w:shd w:val="clear" w:color="auto" w:fill="auto"/>
            <w:noWrap/>
            <w:tcMar>
              <w:left w:w="0" w:type="dxa"/>
              <w:right w:w="0" w:type="dxa"/>
            </w:tcMar>
            <w:vAlign w:val="center"/>
            <w:hideMark/>
          </w:tcPr>
          <w:p w14:paraId="1987C590"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08B2E2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0.90</w:t>
            </w:r>
          </w:p>
        </w:tc>
        <w:tc>
          <w:tcPr>
            <w:tcW w:w="301" w:type="dxa"/>
            <w:shd w:val="clear" w:color="auto" w:fill="auto"/>
            <w:noWrap/>
            <w:tcMar>
              <w:left w:w="0" w:type="dxa"/>
              <w:right w:w="0" w:type="dxa"/>
            </w:tcMar>
            <w:vAlign w:val="center"/>
            <w:hideMark/>
          </w:tcPr>
          <w:p w14:paraId="519ADEE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D6599C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DCA70E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01" w:type="dxa"/>
            <w:shd w:val="clear" w:color="auto" w:fill="auto"/>
            <w:noWrap/>
            <w:tcMar>
              <w:left w:w="0" w:type="dxa"/>
              <w:right w:w="0" w:type="dxa"/>
            </w:tcMar>
            <w:vAlign w:val="center"/>
            <w:hideMark/>
          </w:tcPr>
          <w:p w14:paraId="5A59BAB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F5DAB5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79" w:type="dxa"/>
            <w:shd w:val="clear" w:color="auto" w:fill="auto"/>
            <w:noWrap/>
            <w:tcMar>
              <w:left w:w="0" w:type="dxa"/>
              <w:right w:w="0" w:type="dxa"/>
            </w:tcMar>
            <w:vAlign w:val="center"/>
            <w:hideMark/>
          </w:tcPr>
          <w:p w14:paraId="0782274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729BB5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705C03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2AAF6B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302" w:type="dxa"/>
            <w:shd w:val="clear" w:color="auto" w:fill="auto"/>
            <w:noWrap/>
            <w:tcMar>
              <w:left w:w="0" w:type="dxa"/>
              <w:right w:w="0" w:type="dxa"/>
            </w:tcMar>
            <w:vAlign w:val="center"/>
            <w:hideMark/>
          </w:tcPr>
          <w:p w14:paraId="73C8697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02" w:type="dxa"/>
            <w:shd w:val="clear" w:color="auto" w:fill="auto"/>
            <w:noWrap/>
            <w:tcMar>
              <w:left w:w="0" w:type="dxa"/>
              <w:right w:w="0" w:type="dxa"/>
            </w:tcMar>
            <w:vAlign w:val="center"/>
            <w:hideMark/>
          </w:tcPr>
          <w:p w14:paraId="6A827B3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2ABD789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302" w:type="dxa"/>
            <w:shd w:val="clear" w:color="auto" w:fill="auto"/>
            <w:noWrap/>
            <w:tcMar>
              <w:left w:w="0" w:type="dxa"/>
              <w:right w:w="0" w:type="dxa"/>
            </w:tcMar>
            <w:vAlign w:val="center"/>
            <w:hideMark/>
          </w:tcPr>
          <w:p w14:paraId="41C83EF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3A24DBE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3151A0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93D0E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0C2631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0.57</w:t>
            </w:r>
          </w:p>
        </w:tc>
        <w:tc>
          <w:tcPr>
            <w:tcW w:w="343" w:type="dxa"/>
            <w:shd w:val="clear" w:color="auto" w:fill="auto"/>
            <w:noWrap/>
            <w:tcMar>
              <w:left w:w="0" w:type="dxa"/>
              <w:right w:w="0" w:type="dxa"/>
            </w:tcMar>
            <w:vAlign w:val="center"/>
            <w:hideMark/>
          </w:tcPr>
          <w:p w14:paraId="3C60718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02" w:type="dxa"/>
            <w:shd w:val="clear" w:color="auto" w:fill="auto"/>
            <w:noWrap/>
            <w:tcMar>
              <w:left w:w="0" w:type="dxa"/>
              <w:right w:w="0" w:type="dxa"/>
            </w:tcMar>
            <w:vAlign w:val="center"/>
            <w:hideMark/>
          </w:tcPr>
          <w:p w14:paraId="5AEF16E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302" w:type="dxa"/>
            <w:shd w:val="clear" w:color="auto" w:fill="auto"/>
            <w:noWrap/>
            <w:tcMar>
              <w:left w:w="0" w:type="dxa"/>
              <w:right w:w="0" w:type="dxa"/>
            </w:tcMar>
            <w:vAlign w:val="center"/>
            <w:hideMark/>
          </w:tcPr>
          <w:p w14:paraId="214EE50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AB5051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02" w:type="dxa"/>
            <w:shd w:val="clear" w:color="auto" w:fill="auto"/>
            <w:noWrap/>
            <w:tcMar>
              <w:left w:w="0" w:type="dxa"/>
              <w:right w:w="0" w:type="dxa"/>
            </w:tcMar>
            <w:vAlign w:val="center"/>
            <w:hideMark/>
          </w:tcPr>
          <w:p w14:paraId="3D917BD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148558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F04CF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6878DA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952CD8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28A4CB2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302" w:type="dxa"/>
            <w:shd w:val="clear" w:color="auto" w:fill="auto"/>
            <w:noWrap/>
            <w:tcMar>
              <w:left w:w="0" w:type="dxa"/>
              <w:right w:w="0" w:type="dxa"/>
            </w:tcMar>
            <w:vAlign w:val="center"/>
            <w:hideMark/>
          </w:tcPr>
          <w:p w14:paraId="5511853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02" w:type="dxa"/>
            <w:shd w:val="clear" w:color="auto" w:fill="auto"/>
            <w:noWrap/>
            <w:tcMar>
              <w:left w:w="0" w:type="dxa"/>
              <w:right w:w="0" w:type="dxa"/>
            </w:tcMar>
            <w:vAlign w:val="center"/>
            <w:hideMark/>
          </w:tcPr>
          <w:p w14:paraId="1C30226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302" w:type="dxa"/>
            <w:shd w:val="clear" w:color="auto" w:fill="auto"/>
            <w:noWrap/>
            <w:tcMar>
              <w:left w:w="0" w:type="dxa"/>
              <w:right w:w="0" w:type="dxa"/>
            </w:tcMar>
            <w:vAlign w:val="center"/>
            <w:hideMark/>
          </w:tcPr>
          <w:p w14:paraId="7DA40B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195B128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55E2D92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439" w:type="dxa"/>
            <w:shd w:val="clear" w:color="auto" w:fill="auto"/>
            <w:noWrap/>
            <w:tcMar>
              <w:left w:w="0" w:type="dxa"/>
              <w:right w:w="0" w:type="dxa"/>
            </w:tcMar>
            <w:vAlign w:val="center"/>
            <w:hideMark/>
          </w:tcPr>
          <w:p w14:paraId="7AB271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r>
      <w:tr w:rsidR="00FF1B38" w:rsidRPr="002E2EB3" w14:paraId="4093D725" w14:textId="77777777" w:rsidTr="009276CC">
        <w:trPr>
          <w:trHeight w:val="300"/>
        </w:trPr>
        <w:tc>
          <w:tcPr>
            <w:tcW w:w="545" w:type="dxa"/>
            <w:vMerge/>
            <w:tcMar>
              <w:left w:w="0" w:type="dxa"/>
              <w:right w:w="0" w:type="dxa"/>
            </w:tcMar>
            <w:vAlign w:val="center"/>
            <w:hideMark/>
          </w:tcPr>
          <w:p w14:paraId="21ECA3D8"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0E565829"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Havannah</w:t>
            </w:r>
          </w:p>
        </w:tc>
        <w:tc>
          <w:tcPr>
            <w:tcW w:w="438" w:type="dxa"/>
            <w:shd w:val="clear" w:color="auto" w:fill="auto"/>
            <w:noWrap/>
            <w:tcMar>
              <w:left w:w="0" w:type="dxa"/>
              <w:right w:w="0" w:type="dxa"/>
            </w:tcMar>
            <w:vAlign w:val="center"/>
            <w:hideMark/>
          </w:tcPr>
          <w:p w14:paraId="2180C35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63D274A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38.9</w:t>
            </w:r>
          </w:p>
        </w:tc>
        <w:tc>
          <w:tcPr>
            <w:tcW w:w="301" w:type="dxa"/>
            <w:shd w:val="clear" w:color="auto" w:fill="auto"/>
            <w:noWrap/>
            <w:tcMar>
              <w:left w:w="0" w:type="dxa"/>
              <w:right w:w="0" w:type="dxa"/>
            </w:tcMar>
            <w:vAlign w:val="center"/>
            <w:hideMark/>
          </w:tcPr>
          <w:p w14:paraId="1BD3517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4EA022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062430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1" w:type="dxa"/>
            <w:shd w:val="clear" w:color="auto" w:fill="auto"/>
            <w:noWrap/>
            <w:tcMar>
              <w:left w:w="0" w:type="dxa"/>
              <w:right w:w="0" w:type="dxa"/>
            </w:tcMar>
            <w:vAlign w:val="center"/>
            <w:hideMark/>
          </w:tcPr>
          <w:p w14:paraId="04B3273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7F4F6A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3BA70D9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02" w:type="dxa"/>
            <w:shd w:val="clear" w:color="auto" w:fill="auto"/>
            <w:noWrap/>
            <w:tcMar>
              <w:left w:w="0" w:type="dxa"/>
              <w:right w:w="0" w:type="dxa"/>
            </w:tcMar>
            <w:vAlign w:val="center"/>
            <w:hideMark/>
          </w:tcPr>
          <w:p w14:paraId="12C0C75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08AC805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CC46FB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6FF48E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3A9BA17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7F8D9E2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76F9352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179041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A9EC7F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286B026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2C4762C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4.88</w:t>
            </w:r>
          </w:p>
        </w:tc>
        <w:tc>
          <w:tcPr>
            <w:tcW w:w="343" w:type="dxa"/>
            <w:shd w:val="clear" w:color="auto" w:fill="auto"/>
            <w:noWrap/>
            <w:tcMar>
              <w:left w:w="0" w:type="dxa"/>
              <w:right w:w="0" w:type="dxa"/>
            </w:tcMar>
            <w:vAlign w:val="center"/>
            <w:hideMark/>
          </w:tcPr>
          <w:p w14:paraId="49A4A1A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DAD3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4FFC99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3E47D3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FA39F8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32B2ED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5AB0EE9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0BE9DE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3BBD83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69" w:type="dxa"/>
            <w:shd w:val="clear" w:color="auto" w:fill="auto"/>
            <w:noWrap/>
            <w:tcMar>
              <w:left w:w="0" w:type="dxa"/>
              <w:right w:w="0" w:type="dxa"/>
            </w:tcMar>
            <w:vAlign w:val="center"/>
            <w:hideMark/>
          </w:tcPr>
          <w:p w14:paraId="706445D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3.13</w:t>
            </w:r>
          </w:p>
        </w:tc>
        <w:tc>
          <w:tcPr>
            <w:tcW w:w="302" w:type="dxa"/>
            <w:shd w:val="clear" w:color="auto" w:fill="auto"/>
            <w:noWrap/>
            <w:tcMar>
              <w:left w:w="0" w:type="dxa"/>
              <w:right w:w="0" w:type="dxa"/>
            </w:tcMar>
            <w:vAlign w:val="center"/>
            <w:hideMark/>
          </w:tcPr>
          <w:p w14:paraId="51D853D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3167B2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07EC17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59D18EE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405" w:type="dxa"/>
            <w:shd w:val="clear" w:color="auto" w:fill="auto"/>
            <w:noWrap/>
            <w:tcMar>
              <w:left w:w="0" w:type="dxa"/>
              <w:right w:w="0" w:type="dxa"/>
            </w:tcMar>
            <w:vAlign w:val="center"/>
            <w:hideMark/>
          </w:tcPr>
          <w:p w14:paraId="57634FF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1.38</w:t>
            </w:r>
          </w:p>
        </w:tc>
        <w:tc>
          <w:tcPr>
            <w:tcW w:w="439" w:type="dxa"/>
            <w:shd w:val="clear" w:color="auto" w:fill="auto"/>
            <w:noWrap/>
            <w:tcMar>
              <w:left w:w="0" w:type="dxa"/>
              <w:right w:w="0" w:type="dxa"/>
            </w:tcMar>
            <w:vAlign w:val="center"/>
            <w:hideMark/>
          </w:tcPr>
          <w:p w14:paraId="17FF84BC"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7DA8F9E5" w14:textId="77777777" w:rsidTr="009276CC">
        <w:trPr>
          <w:trHeight w:val="300"/>
        </w:trPr>
        <w:tc>
          <w:tcPr>
            <w:tcW w:w="545" w:type="dxa"/>
            <w:vMerge/>
            <w:tcMar>
              <w:left w:w="0" w:type="dxa"/>
              <w:right w:w="0" w:type="dxa"/>
            </w:tcMar>
            <w:vAlign w:val="center"/>
            <w:hideMark/>
          </w:tcPr>
          <w:p w14:paraId="02B17EC9"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6E599E69"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7F1F2797"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693ECFF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3.26</w:t>
            </w:r>
          </w:p>
        </w:tc>
        <w:tc>
          <w:tcPr>
            <w:tcW w:w="301" w:type="dxa"/>
            <w:shd w:val="clear" w:color="auto" w:fill="auto"/>
            <w:noWrap/>
            <w:tcMar>
              <w:left w:w="0" w:type="dxa"/>
              <w:right w:w="0" w:type="dxa"/>
            </w:tcMar>
            <w:vAlign w:val="center"/>
            <w:hideMark/>
          </w:tcPr>
          <w:p w14:paraId="29BCA67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54B39D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1" w:type="dxa"/>
            <w:shd w:val="clear" w:color="auto" w:fill="auto"/>
            <w:noWrap/>
            <w:tcMar>
              <w:left w:w="0" w:type="dxa"/>
              <w:right w:w="0" w:type="dxa"/>
            </w:tcMar>
            <w:vAlign w:val="center"/>
            <w:hideMark/>
          </w:tcPr>
          <w:p w14:paraId="71F6A45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1" w:type="dxa"/>
            <w:shd w:val="clear" w:color="auto" w:fill="auto"/>
            <w:noWrap/>
            <w:tcMar>
              <w:left w:w="0" w:type="dxa"/>
              <w:right w:w="0" w:type="dxa"/>
            </w:tcMar>
            <w:vAlign w:val="center"/>
            <w:hideMark/>
          </w:tcPr>
          <w:p w14:paraId="1E0AFF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01" w:type="dxa"/>
            <w:shd w:val="clear" w:color="auto" w:fill="auto"/>
            <w:noWrap/>
            <w:tcMar>
              <w:left w:w="0" w:type="dxa"/>
              <w:right w:w="0" w:type="dxa"/>
            </w:tcMar>
            <w:vAlign w:val="center"/>
            <w:hideMark/>
          </w:tcPr>
          <w:p w14:paraId="26F251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392970A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1.07</w:t>
            </w:r>
          </w:p>
        </w:tc>
        <w:tc>
          <w:tcPr>
            <w:tcW w:w="302" w:type="dxa"/>
            <w:shd w:val="clear" w:color="auto" w:fill="auto"/>
            <w:noWrap/>
            <w:tcMar>
              <w:left w:w="0" w:type="dxa"/>
              <w:right w:w="0" w:type="dxa"/>
            </w:tcMar>
            <w:vAlign w:val="center"/>
            <w:hideMark/>
          </w:tcPr>
          <w:p w14:paraId="05D36BC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1ADB1C4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62D84E8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1.38</w:t>
            </w:r>
          </w:p>
        </w:tc>
        <w:tc>
          <w:tcPr>
            <w:tcW w:w="302" w:type="dxa"/>
            <w:shd w:val="clear" w:color="auto" w:fill="auto"/>
            <w:noWrap/>
            <w:tcMar>
              <w:left w:w="0" w:type="dxa"/>
              <w:right w:w="0" w:type="dxa"/>
            </w:tcMar>
            <w:vAlign w:val="center"/>
            <w:hideMark/>
          </w:tcPr>
          <w:p w14:paraId="1F491AC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02" w:type="dxa"/>
            <w:shd w:val="clear" w:color="auto" w:fill="auto"/>
            <w:noWrap/>
            <w:tcMar>
              <w:left w:w="0" w:type="dxa"/>
              <w:right w:w="0" w:type="dxa"/>
            </w:tcMar>
            <w:vAlign w:val="center"/>
            <w:hideMark/>
          </w:tcPr>
          <w:p w14:paraId="52955C0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46F8253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38B7F94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4E229C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3687D3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0A99B33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1.94</w:t>
            </w:r>
          </w:p>
        </w:tc>
        <w:tc>
          <w:tcPr>
            <w:tcW w:w="302" w:type="dxa"/>
            <w:shd w:val="clear" w:color="auto" w:fill="auto"/>
            <w:noWrap/>
            <w:tcMar>
              <w:left w:w="0" w:type="dxa"/>
              <w:right w:w="0" w:type="dxa"/>
            </w:tcMar>
            <w:vAlign w:val="center"/>
            <w:hideMark/>
          </w:tcPr>
          <w:p w14:paraId="457C992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1.85</w:t>
            </w:r>
          </w:p>
        </w:tc>
        <w:tc>
          <w:tcPr>
            <w:tcW w:w="343" w:type="dxa"/>
            <w:shd w:val="clear" w:color="auto" w:fill="auto"/>
            <w:noWrap/>
            <w:tcMar>
              <w:left w:w="0" w:type="dxa"/>
              <w:right w:w="0" w:type="dxa"/>
            </w:tcMar>
            <w:vAlign w:val="center"/>
            <w:hideMark/>
          </w:tcPr>
          <w:p w14:paraId="580C16A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2CEDCD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34F9FBF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2" w:type="dxa"/>
            <w:shd w:val="clear" w:color="auto" w:fill="auto"/>
            <w:noWrap/>
            <w:tcMar>
              <w:left w:w="0" w:type="dxa"/>
              <w:right w:w="0" w:type="dxa"/>
            </w:tcMar>
            <w:vAlign w:val="center"/>
            <w:hideMark/>
          </w:tcPr>
          <w:p w14:paraId="75441BD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50ED745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4094975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1F7F338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DE9C2F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3BE8C17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69" w:type="dxa"/>
            <w:shd w:val="clear" w:color="auto" w:fill="auto"/>
            <w:noWrap/>
            <w:tcMar>
              <w:left w:w="0" w:type="dxa"/>
              <w:right w:w="0" w:type="dxa"/>
            </w:tcMar>
            <w:vAlign w:val="center"/>
            <w:hideMark/>
          </w:tcPr>
          <w:p w14:paraId="6B53B0C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02" w:type="dxa"/>
            <w:shd w:val="clear" w:color="auto" w:fill="auto"/>
            <w:noWrap/>
            <w:tcMar>
              <w:left w:w="0" w:type="dxa"/>
              <w:right w:w="0" w:type="dxa"/>
            </w:tcMar>
            <w:vAlign w:val="center"/>
            <w:hideMark/>
          </w:tcPr>
          <w:p w14:paraId="04B0958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05647B7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AE1328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0.76</w:t>
            </w:r>
          </w:p>
        </w:tc>
        <w:tc>
          <w:tcPr>
            <w:tcW w:w="302" w:type="dxa"/>
            <w:shd w:val="clear" w:color="auto" w:fill="auto"/>
            <w:noWrap/>
            <w:tcMar>
              <w:left w:w="0" w:type="dxa"/>
              <w:right w:w="0" w:type="dxa"/>
            </w:tcMar>
            <w:vAlign w:val="center"/>
            <w:hideMark/>
          </w:tcPr>
          <w:p w14:paraId="2C5C955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405" w:type="dxa"/>
            <w:shd w:val="clear" w:color="auto" w:fill="auto"/>
            <w:noWrap/>
            <w:tcMar>
              <w:left w:w="0" w:type="dxa"/>
              <w:right w:w="0" w:type="dxa"/>
            </w:tcMar>
            <w:vAlign w:val="center"/>
            <w:hideMark/>
          </w:tcPr>
          <w:p w14:paraId="76DA609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1.88</w:t>
            </w:r>
          </w:p>
        </w:tc>
        <w:tc>
          <w:tcPr>
            <w:tcW w:w="439" w:type="dxa"/>
            <w:shd w:val="clear" w:color="auto" w:fill="auto"/>
            <w:noWrap/>
            <w:tcMar>
              <w:left w:w="0" w:type="dxa"/>
              <w:right w:w="0" w:type="dxa"/>
            </w:tcMar>
            <w:vAlign w:val="center"/>
            <w:hideMark/>
          </w:tcPr>
          <w:p w14:paraId="32B8FC0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1.38</w:t>
            </w:r>
          </w:p>
        </w:tc>
      </w:tr>
      <w:tr w:rsidR="00FF1B38" w:rsidRPr="002E2EB3" w14:paraId="448A5019" w14:textId="77777777" w:rsidTr="009276CC">
        <w:trPr>
          <w:trHeight w:val="300"/>
        </w:trPr>
        <w:tc>
          <w:tcPr>
            <w:tcW w:w="545" w:type="dxa"/>
            <w:vMerge/>
            <w:tcMar>
              <w:left w:w="0" w:type="dxa"/>
              <w:right w:w="0" w:type="dxa"/>
            </w:tcMar>
            <w:vAlign w:val="center"/>
            <w:hideMark/>
          </w:tcPr>
          <w:p w14:paraId="5687BB3A" w14:textId="77777777" w:rsidR="00FF1B38" w:rsidRPr="002E2EB3" w:rsidRDefault="00FF1B38" w:rsidP="009276CC">
            <w:pPr>
              <w:spacing w:after="0"/>
              <w:rPr>
                <w:rFonts w:ascii="Arial Narrow" w:hAnsi="Arial Narrow"/>
                <w:color w:val="000000"/>
                <w:sz w:val="20"/>
                <w:lang w:val="en-AU" w:eastAsia="en-AU"/>
              </w:rPr>
            </w:pPr>
          </w:p>
        </w:tc>
        <w:tc>
          <w:tcPr>
            <w:tcW w:w="1649" w:type="dxa"/>
            <w:shd w:val="clear" w:color="auto" w:fill="auto"/>
            <w:noWrap/>
            <w:tcMar>
              <w:left w:w="0" w:type="dxa"/>
              <w:right w:w="0" w:type="dxa"/>
            </w:tcMar>
            <w:vAlign w:val="center"/>
            <w:hideMark/>
          </w:tcPr>
          <w:p w14:paraId="302695C9"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Pandora North</w:t>
            </w:r>
          </w:p>
        </w:tc>
        <w:tc>
          <w:tcPr>
            <w:tcW w:w="438" w:type="dxa"/>
            <w:shd w:val="clear" w:color="auto" w:fill="auto"/>
            <w:noWrap/>
            <w:tcMar>
              <w:left w:w="0" w:type="dxa"/>
              <w:right w:w="0" w:type="dxa"/>
            </w:tcMar>
            <w:vAlign w:val="center"/>
            <w:hideMark/>
          </w:tcPr>
          <w:p w14:paraId="534D013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4C34292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1.23</w:t>
            </w:r>
          </w:p>
        </w:tc>
        <w:tc>
          <w:tcPr>
            <w:tcW w:w="301" w:type="dxa"/>
            <w:shd w:val="clear" w:color="auto" w:fill="auto"/>
            <w:noWrap/>
            <w:tcMar>
              <w:left w:w="0" w:type="dxa"/>
              <w:right w:w="0" w:type="dxa"/>
            </w:tcMar>
            <w:vAlign w:val="center"/>
            <w:hideMark/>
          </w:tcPr>
          <w:p w14:paraId="081B309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6238A3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301" w:type="dxa"/>
            <w:shd w:val="clear" w:color="auto" w:fill="auto"/>
            <w:noWrap/>
            <w:tcMar>
              <w:left w:w="0" w:type="dxa"/>
              <w:right w:w="0" w:type="dxa"/>
            </w:tcMar>
            <w:vAlign w:val="center"/>
            <w:hideMark/>
          </w:tcPr>
          <w:p w14:paraId="6C7926E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301" w:type="dxa"/>
            <w:shd w:val="clear" w:color="auto" w:fill="auto"/>
            <w:noWrap/>
            <w:tcMar>
              <w:left w:w="0" w:type="dxa"/>
              <w:right w:w="0" w:type="dxa"/>
            </w:tcMar>
            <w:vAlign w:val="center"/>
            <w:hideMark/>
          </w:tcPr>
          <w:p w14:paraId="7ED6797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4FE5BF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79" w:type="dxa"/>
            <w:shd w:val="clear" w:color="auto" w:fill="auto"/>
            <w:noWrap/>
            <w:tcMar>
              <w:left w:w="0" w:type="dxa"/>
              <w:right w:w="0" w:type="dxa"/>
            </w:tcMar>
            <w:vAlign w:val="center"/>
            <w:hideMark/>
          </w:tcPr>
          <w:p w14:paraId="2D1BD4B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0.53</w:t>
            </w:r>
          </w:p>
        </w:tc>
        <w:tc>
          <w:tcPr>
            <w:tcW w:w="302" w:type="dxa"/>
            <w:shd w:val="clear" w:color="auto" w:fill="auto"/>
            <w:noWrap/>
            <w:tcMar>
              <w:left w:w="0" w:type="dxa"/>
              <w:right w:w="0" w:type="dxa"/>
            </w:tcMar>
            <w:vAlign w:val="center"/>
            <w:hideMark/>
          </w:tcPr>
          <w:p w14:paraId="1FBB9E1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BAB86C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302" w:type="dxa"/>
            <w:shd w:val="clear" w:color="auto" w:fill="auto"/>
            <w:noWrap/>
            <w:tcMar>
              <w:left w:w="0" w:type="dxa"/>
              <w:right w:w="0" w:type="dxa"/>
            </w:tcMar>
            <w:vAlign w:val="center"/>
            <w:hideMark/>
          </w:tcPr>
          <w:p w14:paraId="7E5E7E9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0.73</w:t>
            </w:r>
          </w:p>
        </w:tc>
        <w:tc>
          <w:tcPr>
            <w:tcW w:w="302" w:type="dxa"/>
            <w:shd w:val="clear" w:color="auto" w:fill="auto"/>
            <w:noWrap/>
            <w:tcMar>
              <w:left w:w="0" w:type="dxa"/>
              <w:right w:w="0" w:type="dxa"/>
            </w:tcMar>
            <w:vAlign w:val="center"/>
            <w:hideMark/>
          </w:tcPr>
          <w:p w14:paraId="0A2C7D3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1.50</w:t>
            </w:r>
          </w:p>
        </w:tc>
        <w:tc>
          <w:tcPr>
            <w:tcW w:w="302" w:type="dxa"/>
            <w:shd w:val="clear" w:color="auto" w:fill="auto"/>
            <w:noWrap/>
            <w:tcMar>
              <w:left w:w="0" w:type="dxa"/>
              <w:right w:w="0" w:type="dxa"/>
            </w:tcMar>
            <w:vAlign w:val="center"/>
            <w:hideMark/>
          </w:tcPr>
          <w:p w14:paraId="67CB9C2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931D4A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14.7</w:t>
            </w:r>
          </w:p>
        </w:tc>
        <w:tc>
          <w:tcPr>
            <w:tcW w:w="302" w:type="dxa"/>
            <w:shd w:val="clear" w:color="auto" w:fill="auto"/>
            <w:noWrap/>
            <w:tcMar>
              <w:left w:w="0" w:type="dxa"/>
              <w:right w:w="0" w:type="dxa"/>
            </w:tcMar>
            <w:vAlign w:val="center"/>
            <w:hideMark/>
          </w:tcPr>
          <w:p w14:paraId="57B8517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302" w:type="dxa"/>
            <w:shd w:val="clear" w:color="auto" w:fill="auto"/>
            <w:noWrap/>
            <w:tcMar>
              <w:left w:w="0" w:type="dxa"/>
              <w:right w:w="0" w:type="dxa"/>
            </w:tcMar>
            <w:vAlign w:val="center"/>
            <w:hideMark/>
          </w:tcPr>
          <w:p w14:paraId="5519A4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0.87</w:t>
            </w:r>
          </w:p>
        </w:tc>
        <w:tc>
          <w:tcPr>
            <w:tcW w:w="302" w:type="dxa"/>
            <w:shd w:val="clear" w:color="auto" w:fill="auto"/>
            <w:noWrap/>
            <w:tcMar>
              <w:left w:w="0" w:type="dxa"/>
              <w:right w:w="0" w:type="dxa"/>
            </w:tcMar>
            <w:vAlign w:val="center"/>
            <w:hideMark/>
          </w:tcPr>
          <w:p w14:paraId="53D65DF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02" w:type="dxa"/>
            <w:shd w:val="clear" w:color="auto" w:fill="auto"/>
            <w:noWrap/>
            <w:tcMar>
              <w:left w:w="0" w:type="dxa"/>
              <w:right w:w="0" w:type="dxa"/>
            </w:tcMar>
            <w:vAlign w:val="center"/>
            <w:hideMark/>
          </w:tcPr>
          <w:p w14:paraId="61DFC8F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612D655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1.07</w:t>
            </w:r>
          </w:p>
        </w:tc>
        <w:tc>
          <w:tcPr>
            <w:tcW w:w="343" w:type="dxa"/>
            <w:shd w:val="clear" w:color="auto" w:fill="auto"/>
            <w:noWrap/>
            <w:tcMar>
              <w:left w:w="0" w:type="dxa"/>
              <w:right w:w="0" w:type="dxa"/>
            </w:tcMar>
            <w:vAlign w:val="center"/>
            <w:hideMark/>
          </w:tcPr>
          <w:p w14:paraId="2595FB5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0.60</w:t>
            </w:r>
          </w:p>
        </w:tc>
        <w:tc>
          <w:tcPr>
            <w:tcW w:w="302" w:type="dxa"/>
            <w:shd w:val="clear" w:color="auto" w:fill="auto"/>
            <w:noWrap/>
            <w:tcMar>
              <w:left w:w="0" w:type="dxa"/>
              <w:right w:w="0" w:type="dxa"/>
            </w:tcMar>
            <w:vAlign w:val="center"/>
            <w:hideMark/>
          </w:tcPr>
          <w:p w14:paraId="05D759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0.37</w:t>
            </w:r>
          </w:p>
        </w:tc>
        <w:tc>
          <w:tcPr>
            <w:tcW w:w="302" w:type="dxa"/>
            <w:shd w:val="clear" w:color="auto" w:fill="auto"/>
            <w:noWrap/>
            <w:tcMar>
              <w:left w:w="0" w:type="dxa"/>
              <w:right w:w="0" w:type="dxa"/>
            </w:tcMar>
            <w:vAlign w:val="center"/>
            <w:hideMark/>
          </w:tcPr>
          <w:p w14:paraId="3192304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2.43</w:t>
            </w:r>
          </w:p>
        </w:tc>
        <w:tc>
          <w:tcPr>
            <w:tcW w:w="302" w:type="dxa"/>
            <w:shd w:val="clear" w:color="auto" w:fill="auto"/>
            <w:noWrap/>
            <w:tcMar>
              <w:left w:w="0" w:type="dxa"/>
              <w:right w:w="0" w:type="dxa"/>
            </w:tcMar>
            <w:vAlign w:val="center"/>
            <w:hideMark/>
          </w:tcPr>
          <w:p w14:paraId="505258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020F736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0.37</w:t>
            </w:r>
          </w:p>
        </w:tc>
        <w:tc>
          <w:tcPr>
            <w:tcW w:w="302" w:type="dxa"/>
            <w:shd w:val="clear" w:color="auto" w:fill="auto"/>
            <w:noWrap/>
            <w:tcMar>
              <w:left w:w="0" w:type="dxa"/>
              <w:right w:w="0" w:type="dxa"/>
            </w:tcMar>
            <w:vAlign w:val="center"/>
            <w:hideMark/>
          </w:tcPr>
          <w:p w14:paraId="25CAF11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58FBB7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6170F2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302" w:type="dxa"/>
            <w:shd w:val="clear" w:color="auto" w:fill="auto"/>
            <w:noWrap/>
            <w:tcMar>
              <w:left w:w="0" w:type="dxa"/>
              <w:right w:w="0" w:type="dxa"/>
            </w:tcMar>
            <w:vAlign w:val="center"/>
            <w:hideMark/>
          </w:tcPr>
          <w:p w14:paraId="5DAE40D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369" w:type="dxa"/>
            <w:shd w:val="clear" w:color="auto" w:fill="auto"/>
            <w:noWrap/>
            <w:tcMar>
              <w:left w:w="0" w:type="dxa"/>
              <w:right w:w="0" w:type="dxa"/>
            </w:tcMar>
            <w:vAlign w:val="center"/>
            <w:hideMark/>
          </w:tcPr>
          <w:p w14:paraId="00FA258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7.07</w:t>
            </w:r>
          </w:p>
        </w:tc>
        <w:tc>
          <w:tcPr>
            <w:tcW w:w="302" w:type="dxa"/>
            <w:shd w:val="clear" w:color="auto" w:fill="auto"/>
            <w:noWrap/>
            <w:tcMar>
              <w:left w:w="0" w:type="dxa"/>
              <w:right w:w="0" w:type="dxa"/>
            </w:tcMar>
            <w:vAlign w:val="center"/>
            <w:hideMark/>
          </w:tcPr>
          <w:p w14:paraId="177DEF4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0.23</w:t>
            </w:r>
          </w:p>
        </w:tc>
        <w:tc>
          <w:tcPr>
            <w:tcW w:w="302" w:type="dxa"/>
            <w:shd w:val="clear" w:color="auto" w:fill="auto"/>
            <w:noWrap/>
            <w:tcMar>
              <w:left w:w="0" w:type="dxa"/>
              <w:right w:w="0" w:type="dxa"/>
            </w:tcMar>
            <w:vAlign w:val="center"/>
            <w:hideMark/>
          </w:tcPr>
          <w:p w14:paraId="555144B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02" w:type="dxa"/>
            <w:shd w:val="clear" w:color="auto" w:fill="auto"/>
            <w:noWrap/>
            <w:tcMar>
              <w:left w:w="0" w:type="dxa"/>
              <w:right w:w="0" w:type="dxa"/>
            </w:tcMar>
            <w:vAlign w:val="center"/>
            <w:hideMark/>
          </w:tcPr>
          <w:p w14:paraId="29C6289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20FEDA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405" w:type="dxa"/>
            <w:shd w:val="clear" w:color="auto" w:fill="auto"/>
            <w:noWrap/>
            <w:tcMar>
              <w:left w:w="0" w:type="dxa"/>
              <w:right w:w="0" w:type="dxa"/>
            </w:tcMar>
            <w:vAlign w:val="center"/>
            <w:hideMark/>
          </w:tcPr>
          <w:p w14:paraId="281C7CA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4.23</w:t>
            </w:r>
          </w:p>
        </w:tc>
        <w:tc>
          <w:tcPr>
            <w:tcW w:w="439" w:type="dxa"/>
            <w:shd w:val="clear" w:color="auto" w:fill="auto"/>
            <w:noWrap/>
            <w:tcMar>
              <w:left w:w="0" w:type="dxa"/>
              <w:right w:w="0" w:type="dxa"/>
            </w:tcMar>
            <w:vAlign w:val="center"/>
            <w:hideMark/>
          </w:tcPr>
          <w:p w14:paraId="67E7D95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r>
      <w:tr w:rsidR="00FF1B38" w:rsidRPr="002E2EB3" w14:paraId="01995AE5" w14:textId="77777777" w:rsidTr="009276CC">
        <w:trPr>
          <w:trHeight w:val="300"/>
        </w:trPr>
        <w:tc>
          <w:tcPr>
            <w:tcW w:w="545" w:type="dxa"/>
            <w:vMerge/>
            <w:tcMar>
              <w:left w:w="0" w:type="dxa"/>
              <w:right w:w="0" w:type="dxa"/>
            </w:tcMar>
            <w:vAlign w:val="center"/>
            <w:hideMark/>
          </w:tcPr>
          <w:p w14:paraId="092FB956"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06E5BB1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Pandora</w:t>
            </w:r>
          </w:p>
        </w:tc>
        <w:tc>
          <w:tcPr>
            <w:tcW w:w="438" w:type="dxa"/>
            <w:shd w:val="clear" w:color="auto" w:fill="auto"/>
            <w:noWrap/>
            <w:tcMar>
              <w:left w:w="0" w:type="dxa"/>
              <w:right w:w="0" w:type="dxa"/>
            </w:tcMar>
            <w:vAlign w:val="center"/>
            <w:hideMark/>
          </w:tcPr>
          <w:p w14:paraId="3647003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5CE0849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1" w:type="dxa"/>
            <w:shd w:val="clear" w:color="auto" w:fill="auto"/>
            <w:noWrap/>
            <w:tcMar>
              <w:left w:w="0" w:type="dxa"/>
              <w:right w:w="0" w:type="dxa"/>
            </w:tcMar>
            <w:vAlign w:val="center"/>
            <w:hideMark/>
          </w:tcPr>
          <w:p w14:paraId="2C4C692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A6BE40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816A91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862CAE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10FB69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22DBDC0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794BBF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FFC51F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1DE0688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5163AE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0DDF36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DCE8CB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7F8C5A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DC2C0E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36F2AB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AC6B5B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436751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43" w:type="dxa"/>
            <w:shd w:val="clear" w:color="auto" w:fill="auto"/>
            <w:noWrap/>
            <w:tcMar>
              <w:left w:w="0" w:type="dxa"/>
              <w:right w:w="0" w:type="dxa"/>
            </w:tcMar>
            <w:vAlign w:val="center"/>
            <w:hideMark/>
          </w:tcPr>
          <w:p w14:paraId="7836C8F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8C9D01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140696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F1881F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A3EA9A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0FEA1F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39758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602022A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DD3C8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0166D55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1.94</w:t>
            </w:r>
          </w:p>
        </w:tc>
        <w:tc>
          <w:tcPr>
            <w:tcW w:w="302" w:type="dxa"/>
            <w:shd w:val="clear" w:color="auto" w:fill="auto"/>
            <w:noWrap/>
            <w:tcMar>
              <w:left w:w="0" w:type="dxa"/>
              <w:right w:w="0" w:type="dxa"/>
            </w:tcMar>
            <w:vAlign w:val="center"/>
            <w:hideMark/>
          </w:tcPr>
          <w:p w14:paraId="61123D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3D1E0C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5A8776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AF966B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2CE71CA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439" w:type="dxa"/>
            <w:shd w:val="clear" w:color="auto" w:fill="auto"/>
            <w:noWrap/>
            <w:tcMar>
              <w:left w:w="0" w:type="dxa"/>
              <w:right w:w="0" w:type="dxa"/>
            </w:tcMar>
            <w:vAlign w:val="center"/>
            <w:hideMark/>
          </w:tcPr>
          <w:p w14:paraId="394405A5"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5A582F4A" w14:textId="77777777" w:rsidTr="009276CC">
        <w:trPr>
          <w:trHeight w:val="300"/>
        </w:trPr>
        <w:tc>
          <w:tcPr>
            <w:tcW w:w="545" w:type="dxa"/>
            <w:vMerge/>
            <w:tcMar>
              <w:left w:w="0" w:type="dxa"/>
              <w:right w:w="0" w:type="dxa"/>
            </w:tcMar>
            <w:vAlign w:val="center"/>
            <w:hideMark/>
          </w:tcPr>
          <w:p w14:paraId="7340AF65"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1395BC57"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7267245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79EA8D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1" w:type="dxa"/>
            <w:shd w:val="clear" w:color="auto" w:fill="auto"/>
            <w:noWrap/>
            <w:tcMar>
              <w:left w:w="0" w:type="dxa"/>
              <w:right w:w="0" w:type="dxa"/>
            </w:tcMar>
            <w:vAlign w:val="center"/>
            <w:hideMark/>
          </w:tcPr>
          <w:p w14:paraId="3638BFB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A1F9AA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97C19C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58F6F5A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2.00</w:t>
            </w:r>
          </w:p>
        </w:tc>
        <w:tc>
          <w:tcPr>
            <w:tcW w:w="301" w:type="dxa"/>
            <w:shd w:val="clear" w:color="auto" w:fill="auto"/>
            <w:noWrap/>
            <w:tcMar>
              <w:left w:w="0" w:type="dxa"/>
              <w:right w:w="0" w:type="dxa"/>
            </w:tcMar>
            <w:vAlign w:val="center"/>
            <w:hideMark/>
          </w:tcPr>
          <w:p w14:paraId="153C32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4168A45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674B44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263412F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36C8FA3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733809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6DDA24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4B86E4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126B001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2DEF66F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44D1DA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D77F51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6E02A0F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43" w:type="dxa"/>
            <w:shd w:val="clear" w:color="auto" w:fill="auto"/>
            <w:noWrap/>
            <w:tcMar>
              <w:left w:w="0" w:type="dxa"/>
              <w:right w:w="0" w:type="dxa"/>
            </w:tcMar>
            <w:vAlign w:val="center"/>
            <w:hideMark/>
          </w:tcPr>
          <w:p w14:paraId="75E5F83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27184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804105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EF3E0E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D08BF9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3AAAF0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02" w:type="dxa"/>
            <w:shd w:val="clear" w:color="auto" w:fill="auto"/>
            <w:noWrap/>
            <w:tcMar>
              <w:left w:w="0" w:type="dxa"/>
              <w:right w:w="0" w:type="dxa"/>
            </w:tcMar>
            <w:vAlign w:val="center"/>
            <w:hideMark/>
          </w:tcPr>
          <w:p w14:paraId="0608F7E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11B55C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0B571C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3BD9CC2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D79181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99DAE6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13877E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E5D255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566DA86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439" w:type="dxa"/>
            <w:shd w:val="clear" w:color="auto" w:fill="auto"/>
            <w:noWrap/>
            <w:tcMar>
              <w:left w:w="0" w:type="dxa"/>
              <w:right w:w="0" w:type="dxa"/>
            </w:tcMar>
            <w:vAlign w:val="center"/>
            <w:hideMark/>
          </w:tcPr>
          <w:p w14:paraId="47E2941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r>
      <w:tr w:rsidR="00FF1B38" w:rsidRPr="002E2EB3" w14:paraId="51CC3135" w14:textId="77777777" w:rsidTr="009276CC">
        <w:trPr>
          <w:trHeight w:val="300"/>
        </w:trPr>
        <w:tc>
          <w:tcPr>
            <w:tcW w:w="545" w:type="dxa"/>
            <w:vMerge/>
            <w:tcMar>
              <w:left w:w="0" w:type="dxa"/>
              <w:right w:w="0" w:type="dxa"/>
            </w:tcMar>
            <w:vAlign w:val="center"/>
            <w:hideMark/>
          </w:tcPr>
          <w:p w14:paraId="041B0A2B"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1C61D6C2"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Lady Elliot</w:t>
            </w:r>
          </w:p>
        </w:tc>
        <w:tc>
          <w:tcPr>
            <w:tcW w:w="438" w:type="dxa"/>
            <w:shd w:val="clear" w:color="auto" w:fill="auto"/>
            <w:noWrap/>
            <w:tcMar>
              <w:left w:w="0" w:type="dxa"/>
              <w:right w:w="0" w:type="dxa"/>
            </w:tcMar>
            <w:vAlign w:val="center"/>
            <w:hideMark/>
          </w:tcPr>
          <w:p w14:paraId="7078A0B9"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5EBAC7A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1.25</w:t>
            </w:r>
          </w:p>
        </w:tc>
        <w:tc>
          <w:tcPr>
            <w:tcW w:w="301" w:type="dxa"/>
            <w:shd w:val="clear" w:color="auto" w:fill="auto"/>
            <w:noWrap/>
            <w:tcMar>
              <w:left w:w="0" w:type="dxa"/>
              <w:right w:w="0" w:type="dxa"/>
            </w:tcMar>
            <w:vAlign w:val="center"/>
            <w:hideMark/>
          </w:tcPr>
          <w:p w14:paraId="3E8A219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4387CF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61F166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41AA4A6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CF4152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7ADB34B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681D38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D9DB34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5F433B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1.19</w:t>
            </w:r>
          </w:p>
        </w:tc>
        <w:tc>
          <w:tcPr>
            <w:tcW w:w="302" w:type="dxa"/>
            <w:shd w:val="clear" w:color="auto" w:fill="auto"/>
            <w:noWrap/>
            <w:tcMar>
              <w:left w:w="0" w:type="dxa"/>
              <w:right w:w="0" w:type="dxa"/>
            </w:tcMar>
            <w:vAlign w:val="center"/>
            <w:hideMark/>
          </w:tcPr>
          <w:p w14:paraId="2471BE4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1.44</w:t>
            </w:r>
          </w:p>
        </w:tc>
        <w:tc>
          <w:tcPr>
            <w:tcW w:w="302" w:type="dxa"/>
            <w:shd w:val="clear" w:color="auto" w:fill="auto"/>
            <w:noWrap/>
            <w:tcMar>
              <w:left w:w="0" w:type="dxa"/>
              <w:right w:w="0" w:type="dxa"/>
            </w:tcMar>
            <w:vAlign w:val="center"/>
            <w:hideMark/>
          </w:tcPr>
          <w:p w14:paraId="3A9DF48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8BB8CA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E0EDA4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AD97F5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4F6C50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19F1A5F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679ABD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343" w:type="dxa"/>
            <w:shd w:val="clear" w:color="auto" w:fill="auto"/>
            <w:noWrap/>
            <w:tcMar>
              <w:left w:w="0" w:type="dxa"/>
              <w:right w:w="0" w:type="dxa"/>
            </w:tcMar>
            <w:vAlign w:val="center"/>
            <w:hideMark/>
          </w:tcPr>
          <w:p w14:paraId="64C1EAC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E59FEA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D8A7B3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4A6029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1.31</w:t>
            </w:r>
          </w:p>
        </w:tc>
        <w:tc>
          <w:tcPr>
            <w:tcW w:w="302" w:type="dxa"/>
            <w:shd w:val="clear" w:color="auto" w:fill="auto"/>
            <w:noWrap/>
            <w:tcMar>
              <w:left w:w="0" w:type="dxa"/>
              <w:right w:w="0" w:type="dxa"/>
            </w:tcMar>
            <w:vAlign w:val="center"/>
            <w:hideMark/>
          </w:tcPr>
          <w:p w14:paraId="0FBF10C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FF2C68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FB62F8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5B49769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C57CCC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3F570E0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02" w:type="dxa"/>
            <w:shd w:val="clear" w:color="auto" w:fill="auto"/>
            <w:noWrap/>
            <w:tcMar>
              <w:left w:w="0" w:type="dxa"/>
              <w:right w:w="0" w:type="dxa"/>
            </w:tcMar>
            <w:vAlign w:val="center"/>
            <w:hideMark/>
          </w:tcPr>
          <w:p w14:paraId="09C1534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8A4512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2CA7C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D1A9FD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217400E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439" w:type="dxa"/>
            <w:shd w:val="clear" w:color="auto" w:fill="auto"/>
            <w:noWrap/>
            <w:tcMar>
              <w:left w:w="0" w:type="dxa"/>
              <w:right w:w="0" w:type="dxa"/>
            </w:tcMar>
            <w:vAlign w:val="center"/>
            <w:hideMark/>
          </w:tcPr>
          <w:p w14:paraId="7A52B3E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r>
      <w:tr w:rsidR="00FF1B38" w:rsidRPr="002E2EB3" w14:paraId="7ECAC4C8" w14:textId="77777777" w:rsidTr="009276CC">
        <w:trPr>
          <w:trHeight w:val="300"/>
        </w:trPr>
        <w:tc>
          <w:tcPr>
            <w:tcW w:w="545" w:type="dxa"/>
            <w:vMerge/>
            <w:tcMar>
              <w:left w:w="0" w:type="dxa"/>
              <w:right w:w="0" w:type="dxa"/>
            </w:tcMar>
            <w:vAlign w:val="center"/>
            <w:hideMark/>
          </w:tcPr>
          <w:p w14:paraId="21889001"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0F09305C"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6E91038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4C411E2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1" w:type="dxa"/>
            <w:shd w:val="clear" w:color="auto" w:fill="auto"/>
            <w:noWrap/>
            <w:tcMar>
              <w:left w:w="0" w:type="dxa"/>
              <w:right w:w="0" w:type="dxa"/>
            </w:tcMar>
            <w:vAlign w:val="center"/>
            <w:hideMark/>
          </w:tcPr>
          <w:p w14:paraId="792F467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1" w:type="dxa"/>
            <w:shd w:val="clear" w:color="auto" w:fill="auto"/>
            <w:noWrap/>
            <w:tcMar>
              <w:left w:w="0" w:type="dxa"/>
              <w:right w:w="0" w:type="dxa"/>
            </w:tcMar>
            <w:vAlign w:val="center"/>
            <w:hideMark/>
          </w:tcPr>
          <w:p w14:paraId="25AE295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574520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7A7CDB6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2FA8D2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0105358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FE376A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2" w:type="dxa"/>
            <w:shd w:val="clear" w:color="auto" w:fill="auto"/>
            <w:noWrap/>
            <w:tcMar>
              <w:left w:w="0" w:type="dxa"/>
              <w:right w:w="0" w:type="dxa"/>
            </w:tcMar>
            <w:vAlign w:val="center"/>
            <w:hideMark/>
          </w:tcPr>
          <w:p w14:paraId="144AB84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302" w:type="dxa"/>
            <w:shd w:val="clear" w:color="auto" w:fill="auto"/>
            <w:noWrap/>
            <w:tcMar>
              <w:left w:w="0" w:type="dxa"/>
              <w:right w:w="0" w:type="dxa"/>
            </w:tcMar>
            <w:vAlign w:val="center"/>
            <w:hideMark/>
          </w:tcPr>
          <w:p w14:paraId="118BA30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4F92DD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10.8</w:t>
            </w:r>
          </w:p>
        </w:tc>
        <w:tc>
          <w:tcPr>
            <w:tcW w:w="302" w:type="dxa"/>
            <w:shd w:val="clear" w:color="auto" w:fill="auto"/>
            <w:noWrap/>
            <w:tcMar>
              <w:left w:w="0" w:type="dxa"/>
              <w:right w:w="0" w:type="dxa"/>
            </w:tcMar>
            <w:vAlign w:val="center"/>
            <w:hideMark/>
          </w:tcPr>
          <w:p w14:paraId="566047B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6AC945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1.38</w:t>
            </w:r>
          </w:p>
        </w:tc>
        <w:tc>
          <w:tcPr>
            <w:tcW w:w="302" w:type="dxa"/>
            <w:shd w:val="clear" w:color="auto" w:fill="auto"/>
            <w:noWrap/>
            <w:tcMar>
              <w:left w:w="0" w:type="dxa"/>
              <w:right w:w="0" w:type="dxa"/>
            </w:tcMar>
            <w:vAlign w:val="center"/>
            <w:hideMark/>
          </w:tcPr>
          <w:p w14:paraId="65C4C64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02" w:type="dxa"/>
            <w:shd w:val="clear" w:color="auto" w:fill="auto"/>
            <w:noWrap/>
            <w:tcMar>
              <w:left w:w="0" w:type="dxa"/>
              <w:right w:w="0" w:type="dxa"/>
            </w:tcMar>
            <w:vAlign w:val="center"/>
            <w:hideMark/>
          </w:tcPr>
          <w:p w14:paraId="48F7230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C0794D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1.69</w:t>
            </w:r>
          </w:p>
        </w:tc>
        <w:tc>
          <w:tcPr>
            <w:tcW w:w="302" w:type="dxa"/>
            <w:shd w:val="clear" w:color="auto" w:fill="auto"/>
            <w:noWrap/>
            <w:tcMar>
              <w:left w:w="0" w:type="dxa"/>
              <w:right w:w="0" w:type="dxa"/>
            </w:tcMar>
            <w:vAlign w:val="center"/>
            <w:hideMark/>
          </w:tcPr>
          <w:p w14:paraId="59E5D90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61C3514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43" w:type="dxa"/>
            <w:shd w:val="clear" w:color="auto" w:fill="auto"/>
            <w:noWrap/>
            <w:tcMar>
              <w:left w:w="0" w:type="dxa"/>
              <w:right w:w="0" w:type="dxa"/>
            </w:tcMar>
            <w:vAlign w:val="center"/>
            <w:hideMark/>
          </w:tcPr>
          <w:p w14:paraId="1D12276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1.75</w:t>
            </w:r>
          </w:p>
        </w:tc>
        <w:tc>
          <w:tcPr>
            <w:tcW w:w="302" w:type="dxa"/>
            <w:shd w:val="clear" w:color="auto" w:fill="auto"/>
            <w:noWrap/>
            <w:tcMar>
              <w:left w:w="0" w:type="dxa"/>
              <w:right w:w="0" w:type="dxa"/>
            </w:tcMar>
            <w:vAlign w:val="center"/>
            <w:hideMark/>
          </w:tcPr>
          <w:p w14:paraId="5C7E51A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750ED56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1.56</w:t>
            </w:r>
          </w:p>
        </w:tc>
        <w:tc>
          <w:tcPr>
            <w:tcW w:w="302" w:type="dxa"/>
            <w:shd w:val="clear" w:color="auto" w:fill="auto"/>
            <w:noWrap/>
            <w:tcMar>
              <w:left w:w="0" w:type="dxa"/>
              <w:right w:w="0" w:type="dxa"/>
            </w:tcMar>
            <w:vAlign w:val="center"/>
            <w:hideMark/>
          </w:tcPr>
          <w:p w14:paraId="551D753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626534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6755F9F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6863B93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4C58B8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986D9B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69" w:type="dxa"/>
            <w:shd w:val="clear" w:color="auto" w:fill="auto"/>
            <w:noWrap/>
            <w:tcMar>
              <w:left w:w="0" w:type="dxa"/>
              <w:right w:w="0" w:type="dxa"/>
            </w:tcMar>
            <w:vAlign w:val="center"/>
            <w:hideMark/>
          </w:tcPr>
          <w:p w14:paraId="055B1E3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3.81</w:t>
            </w:r>
          </w:p>
        </w:tc>
        <w:tc>
          <w:tcPr>
            <w:tcW w:w="302" w:type="dxa"/>
            <w:shd w:val="clear" w:color="auto" w:fill="auto"/>
            <w:noWrap/>
            <w:tcMar>
              <w:left w:w="0" w:type="dxa"/>
              <w:right w:w="0" w:type="dxa"/>
            </w:tcMar>
            <w:vAlign w:val="center"/>
            <w:hideMark/>
          </w:tcPr>
          <w:p w14:paraId="13A4056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1670ABF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B830C1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D746A0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2614A96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439" w:type="dxa"/>
            <w:shd w:val="clear" w:color="auto" w:fill="auto"/>
            <w:noWrap/>
            <w:tcMar>
              <w:left w:w="0" w:type="dxa"/>
              <w:right w:w="0" w:type="dxa"/>
            </w:tcMar>
            <w:vAlign w:val="center"/>
            <w:hideMark/>
          </w:tcPr>
          <w:p w14:paraId="01B4591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r>
      <w:tr w:rsidR="00FF1B38" w:rsidRPr="002E2EB3" w14:paraId="49A1B4D2" w14:textId="77777777" w:rsidTr="009276CC">
        <w:trPr>
          <w:trHeight w:val="300"/>
        </w:trPr>
        <w:tc>
          <w:tcPr>
            <w:tcW w:w="545" w:type="dxa"/>
            <w:vMerge/>
            <w:tcMar>
              <w:left w:w="0" w:type="dxa"/>
              <w:right w:w="0" w:type="dxa"/>
            </w:tcMar>
            <w:vAlign w:val="center"/>
            <w:hideMark/>
          </w:tcPr>
          <w:p w14:paraId="43EC2F69"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56E39833"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Magnetic</w:t>
            </w:r>
          </w:p>
        </w:tc>
        <w:tc>
          <w:tcPr>
            <w:tcW w:w="438" w:type="dxa"/>
            <w:shd w:val="clear" w:color="auto" w:fill="auto"/>
            <w:noWrap/>
            <w:tcMar>
              <w:left w:w="0" w:type="dxa"/>
              <w:right w:w="0" w:type="dxa"/>
            </w:tcMar>
            <w:vAlign w:val="center"/>
            <w:hideMark/>
          </w:tcPr>
          <w:p w14:paraId="7452BA2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24BD9F3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1" w:type="dxa"/>
            <w:shd w:val="clear" w:color="auto" w:fill="auto"/>
            <w:noWrap/>
            <w:tcMar>
              <w:left w:w="0" w:type="dxa"/>
              <w:right w:w="0" w:type="dxa"/>
            </w:tcMar>
            <w:vAlign w:val="center"/>
            <w:hideMark/>
          </w:tcPr>
          <w:p w14:paraId="19923B2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9F515A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A4C552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1" w:type="dxa"/>
            <w:shd w:val="clear" w:color="auto" w:fill="auto"/>
            <w:noWrap/>
            <w:tcMar>
              <w:left w:w="0" w:type="dxa"/>
              <w:right w:w="0" w:type="dxa"/>
            </w:tcMar>
            <w:vAlign w:val="center"/>
            <w:hideMark/>
          </w:tcPr>
          <w:p w14:paraId="0D6B76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EAC56A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6485DB1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E334D6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112C99B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7712F2A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CF3C8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1F5952C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0CA47D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2B337E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1772B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3CE01D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128305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4DD3B17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6.25</w:t>
            </w:r>
          </w:p>
        </w:tc>
        <w:tc>
          <w:tcPr>
            <w:tcW w:w="343" w:type="dxa"/>
            <w:shd w:val="clear" w:color="auto" w:fill="auto"/>
            <w:noWrap/>
            <w:tcMar>
              <w:left w:w="0" w:type="dxa"/>
              <w:right w:w="0" w:type="dxa"/>
            </w:tcMar>
            <w:vAlign w:val="center"/>
            <w:hideMark/>
          </w:tcPr>
          <w:p w14:paraId="4D4C8BC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C9B582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E921B4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062E1CD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3215ED2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E36D03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7DEEE4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6E66FB6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FC72BF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16EF116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1.25</w:t>
            </w:r>
          </w:p>
        </w:tc>
        <w:tc>
          <w:tcPr>
            <w:tcW w:w="302" w:type="dxa"/>
            <w:shd w:val="clear" w:color="auto" w:fill="auto"/>
            <w:noWrap/>
            <w:tcMar>
              <w:left w:w="0" w:type="dxa"/>
              <w:right w:w="0" w:type="dxa"/>
            </w:tcMar>
            <w:vAlign w:val="center"/>
            <w:hideMark/>
          </w:tcPr>
          <w:p w14:paraId="6C7A7DF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323E803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2CA570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779DAE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28D063B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1.94</w:t>
            </w:r>
          </w:p>
        </w:tc>
        <w:tc>
          <w:tcPr>
            <w:tcW w:w="439" w:type="dxa"/>
            <w:shd w:val="clear" w:color="auto" w:fill="auto"/>
            <w:noWrap/>
            <w:tcMar>
              <w:left w:w="0" w:type="dxa"/>
              <w:right w:w="0" w:type="dxa"/>
            </w:tcMar>
            <w:vAlign w:val="center"/>
            <w:hideMark/>
          </w:tcPr>
          <w:p w14:paraId="5D8EC82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r>
      <w:tr w:rsidR="00FF1B38" w:rsidRPr="002E2EB3" w14:paraId="2E4346E4" w14:textId="77777777" w:rsidTr="009276CC">
        <w:trPr>
          <w:trHeight w:val="300"/>
        </w:trPr>
        <w:tc>
          <w:tcPr>
            <w:tcW w:w="545" w:type="dxa"/>
            <w:vMerge/>
            <w:tcBorders>
              <w:bottom w:val="single" w:sz="4" w:space="0" w:color="auto"/>
            </w:tcBorders>
            <w:tcMar>
              <w:left w:w="0" w:type="dxa"/>
              <w:right w:w="0" w:type="dxa"/>
            </w:tcMar>
            <w:vAlign w:val="center"/>
            <w:hideMark/>
          </w:tcPr>
          <w:p w14:paraId="5BA2B3A7" w14:textId="77777777" w:rsidR="00FF1B38" w:rsidRPr="002E2EB3" w:rsidRDefault="00FF1B38" w:rsidP="009276CC">
            <w:pPr>
              <w:spacing w:after="0"/>
              <w:rPr>
                <w:rFonts w:ascii="Arial Narrow" w:hAnsi="Arial Narrow"/>
                <w:color w:val="000000"/>
                <w:sz w:val="20"/>
                <w:lang w:val="en-AU" w:eastAsia="en-AU"/>
              </w:rPr>
            </w:pPr>
          </w:p>
        </w:tc>
        <w:tc>
          <w:tcPr>
            <w:tcW w:w="1649" w:type="dxa"/>
            <w:vMerge/>
            <w:tcBorders>
              <w:bottom w:val="single" w:sz="4" w:space="0" w:color="auto"/>
            </w:tcBorders>
            <w:shd w:val="clear" w:color="auto" w:fill="auto"/>
            <w:noWrap/>
            <w:tcMar>
              <w:left w:w="0" w:type="dxa"/>
              <w:right w:w="0" w:type="dxa"/>
            </w:tcMar>
            <w:vAlign w:val="center"/>
            <w:hideMark/>
          </w:tcPr>
          <w:p w14:paraId="0BD305EE"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tcBorders>
              <w:bottom w:val="single" w:sz="4" w:space="0" w:color="auto"/>
            </w:tcBorders>
            <w:shd w:val="clear" w:color="auto" w:fill="auto"/>
            <w:noWrap/>
            <w:tcMar>
              <w:left w:w="0" w:type="dxa"/>
              <w:right w:w="0" w:type="dxa"/>
            </w:tcMar>
            <w:vAlign w:val="center"/>
            <w:hideMark/>
          </w:tcPr>
          <w:p w14:paraId="3997436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tcBorders>
              <w:bottom w:val="single" w:sz="4" w:space="0" w:color="auto"/>
            </w:tcBorders>
            <w:shd w:val="clear" w:color="auto" w:fill="auto"/>
            <w:noWrap/>
            <w:tcMar>
              <w:left w:w="0" w:type="dxa"/>
              <w:right w:w="0" w:type="dxa"/>
            </w:tcMar>
            <w:vAlign w:val="center"/>
            <w:hideMark/>
          </w:tcPr>
          <w:p w14:paraId="7B013B8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1.25</w:t>
            </w:r>
          </w:p>
        </w:tc>
        <w:tc>
          <w:tcPr>
            <w:tcW w:w="301" w:type="dxa"/>
            <w:tcBorders>
              <w:bottom w:val="single" w:sz="4" w:space="0" w:color="auto"/>
            </w:tcBorders>
            <w:shd w:val="clear" w:color="auto" w:fill="auto"/>
            <w:noWrap/>
            <w:tcMar>
              <w:left w:w="0" w:type="dxa"/>
              <w:right w:w="0" w:type="dxa"/>
            </w:tcMar>
            <w:vAlign w:val="center"/>
            <w:hideMark/>
          </w:tcPr>
          <w:p w14:paraId="795683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tcBorders>
              <w:bottom w:val="single" w:sz="4" w:space="0" w:color="auto"/>
            </w:tcBorders>
            <w:shd w:val="clear" w:color="auto" w:fill="auto"/>
            <w:noWrap/>
            <w:tcMar>
              <w:left w:w="0" w:type="dxa"/>
              <w:right w:w="0" w:type="dxa"/>
            </w:tcMar>
            <w:vAlign w:val="center"/>
            <w:hideMark/>
          </w:tcPr>
          <w:p w14:paraId="06FE2DC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tcBorders>
              <w:bottom w:val="single" w:sz="4" w:space="0" w:color="auto"/>
            </w:tcBorders>
            <w:shd w:val="clear" w:color="auto" w:fill="auto"/>
            <w:noWrap/>
            <w:tcMar>
              <w:left w:w="0" w:type="dxa"/>
              <w:right w:w="0" w:type="dxa"/>
            </w:tcMar>
            <w:vAlign w:val="center"/>
            <w:hideMark/>
          </w:tcPr>
          <w:p w14:paraId="602F9C3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1" w:type="dxa"/>
            <w:tcBorders>
              <w:bottom w:val="single" w:sz="4" w:space="0" w:color="auto"/>
            </w:tcBorders>
            <w:shd w:val="clear" w:color="auto" w:fill="auto"/>
            <w:noWrap/>
            <w:tcMar>
              <w:left w:w="0" w:type="dxa"/>
              <w:right w:w="0" w:type="dxa"/>
            </w:tcMar>
            <w:vAlign w:val="center"/>
            <w:hideMark/>
          </w:tcPr>
          <w:p w14:paraId="1D87B64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tcBorders>
              <w:bottom w:val="single" w:sz="4" w:space="0" w:color="auto"/>
            </w:tcBorders>
            <w:shd w:val="clear" w:color="auto" w:fill="auto"/>
            <w:noWrap/>
            <w:tcMar>
              <w:left w:w="0" w:type="dxa"/>
              <w:right w:w="0" w:type="dxa"/>
            </w:tcMar>
            <w:vAlign w:val="center"/>
            <w:hideMark/>
          </w:tcPr>
          <w:p w14:paraId="7A69922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tcBorders>
              <w:bottom w:val="single" w:sz="4" w:space="0" w:color="auto"/>
            </w:tcBorders>
            <w:shd w:val="clear" w:color="auto" w:fill="auto"/>
            <w:noWrap/>
            <w:tcMar>
              <w:left w:w="0" w:type="dxa"/>
              <w:right w:w="0" w:type="dxa"/>
            </w:tcMar>
            <w:vAlign w:val="center"/>
            <w:hideMark/>
          </w:tcPr>
          <w:p w14:paraId="3F187E0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tcBorders>
              <w:bottom w:val="single" w:sz="4" w:space="0" w:color="auto"/>
            </w:tcBorders>
            <w:shd w:val="clear" w:color="auto" w:fill="auto"/>
            <w:noWrap/>
            <w:tcMar>
              <w:left w:w="0" w:type="dxa"/>
              <w:right w:w="0" w:type="dxa"/>
            </w:tcMar>
            <w:vAlign w:val="center"/>
            <w:hideMark/>
          </w:tcPr>
          <w:p w14:paraId="29A8355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3.31</w:t>
            </w:r>
          </w:p>
        </w:tc>
        <w:tc>
          <w:tcPr>
            <w:tcW w:w="302" w:type="dxa"/>
            <w:tcBorders>
              <w:bottom w:val="single" w:sz="4" w:space="0" w:color="auto"/>
            </w:tcBorders>
            <w:shd w:val="clear" w:color="auto" w:fill="auto"/>
            <w:noWrap/>
            <w:tcMar>
              <w:left w:w="0" w:type="dxa"/>
              <w:right w:w="0" w:type="dxa"/>
            </w:tcMar>
            <w:vAlign w:val="center"/>
            <w:hideMark/>
          </w:tcPr>
          <w:p w14:paraId="351390D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tcBorders>
              <w:bottom w:val="single" w:sz="4" w:space="0" w:color="auto"/>
            </w:tcBorders>
            <w:shd w:val="clear" w:color="auto" w:fill="auto"/>
            <w:noWrap/>
            <w:tcMar>
              <w:left w:w="0" w:type="dxa"/>
              <w:right w:w="0" w:type="dxa"/>
            </w:tcMar>
            <w:vAlign w:val="center"/>
            <w:hideMark/>
          </w:tcPr>
          <w:p w14:paraId="4AA95FF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tcBorders>
              <w:bottom w:val="single" w:sz="4" w:space="0" w:color="auto"/>
            </w:tcBorders>
            <w:shd w:val="clear" w:color="auto" w:fill="auto"/>
            <w:noWrap/>
            <w:tcMar>
              <w:left w:w="0" w:type="dxa"/>
              <w:right w:w="0" w:type="dxa"/>
            </w:tcMar>
            <w:vAlign w:val="center"/>
            <w:hideMark/>
          </w:tcPr>
          <w:p w14:paraId="5ED2DC2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tcBorders>
              <w:bottom w:val="single" w:sz="4" w:space="0" w:color="auto"/>
            </w:tcBorders>
            <w:shd w:val="clear" w:color="auto" w:fill="auto"/>
            <w:noWrap/>
            <w:tcMar>
              <w:left w:w="0" w:type="dxa"/>
              <w:right w:w="0" w:type="dxa"/>
            </w:tcMar>
            <w:vAlign w:val="center"/>
            <w:hideMark/>
          </w:tcPr>
          <w:p w14:paraId="5A55573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tcBorders>
              <w:bottom w:val="single" w:sz="4" w:space="0" w:color="auto"/>
            </w:tcBorders>
            <w:shd w:val="clear" w:color="auto" w:fill="auto"/>
            <w:noWrap/>
            <w:tcMar>
              <w:left w:w="0" w:type="dxa"/>
              <w:right w:w="0" w:type="dxa"/>
            </w:tcMar>
            <w:vAlign w:val="center"/>
            <w:hideMark/>
          </w:tcPr>
          <w:p w14:paraId="170044B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2.53</w:t>
            </w:r>
          </w:p>
        </w:tc>
        <w:tc>
          <w:tcPr>
            <w:tcW w:w="302" w:type="dxa"/>
            <w:tcBorders>
              <w:bottom w:val="single" w:sz="4" w:space="0" w:color="auto"/>
            </w:tcBorders>
            <w:shd w:val="clear" w:color="auto" w:fill="auto"/>
            <w:noWrap/>
            <w:tcMar>
              <w:left w:w="0" w:type="dxa"/>
              <w:right w:w="0" w:type="dxa"/>
            </w:tcMar>
            <w:vAlign w:val="center"/>
            <w:hideMark/>
          </w:tcPr>
          <w:p w14:paraId="0058982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tcBorders>
              <w:bottom w:val="single" w:sz="4" w:space="0" w:color="auto"/>
            </w:tcBorders>
            <w:shd w:val="clear" w:color="auto" w:fill="auto"/>
            <w:noWrap/>
            <w:tcMar>
              <w:left w:w="0" w:type="dxa"/>
              <w:right w:w="0" w:type="dxa"/>
            </w:tcMar>
            <w:vAlign w:val="center"/>
            <w:hideMark/>
          </w:tcPr>
          <w:p w14:paraId="61D256E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5D5BC47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tcBorders>
              <w:bottom w:val="single" w:sz="4" w:space="0" w:color="auto"/>
            </w:tcBorders>
            <w:shd w:val="clear" w:color="auto" w:fill="auto"/>
            <w:noWrap/>
            <w:tcMar>
              <w:left w:w="0" w:type="dxa"/>
              <w:right w:w="0" w:type="dxa"/>
            </w:tcMar>
            <w:vAlign w:val="center"/>
            <w:hideMark/>
          </w:tcPr>
          <w:p w14:paraId="248DD3F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1.50</w:t>
            </w:r>
          </w:p>
        </w:tc>
        <w:tc>
          <w:tcPr>
            <w:tcW w:w="302" w:type="dxa"/>
            <w:tcBorders>
              <w:bottom w:val="single" w:sz="4" w:space="0" w:color="auto"/>
            </w:tcBorders>
            <w:shd w:val="clear" w:color="auto" w:fill="auto"/>
            <w:noWrap/>
            <w:tcMar>
              <w:left w:w="0" w:type="dxa"/>
              <w:right w:w="0" w:type="dxa"/>
            </w:tcMar>
            <w:vAlign w:val="center"/>
            <w:hideMark/>
          </w:tcPr>
          <w:p w14:paraId="70097B6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1.25</w:t>
            </w:r>
          </w:p>
        </w:tc>
        <w:tc>
          <w:tcPr>
            <w:tcW w:w="343" w:type="dxa"/>
            <w:tcBorders>
              <w:bottom w:val="single" w:sz="4" w:space="0" w:color="auto"/>
            </w:tcBorders>
            <w:shd w:val="clear" w:color="auto" w:fill="auto"/>
            <w:noWrap/>
            <w:tcMar>
              <w:left w:w="0" w:type="dxa"/>
              <w:right w:w="0" w:type="dxa"/>
            </w:tcMar>
            <w:vAlign w:val="center"/>
            <w:hideMark/>
          </w:tcPr>
          <w:p w14:paraId="36D0F67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tcBorders>
              <w:bottom w:val="single" w:sz="4" w:space="0" w:color="auto"/>
            </w:tcBorders>
            <w:shd w:val="clear" w:color="auto" w:fill="auto"/>
            <w:noWrap/>
            <w:tcMar>
              <w:left w:w="0" w:type="dxa"/>
              <w:right w:w="0" w:type="dxa"/>
            </w:tcMar>
            <w:vAlign w:val="center"/>
            <w:hideMark/>
          </w:tcPr>
          <w:p w14:paraId="098CF6D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tcBorders>
              <w:bottom w:val="single" w:sz="4" w:space="0" w:color="auto"/>
            </w:tcBorders>
            <w:shd w:val="clear" w:color="auto" w:fill="auto"/>
            <w:noWrap/>
            <w:tcMar>
              <w:left w:w="0" w:type="dxa"/>
              <w:right w:w="0" w:type="dxa"/>
            </w:tcMar>
            <w:vAlign w:val="center"/>
            <w:hideMark/>
          </w:tcPr>
          <w:p w14:paraId="7FE6A9B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2.13</w:t>
            </w:r>
          </w:p>
        </w:tc>
        <w:tc>
          <w:tcPr>
            <w:tcW w:w="302" w:type="dxa"/>
            <w:tcBorders>
              <w:bottom w:val="single" w:sz="4" w:space="0" w:color="auto"/>
            </w:tcBorders>
            <w:shd w:val="clear" w:color="auto" w:fill="auto"/>
            <w:noWrap/>
            <w:tcMar>
              <w:left w:w="0" w:type="dxa"/>
              <w:right w:w="0" w:type="dxa"/>
            </w:tcMar>
            <w:vAlign w:val="center"/>
            <w:hideMark/>
          </w:tcPr>
          <w:p w14:paraId="4F09A4E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tcBorders>
              <w:bottom w:val="single" w:sz="4" w:space="0" w:color="auto"/>
            </w:tcBorders>
            <w:shd w:val="clear" w:color="auto" w:fill="auto"/>
            <w:noWrap/>
            <w:tcMar>
              <w:left w:w="0" w:type="dxa"/>
              <w:right w:w="0" w:type="dxa"/>
            </w:tcMar>
            <w:vAlign w:val="center"/>
            <w:hideMark/>
          </w:tcPr>
          <w:p w14:paraId="400705A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tcBorders>
              <w:bottom w:val="single" w:sz="4" w:space="0" w:color="auto"/>
            </w:tcBorders>
            <w:shd w:val="clear" w:color="auto" w:fill="auto"/>
            <w:noWrap/>
            <w:tcMar>
              <w:left w:w="0" w:type="dxa"/>
              <w:right w:w="0" w:type="dxa"/>
            </w:tcMar>
            <w:vAlign w:val="center"/>
            <w:hideMark/>
          </w:tcPr>
          <w:p w14:paraId="6870E78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1.31</w:t>
            </w:r>
          </w:p>
        </w:tc>
        <w:tc>
          <w:tcPr>
            <w:tcW w:w="302" w:type="dxa"/>
            <w:tcBorders>
              <w:bottom w:val="single" w:sz="4" w:space="0" w:color="auto"/>
            </w:tcBorders>
            <w:shd w:val="clear" w:color="auto" w:fill="auto"/>
            <w:noWrap/>
            <w:tcMar>
              <w:left w:w="0" w:type="dxa"/>
              <w:right w:w="0" w:type="dxa"/>
            </w:tcMar>
            <w:vAlign w:val="center"/>
            <w:hideMark/>
          </w:tcPr>
          <w:p w14:paraId="4E6F1CA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tcBorders>
              <w:bottom w:val="single" w:sz="4" w:space="0" w:color="auto"/>
            </w:tcBorders>
            <w:shd w:val="clear" w:color="auto" w:fill="auto"/>
            <w:noWrap/>
            <w:tcMar>
              <w:left w:w="0" w:type="dxa"/>
              <w:right w:w="0" w:type="dxa"/>
            </w:tcMar>
            <w:vAlign w:val="center"/>
            <w:hideMark/>
          </w:tcPr>
          <w:p w14:paraId="17AB211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tcBorders>
              <w:bottom w:val="single" w:sz="4" w:space="0" w:color="auto"/>
            </w:tcBorders>
            <w:shd w:val="clear" w:color="auto" w:fill="auto"/>
            <w:noWrap/>
            <w:tcMar>
              <w:left w:w="0" w:type="dxa"/>
              <w:right w:w="0" w:type="dxa"/>
            </w:tcMar>
            <w:vAlign w:val="center"/>
            <w:hideMark/>
          </w:tcPr>
          <w:p w14:paraId="1B2225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2.00</w:t>
            </w:r>
          </w:p>
        </w:tc>
        <w:tc>
          <w:tcPr>
            <w:tcW w:w="369" w:type="dxa"/>
            <w:tcBorders>
              <w:bottom w:val="single" w:sz="4" w:space="0" w:color="auto"/>
            </w:tcBorders>
            <w:shd w:val="clear" w:color="auto" w:fill="auto"/>
            <w:noWrap/>
            <w:tcMar>
              <w:left w:w="0" w:type="dxa"/>
              <w:right w:w="0" w:type="dxa"/>
            </w:tcMar>
            <w:vAlign w:val="center"/>
            <w:hideMark/>
          </w:tcPr>
          <w:p w14:paraId="07FF18E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1.50</w:t>
            </w:r>
          </w:p>
        </w:tc>
        <w:tc>
          <w:tcPr>
            <w:tcW w:w="302" w:type="dxa"/>
            <w:tcBorders>
              <w:bottom w:val="single" w:sz="4" w:space="0" w:color="auto"/>
            </w:tcBorders>
            <w:shd w:val="clear" w:color="auto" w:fill="auto"/>
            <w:noWrap/>
            <w:tcMar>
              <w:left w:w="0" w:type="dxa"/>
              <w:right w:w="0" w:type="dxa"/>
            </w:tcMar>
            <w:vAlign w:val="center"/>
            <w:hideMark/>
          </w:tcPr>
          <w:p w14:paraId="606A31E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65092D4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2C1BE0A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tcBorders>
              <w:bottom w:val="single" w:sz="4" w:space="0" w:color="auto"/>
            </w:tcBorders>
            <w:shd w:val="clear" w:color="auto" w:fill="auto"/>
            <w:noWrap/>
            <w:tcMar>
              <w:left w:w="0" w:type="dxa"/>
              <w:right w:w="0" w:type="dxa"/>
            </w:tcMar>
            <w:vAlign w:val="center"/>
            <w:hideMark/>
          </w:tcPr>
          <w:p w14:paraId="44854B6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tcBorders>
              <w:bottom w:val="single" w:sz="4" w:space="0" w:color="auto"/>
            </w:tcBorders>
            <w:shd w:val="clear" w:color="auto" w:fill="auto"/>
            <w:noWrap/>
            <w:tcMar>
              <w:left w:w="0" w:type="dxa"/>
              <w:right w:w="0" w:type="dxa"/>
            </w:tcMar>
            <w:vAlign w:val="center"/>
            <w:hideMark/>
          </w:tcPr>
          <w:p w14:paraId="48AB13E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1.75</w:t>
            </w:r>
          </w:p>
        </w:tc>
        <w:tc>
          <w:tcPr>
            <w:tcW w:w="439" w:type="dxa"/>
            <w:tcBorders>
              <w:bottom w:val="single" w:sz="4" w:space="0" w:color="auto"/>
            </w:tcBorders>
            <w:shd w:val="clear" w:color="auto" w:fill="auto"/>
            <w:noWrap/>
            <w:tcMar>
              <w:left w:w="0" w:type="dxa"/>
              <w:right w:w="0" w:type="dxa"/>
            </w:tcMar>
            <w:vAlign w:val="center"/>
            <w:hideMark/>
          </w:tcPr>
          <w:p w14:paraId="66282C9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r>
    </w:tbl>
    <w:p w14:paraId="66036ED8" w14:textId="77777777" w:rsidR="00FF1B38" w:rsidRDefault="00FF1B38" w:rsidP="00FF1B38"/>
    <w:p w14:paraId="2CC04264" w14:textId="77777777" w:rsidR="00FF1B38" w:rsidRPr="002E2EB3" w:rsidRDefault="00FF1B38" w:rsidP="00FF1B38">
      <w:pPr>
        <w:rPr>
          <w:rFonts w:ascii="Arial Narrow" w:hAnsi="Arial Narrow"/>
          <w:sz w:val="20"/>
        </w:rPr>
      </w:pPr>
      <w:r w:rsidRPr="002E2EB3">
        <w:rPr>
          <w:rFonts w:ascii="Arial Narrow" w:hAnsi="Arial Narrow"/>
          <w:sz w:val="20"/>
        </w:rPr>
        <w:t xml:space="preserve">Table </w:t>
      </w:r>
      <w:proofErr w:type="gramStart"/>
      <w:r w:rsidRPr="002E2EB3">
        <w:rPr>
          <w:rFonts w:ascii="Arial Narrow" w:hAnsi="Arial Narrow"/>
          <w:sz w:val="20"/>
        </w:rPr>
        <w:t>A</w:t>
      </w:r>
      <w:proofErr w:type="gramEnd"/>
      <w:r w:rsidR="0096504D">
        <w:rPr>
          <w:rFonts w:ascii="Arial Narrow" w:hAnsi="Arial Narrow"/>
          <w:sz w:val="20"/>
        </w:rPr>
        <w:t xml:space="preserve"> </w:t>
      </w:r>
      <w:r w:rsidR="0033244F">
        <w:rPr>
          <w:rFonts w:ascii="Arial Narrow" w:hAnsi="Arial Narrow"/>
          <w:sz w:val="20"/>
        </w:rPr>
        <w:t>5 continued</w:t>
      </w:r>
    </w:p>
    <w:tbl>
      <w:tblPr>
        <w:tblW w:w="1332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5"/>
        <w:gridCol w:w="1649"/>
        <w:gridCol w:w="438"/>
        <w:gridCol w:w="307"/>
        <w:gridCol w:w="301"/>
        <w:gridCol w:w="301"/>
        <w:gridCol w:w="301"/>
        <w:gridCol w:w="301"/>
        <w:gridCol w:w="301"/>
        <w:gridCol w:w="379"/>
        <w:gridCol w:w="302"/>
        <w:gridCol w:w="302"/>
        <w:gridCol w:w="302"/>
        <w:gridCol w:w="302"/>
        <w:gridCol w:w="302"/>
        <w:gridCol w:w="302"/>
        <w:gridCol w:w="302"/>
        <w:gridCol w:w="302"/>
        <w:gridCol w:w="302"/>
        <w:gridCol w:w="302"/>
        <w:gridCol w:w="302"/>
        <w:gridCol w:w="343"/>
        <w:gridCol w:w="302"/>
        <w:gridCol w:w="302"/>
        <w:gridCol w:w="302"/>
        <w:gridCol w:w="302"/>
        <w:gridCol w:w="302"/>
        <w:gridCol w:w="302"/>
        <w:gridCol w:w="302"/>
        <w:gridCol w:w="302"/>
        <w:gridCol w:w="369"/>
        <w:gridCol w:w="302"/>
        <w:gridCol w:w="302"/>
        <w:gridCol w:w="302"/>
        <w:gridCol w:w="302"/>
        <w:gridCol w:w="405"/>
        <w:gridCol w:w="439"/>
      </w:tblGrid>
      <w:tr w:rsidR="00DD4BB0" w:rsidRPr="002E2EB3" w14:paraId="4FC36914" w14:textId="77777777" w:rsidTr="009276CC">
        <w:trPr>
          <w:trHeight w:val="1380"/>
        </w:trPr>
        <w:tc>
          <w:tcPr>
            <w:tcW w:w="545" w:type="dxa"/>
            <w:shd w:val="clear" w:color="auto" w:fill="F2F2F2" w:themeFill="background1" w:themeFillShade="F2"/>
            <w:noWrap/>
            <w:tcMar>
              <w:left w:w="0" w:type="dxa"/>
              <w:right w:w="0" w:type="dxa"/>
            </w:tcMar>
            <w:textDirection w:val="btLr"/>
            <w:vAlign w:val="center"/>
            <w:hideMark/>
          </w:tcPr>
          <w:p w14:paraId="66BFBBB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lastRenderedPageBreak/>
              <w:t>sub/Region</w:t>
            </w:r>
          </w:p>
        </w:tc>
        <w:tc>
          <w:tcPr>
            <w:tcW w:w="1649" w:type="dxa"/>
            <w:shd w:val="clear" w:color="auto" w:fill="F2F2F2" w:themeFill="background1" w:themeFillShade="F2"/>
            <w:noWrap/>
            <w:tcMar>
              <w:left w:w="0" w:type="dxa"/>
              <w:right w:w="0" w:type="dxa"/>
            </w:tcMar>
            <w:vAlign w:val="center"/>
            <w:hideMark/>
          </w:tcPr>
          <w:p w14:paraId="64911699"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Reef</w:t>
            </w:r>
          </w:p>
        </w:tc>
        <w:tc>
          <w:tcPr>
            <w:tcW w:w="438" w:type="dxa"/>
            <w:shd w:val="clear" w:color="auto" w:fill="F2F2F2" w:themeFill="background1" w:themeFillShade="F2"/>
            <w:noWrap/>
            <w:tcMar>
              <w:left w:w="0" w:type="dxa"/>
              <w:right w:w="0" w:type="dxa"/>
            </w:tcMar>
            <w:textDirection w:val="btLr"/>
            <w:vAlign w:val="center"/>
            <w:hideMark/>
          </w:tcPr>
          <w:p w14:paraId="2D1CD17C"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DEPTH</w:t>
            </w:r>
          </w:p>
        </w:tc>
        <w:tc>
          <w:tcPr>
            <w:tcW w:w="307" w:type="dxa"/>
            <w:shd w:val="clear" w:color="auto" w:fill="F2F2F2" w:themeFill="background1" w:themeFillShade="F2"/>
            <w:noWrap/>
            <w:tcMar>
              <w:left w:w="0" w:type="dxa"/>
              <w:right w:w="0" w:type="dxa"/>
            </w:tcMar>
            <w:textDirection w:val="btLr"/>
            <w:vAlign w:val="center"/>
            <w:hideMark/>
          </w:tcPr>
          <w:p w14:paraId="459D5D1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Acropora</w:t>
            </w:r>
          </w:p>
        </w:tc>
        <w:tc>
          <w:tcPr>
            <w:tcW w:w="301" w:type="dxa"/>
            <w:shd w:val="clear" w:color="auto" w:fill="F2F2F2" w:themeFill="background1" w:themeFillShade="F2"/>
            <w:noWrap/>
            <w:tcMar>
              <w:left w:w="0" w:type="dxa"/>
              <w:right w:w="0" w:type="dxa"/>
            </w:tcMar>
            <w:textDirection w:val="btLr"/>
            <w:vAlign w:val="center"/>
            <w:hideMark/>
          </w:tcPr>
          <w:p w14:paraId="4108E31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Alveopora</w:t>
            </w:r>
          </w:p>
        </w:tc>
        <w:tc>
          <w:tcPr>
            <w:tcW w:w="301" w:type="dxa"/>
            <w:shd w:val="clear" w:color="auto" w:fill="F2F2F2" w:themeFill="background1" w:themeFillShade="F2"/>
            <w:noWrap/>
            <w:tcMar>
              <w:left w:w="0" w:type="dxa"/>
              <w:right w:w="0" w:type="dxa"/>
            </w:tcMar>
            <w:textDirection w:val="btLr"/>
            <w:vAlign w:val="center"/>
            <w:hideMark/>
          </w:tcPr>
          <w:p w14:paraId="0CFBE75C"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Caulastrea</w:t>
            </w:r>
          </w:p>
        </w:tc>
        <w:tc>
          <w:tcPr>
            <w:tcW w:w="301" w:type="dxa"/>
            <w:shd w:val="clear" w:color="auto" w:fill="F2F2F2" w:themeFill="background1" w:themeFillShade="F2"/>
            <w:noWrap/>
            <w:tcMar>
              <w:left w:w="0" w:type="dxa"/>
              <w:right w:w="0" w:type="dxa"/>
            </w:tcMar>
            <w:textDirection w:val="btLr"/>
            <w:vAlign w:val="center"/>
            <w:hideMark/>
          </w:tcPr>
          <w:p w14:paraId="36E76247"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Cyphastrea</w:t>
            </w:r>
          </w:p>
        </w:tc>
        <w:tc>
          <w:tcPr>
            <w:tcW w:w="301" w:type="dxa"/>
            <w:shd w:val="clear" w:color="auto" w:fill="F2F2F2" w:themeFill="background1" w:themeFillShade="F2"/>
            <w:noWrap/>
            <w:tcMar>
              <w:left w:w="0" w:type="dxa"/>
              <w:right w:w="0" w:type="dxa"/>
            </w:tcMar>
            <w:textDirection w:val="btLr"/>
            <w:vAlign w:val="center"/>
            <w:hideMark/>
          </w:tcPr>
          <w:p w14:paraId="65B21DE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Diploastrea</w:t>
            </w:r>
          </w:p>
        </w:tc>
        <w:tc>
          <w:tcPr>
            <w:tcW w:w="301" w:type="dxa"/>
            <w:shd w:val="clear" w:color="auto" w:fill="F2F2F2" w:themeFill="background1" w:themeFillShade="F2"/>
            <w:noWrap/>
            <w:tcMar>
              <w:left w:w="0" w:type="dxa"/>
              <w:right w:w="0" w:type="dxa"/>
            </w:tcMar>
            <w:textDirection w:val="btLr"/>
            <w:vAlign w:val="center"/>
            <w:hideMark/>
          </w:tcPr>
          <w:p w14:paraId="7D32E8A8"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Echinophyllia</w:t>
            </w:r>
          </w:p>
        </w:tc>
        <w:tc>
          <w:tcPr>
            <w:tcW w:w="379" w:type="dxa"/>
            <w:shd w:val="clear" w:color="auto" w:fill="F2F2F2" w:themeFill="background1" w:themeFillShade="F2"/>
            <w:noWrap/>
            <w:tcMar>
              <w:left w:w="0" w:type="dxa"/>
              <w:right w:w="0" w:type="dxa"/>
            </w:tcMar>
            <w:textDirection w:val="btLr"/>
            <w:vAlign w:val="center"/>
            <w:hideMark/>
          </w:tcPr>
          <w:p w14:paraId="251473E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Echinopora</w:t>
            </w:r>
          </w:p>
        </w:tc>
        <w:tc>
          <w:tcPr>
            <w:tcW w:w="302" w:type="dxa"/>
            <w:shd w:val="clear" w:color="auto" w:fill="F2F2F2" w:themeFill="background1" w:themeFillShade="F2"/>
            <w:noWrap/>
            <w:tcMar>
              <w:left w:w="0" w:type="dxa"/>
              <w:right w:w="0" w:type="dxa"/>
            </w:tcMar>
            <w:textDirection w:val="btLr"/>
            <w:vAlign w:val="center"/>
            <w:hideMark/>
          </w:tcPr>
          <w:p w14:paraId="1CAE92E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Favia</w:t>
            </w:r>
          </w:p>
        </w:tc>
        <w:tc>
          <w:tcPr>
            <w:tcW w:w="302" w:type="dxa"/>
            <w:shd w:val="clear" w:color="auto" w:fill="F2F2F2" w:themeFill="background1" w:themeFillShade="F2"/>
            <w:noWrap/>
            <w:tcMar>
              <w:left w:w="0" w:type="dxa"/>
              <w:right w:w="0" w:type="dxa"/>
            </w:tcMar>
            <w:textDirection w:val="btLr"/>
            <w:vAlign w:val="center"/>
            <w:hideMark/>
          </w:tcPr>
          <w:p w14:paraId="704552D2"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Favites</w:t>
            </w:r>
          </w:p>
        </w:tc>
        <w:tc>
          <w:tcPr>
            <w:tcW w:w="302" w:type="dxa"/>
            <w:shd w:val="clear" w:color="auto" w:fill="F2F2F2" w:themeFill="background1" w:themeFillShade="F2"/>
            <w:noWrap/>
            <w:tcMar>
              <w:left w:w="0" w:type="dxa"/>
              <w:right w:w="0" w:type="dxa"/>
            </w:tcMar>
            <w:textDirection w:val="btLr"/>
            <w:vAlign w:val="center"/>
            <w:hideMark/>
          </w:tcPr>
          <w:p w14:paraId="2E872C04"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Fungia</w:t>
            </w:r>
          </w:p>
        </w:tc>
        <w:tc>
          <w:tcPr>
            <w:tcW w:w="302" w:type="dxa"/>
            <w:shd w:val="clear" w:color="auto" w:fill="F2F2F2" w:themeFill="background1" w:themeFillShade="F2"/>
            <w:noWrap/>
            <w:tcMar>
              <w:left w:w="0" w:type="dxa"/>
              <w:right w:w="0" w:type="dxa"/>
            </w:tcMar>
            <w:textDirection w:val="btLr"/>
            <w:vAlign w:val="center"/>
            <w:hideMark/>
          </w:tcPr>
          <w:p w14:paraId="12B05452"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Galaxea</w:t>
            </w:r>
          </w:p>
        </w:tc>
        <w:tc>
          <w:tcPr>
            <w:tcW w:w="302" w:type="dxa"/>
            <w:shd w:val="clear" w:color="auto" w:fill="F2F2F2" w:themeFill="background1" w:themeFillShade="F2"/>
            <w:noWrap/>
            <w:tcMar>
              <w:left w:w="0" w:type="dxa"/>
              <w:right w:w="0" w:type="dxa"/>
            </w:tcMar>
            <w:textDirection w:val="btLr"/>
            <w:vAlign w:val="center"/>
            <w:hideMark/>
          </w:tcPr>
          <w:p w14:paraId="119F907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Goniastrea</w:t>
            </w:r>
          </w:p>
        </w:tc>
        <w:tc>
          <w:tcPr>
            <w:tcW w:w="302" w:type="dxa"/>
            <w:shd w:val="clear" w:color="auto" w:fill="F2F2F2" w:themeFill="background1" w:themeFillShade="F2"/>
            <w:noWrap/>
            <w:tcMar>
              <w:left w:w="0" w:type="dxa"/>
              <w:right w:w="0" w:type="dxa"/>
            </w:tcMar>
            <w:textDirection w:val="btLr"/>
            <w:vAlign w:val="center"/>
            <w:hideMark/>
          </w:tcPr>
          <w:p w14:paraId="3176651F"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Goniopora</w:t>
            </w:r>
          </w:p>
        </w:tc>
        <w:tc>
          <w:tcPr>
            <w:tcW w:w="302" w:type="dxa"/>
            <w:shd w:val="clear" w:color="auto" w:fill="F2F2F2" w:themeFill="background1" w:themeFillShade="F2"/>
            <w:noWrap/>
            <w:tcMar>
              <w:left w:w="0" w:type="dxa"/>
              <w:right w:w="0" w:type="dxa"/>
            </w:tcMar>
            <w:textDirection w:val="btLr"/>
            <w:vAlign w:val="center"/>
            <w:hideMark/>
          </w:tcPr>
          <w:p w14:paraId="26123712"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Hydnophora</w:t>
            </w:r>
          </w:p>
        </w:tc>
        <w:tc>
          <w:tcPr>
            <w:tcW w:w="302" w:type="dxa"/>
            <w:shd w:val="clear" w:color="auto" w:fill="F2F2F2" w:themeFill="background1" w:themeFillShade="F2"/>
            <w:noWrap/>
            <w:tcMar>
              <w:left w:w="0" w:type="dxa"/>
              <w:right w:w="0" w:type="dxa"/>
            </w:tcMar>
            <w:textDirection w:val="btLr"/>
            <w:vAlign w:val="center"/>
            <w:hideMark/>
          </w:tcPr>
          <w:p w14:paraId="23D77B18"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Leptoseris</w:t>
            </w:r>
          </w:p>
        </w:tc>
        <w:tc>
          <w:tcPr>
            <w:tcW w:w="302" w:type="dxa"/>
            <w:shd w:val="clear" w:color="auto" w:fill="F2F2F2" w:themeFill="background1" w:themeFillShade="F2"/>
            <w:noWrap/>
            <w:tcMar>
              <w:left w:w="0" w:type="dxa"/>
              <w:right w:w="0" w:type="dxa"/>
            </w:tcMar>
            <w:textDirection w:val="btLr"/>
            <w:vAlign w:val="center"/>
            <w:hideMark/>
          </w:tcPr>
          <w:p w14:paraId="1C99FB1F"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Lobophyllia</w:t>
            </w:r>
          </w:p>
        </w:tc>
        <w:tc>
          <w:tcPr>
            <w:tcW w:w="302" w:type="dxa"/>
            <w:shd w:val="clear" w:color="auto" w:fill="F2F2F2" w:themeFill="background1" w:themeFillShade="F2"/>
            <w:noWrap/>
            <w:tcMar>
              <w:left w:w="0" w:type="dxa"/>
              <w:right w:w="0" w:type="dxa"/>
            </w:tcMar>
            <w:textDirection w:val="btLr"/>
            <w:vAlign w:val="center"/>
            <w:hideMark/>
          </w:tcPr>
          <w:p w14:paraId="5A439EF7"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Merulina</w:t>
            </w:r>
          </w:p>
        </w:tc>
        <w:tc>
          <w:tcPr>
            <w:tcW w:w="302" w:type="dxa"/>
            <w:shd w:val="clear" w:color="auto" w:fill="F2F2F2" w:themeFill="background1" w:themeFillShade="F2"/>
            <w:noWrap/>
            <w:tcMar>
              <w:left w:w="0" w:type="dxa"/>
              <w:right w:w="0" w:type="dxa"/>
            </w:tcMar>
            <w:textDirection w:val="btLr"/>
            <w:vAlign w:val="center"/>
            <w:hideMark/>
          </w:tcPr>
          <w:p w14:paraId="6F36473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Montipora</w:t>
            </w:r>
          </w:p>
        </w:tc>
        <w:tc>
          <w:tcPr>
            <w:tcW w:w="343" w:type="dxa"/>
            <w:shd w:val="clear" w:color="auto" w:fill="F2F2F2" w:themeFill="background1" w:themeFillShade="F2"/>
            <w:noWrap/>
            <w:tcMar>
              <w:left w:w="0" w:type="dxa"/>
              <w:right w:w="0" w:type="dxa"/>
            </w:tcMar>
            <w:textDirection w:val="btLr"/>
            <w:vAlign w:val="center"/>
            <w:hideMark/>
          </w:tcPr>
          <w:p w14:paraId="1057E36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Mycedium</w:t>
            </w:r>
          </w:p>
        </w:tc>
        <w:tc>
          <w:tcPr>
            <w:tcW w:w="302" w:type="dxa"/>
            <w:shd w:val="clear" w:color="auto" w:fill="F2F2F2" w:themeFill="background1" w:themeFillShade="F2"/>
            <w:noWrap/>
            <w:tcMar>
              <w:left w:w="0" w:type="dxa"/>
              <w:right w:w="0" w:type="dxa"/>
            </w:tcMar>
            <w:textDirection w:val="btLr"/>
            <w:vAlign w:val="center"/>
            <w:hideMark/>
          </w:tcPr>
          <w:p w14:paraId="16BAA93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Oxypora</w:t>
            </w:r>
          </w:p>
        </w:tc>
        <w:tc>
          <w:tcPr>
            <w:tcW w:w="302" w:type="dxa"/>
            <w:shd w:val="clear" w:color="auto" w:fill="F2F2F2" w:themeFill="background1" w:themeFillShade="F2"/>
            <w:noWrap/>
            <w:tcMar>
              <w:left w:w="0" w:type="dxa"/>
              <w:right w:w="0" w:type="dxa"/>
            </w:tcMar>
            <w:textDirection w:val="btLr"/>
            <w:vAlign w:val="center"/>
            <w:hideMark/>
          </w:tcPr>
          <w:p w14:paraId="11FAD74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Pachyseris</w:t>
            </w:r>
          </w:p>
        </w:tc>
        <w:tc>
          <w:tcPr>
            <w:tcW w:w="302" w:type="dxa"/>
            <w:shd w:val="clear" w:color="auto" w:fill="F2F2F2" w:themeFill="background1" w:themeFillShade="F2"/>
            <w:noWrap/>
            <w:tcMar>
              <w:left w:w="0" w:type="dxa"/>
              <w:right w:w="0" w:type="dxa"/>
            </w:tcMar>
            <w:textDirection w:val="btLr"/>
            <w:vAlign w:val="center"/>
            <w:hideMark/>
          </w:tcPr>
          <w:p w14:paraId="5F20D9D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Pavona</w:t>
            </w:r>
          </w:p>
        </w:tc>
        <w:tc>
          <w:tcPr>
            <w:tcW w:w="302" w:type="dxa"/>
            <w:shd w:val="clear" w:color="auto" w:fill="F2F2F2" w:themeFill="background1" w:themeFillShade="F2"/>
            <w:noWrap/>
            <w:tcMar>
              <w:left w:w="0" w:type="dxa"/>
              <w:right w:w="0" w:type="dxa"/>
            </w:tcMar>
            <w:textDirection w:val="btLr"/>
            <w:vAlign w:val="center"/>
            <w:hideMark/>
          </w:tcPr>
          <w:p w14:paraId="0A52D9C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Pectinia</w:t>
            </w:r>
          </w:p>
        </w:tc>
        <w:tc>
          <w:tcPr>
            <w:tcW w:w="302" w:type="dxa"/>
            <w:shd w:val="clear" w:color="auto" w:fill="F2F2F2" w:themeFill="background1" w:themeFillShade="F2"/>
            <w:noWrap/>
            <w:tcMar>
              <w:left w:w="0" w:type="dxa"/>
              <w:right w:w="0" w:type="dxa"/>
            </w:tcMar>
            <w:textDirection w:val="btLr"/>
            <w:vAlign w:val="center"/>
            <w:hideMark/>
          </w:tcPr>
          <w:p w14:paraId="2779E07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Platygyra</w:t>
            </w:r>
          </w:p>
        </w:tc>
        <w:tc>
          <w:tcPr>
            <w:tcW w:w="302" w:type="dxa"/>
            <w:shd w:val="clear" w:color="auto" w:fill="F2F2F2" w:themeFill="background1" w:themeFillShade="F2"/>
            <w:noWrap/>
            <w:tcMar>
              <w:left w:w="0" w:type="dxa"/>
              <w:right w:w="0" w:type="dxa"/>
            </w:tcMar>
            <w:textDirection w:val="btLr"/>
            <w:vAlign w:val="center"/>
            <w:hideMark/>
          </w:tcPr>
          <w:p w14:paraId="09A4228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Pleisiastrea</w:t>
            </w:r>
          </w:p>
        </w:tc>
        <w:tc>
          <w:tcPr>
            <w:tcW w:w="302" w:type="dxa"/>
            <w:shd w:val="clear" w:color="auto" w:fill="F2F2F2" w:themeFill="background1" w:themeFillShade="F2"/>
            <w:noWrap/>
            <w:tcMar>
              <w:left w:w="0" w:type="dxa"/>
              <w:right w:w="0" w:type="dxa"/>
            </w:tcMar>
            <w:textDirection w:val="btLr"/>
            <w:vAlign w:val="center"/>
            <w:hideMark/>
          </w:tcPr>
          <w:p w14:paraId="78CD2F7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Pocillopora</w:t>
            </w:r>
          </w:p>
        </w:tc>
        <w:tc>
          <w:tcPr>
            <w:tcW w:w="302" w:type="dxa"/>
            <w:shd w:val="clear" w:color="auto" w:fill="F2F2F2" w:themeFill="background1" w:themeFillShade="F2"/>
            <w:noWrap/>
            <w:tcMar>
              <w:left w:w="0" w:type="dxa"/>
              <w:right w:w="0" w:type="dxa"/>
            </w:tcMar>
            <w:textDirection w:val="btLr"/>
            <w:vAlign w:val="center"/>
            <w:hideMark/>
          </w:tcPr>
          <w:p w14:paraId="72A3D32E"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Podobacia</w:t>
            </w:r>
          </w:p>
        </w:tc>
        <w:tc>
          <w:tcPr>
            <w:tcW w:w="369" w:type="dxa"/>
            <w:shd w:val="clear" w:color="auto" w:fill="F2F2F2" w:themeFill="background1" w:themeFillShade="F2"/>
            <w:noWrap/>
            <w:tcMar>
              <w:left w:w="0" w:type="dxa"/>
              <w:right w:w="0" w:type="dxa"/>
            </w:tcMar>
            <w:textDirection w:val="btLr"/>
            <w:vAlign w:val="center"/>
            <w:hideMark/>
          </w:tcPr>
          <w:p w14:paraId="11E986D2"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Porites</w:t>
            </w:r>
          </w:p>
        </w:tc>
        <w:tc>
          <w:tcPr>
            <w:tcW w:w="302" w:type="dxa"/>
            <w:shd w:val="clear" w:color="auto" w:fill="F2F2F2" w:themeFill="background1" w:themeFillShade="F2"/>
            <w:noWrap/>
            <w:tcMar>
              <w:left w:w="0" w:type="dxa"/>
              <w:right w:w="0" w:type="dxa"/>
            </w:tcMar>
            <w:textDirection w:val="btLr"/>
            <w:vAlign w:val="center"/>
            <w:hideMark/>
          </w:tcPr>
          <w:p w14:paraId="46E5EA8C"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Psammocora</w:t>
            </w:r>
          </w:p>
        </w:tc>
        <w:tc>
          <w:tcPr>
            <w:tcW w:w="302" w:type="dxa"/>
            <w:shd w:val="clear" w:color="auto" w:fill="F2F2F2" w:themeFill="background1" w:themeFillShade="F2"/>
            <w:noWrap/>
            <w:tcMar>
              <w:left w:w="0" w:type="dxa"/>
              <w:right w:w="0" w:type="dxa"/>
            </w:tcMar>
            <w:textDirection w:val="btLr"/>
            <w:vAlign w:val="center"/>
            <w:hideMark/>
          </w:tcPr>
          <w:p w14:paraId="7D63E8E7"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Seriatopora</w:t>
            </w:r>
          </w:p>
        </w:tc>
        <w:tc>
          <w:tcPr>
            <w:tcW w:w="302" w:type="dxa"/>
            <w:shd w:val="clear" w:color="auto" w:fill="F2F2F2" w:themeFill="background1" w:themeFillShade="F2"/>
            <w:noWrap/>
            <w:tcMar>
              <w:left w:w="0" w:type="dxa"/>
              <w:right w:w="0" w:type="dxa"/>
            </w:tcMar>
            <w:textDirection w:val="btLr"/>
            <w:vAlign w:val="center"/>
            <w:hideMark/>
          </w:tcPr>
          <w:p w14:paraId="7CEAE345"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Stylophora</w:t>
            </w:r>
          </w:p>
        </w:tc>
        <w:tc>
          <w:tcPr>
            <w:tcW w:w="302" w:type="dxa"/>
            <w:shd w:val="clear" w:color="auto" w:fill="F2F2F2" w:themeFill="background1" w:themeFillShade="F2"/>
            <w:noWrap/>
            <w:tcMar>
              <w:left w:w="0" w:type="dxa"/>
              <w:right w:w="0" w:type="dxa"/>
            </w:tcMar>
            <w:textDirection w:val="btLr"/>
            <w:vAlign w:val="center"/>
            <w:hideMark/>
          </w:tcPr>
          <w:p w14:paraId="5A1DC9EC"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Symphyllia</w:t>
            </w:r>
          </w:p>
        </w:tc>
        <w:tc>
          <w:tcPr>
            <w:tcW w:w="405" w:type="dxa"/>
            <w:shd w:val="clear" w:color="auto" w:fill="F2F2F2" w:themeFill="background1" w:themeFillShade="F2"/>
            <w:noWrap/>
            <w:tcMar>
              <w:left w:w="0" w:type="dxa"/>
              <w:right w:w="0" w:type="dxa"/>
            </w:tcMar>
            <w:textDirection w:val="btLr"/>
            <w:vAlign w:val="center"/>
            <w:hideMark/>
          </w:tcPr>
          <w:p w14:paraId="43D8465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Turbinaria</w:t>
            </w:r>
          </w:p>
        </w:tc>
        <w:tc>
          <w:tcPr>
            <w:tcW w:w="439" w:type="dxa"/>
            <w:shd w:val="clear" w:color="auto" w:fill="F2F2F2" w:themeFill="background1" w:themeFillShade="F2"/>
            <w:noWrap/>
            <w:tcMar>
              <w:left w:w="0" w:type="dxa"/>
              <w:right w:w="0" w:type="dxa"/>
            </w:tcMar>
            <w:textDirection w:val="btLr"/>
            <w:vAlign w:val="center"/>
            <w:hideMark/>
          </w:tcPr>
          <w:p w14:paraId="5B0E5443" w14:textId="77777777" w:rsidR="00FF1B38" w:rsidRPr="002E2EB3" w:rsidRDefault="00FF1B38" w:rsidP="009276CC">
            <w:pPr>
              <w:spacing w:after="0"/>
              <w:jc w:val="center"/>
              <w:rPr>
                <w:rFonts w:ascii="Calibri" w:hAnsi="Calibri"/>
                <w:color w:val="000000"/>
                <w:szCs w:val="22"/>
                <w:lang w:val="en-AU" w:eastAsia="en-AU"/>
              </w:rPr>
            </w:pPr>
            <w:r w:rsidRPr="002E2EB3">
              <w:rPr>
                <w:rFonts w:ascii="Calibri" w:hAnsi="Calibri"/>
                <w:color w:val="000000"/>
                <w:szCs w:val="22"/>
                <w:lang w:val="en-AU" w:eastAsia="en-AU"/>
              </w:rPr>
              <w:t>Other</w:t>
            </w:r>
          </w:p>
        </w:tc>
      </w:tr>
      <w:tr w:rsidR="00FF1B38" w:rsidRPr="002E2EB3" w14:paraId="0E334E3B" w14:textId="77777777" w:rsidTr="009276CC">
        <w:trPr>
          <w:trHeight w:val="300"/>
        </w:trPr>
        <w:tc>
          <w:tcPr>
            <w:tcW w:w="545" w:type="dxa"/>
            <w:vMerge w:val="restart"/>
            <w:shd w:val="clear" w:color="auto" w:fill="auto"/>
            <w:noWrap/>
            <w:tcMar>
              <w:left w:w="0" w:type="dxa"/>
              <w:right w:w="0" w:type="dxa"/>
            </w:tcMar>
            <w:textDirection w:val="btLr"/>
            <w:vAlign w:val="center"/>
            <w:hideMark/>
          </w:tcPr>
          <w:p w14:paraId="16A2FCD5" w14:textId="77777777" w:rsidR="00FF1B38" w:rsidRPr="002E2EB3" w:rsidRDefault="00FF1B38" w:rsidP="009276CC">
            <w:pPr>
              <w:spacing w:after="0"/>
              <w:ind w:left="113" w:right="113"/>
              <w:jc w:val="center"/>
              <w:rPr>
                <w:rFonts w:ascii="Arial Narrow" w:hAnsi="Arial Narrow"/>
                <w:color w:val="000000"/>
                <w:sz w:val="20"/>
                <w:lang w:val="en-AU" w:eastAsia="en-AU"/>
              </w:rPr>
            </w:pPr>
            <w:r w:rsidRPr="002E2EB3">
              <w:rPr>
                <w:rFonts w:ascii="Arial Narrow" w:hAnsi="Arial Narrow"/>
                <w:color w:val="000000"/>
                <w:sz w:val="20"/>
                <w:lang w:val="en-AU" w:eastAsia="en-AU"/>
              </w:rPr>
              <w:t>Mackay Whitsunday</w:t>
            </w:r>
          </w:p>
        </w:tc>
        <w:tc>
          <w:tcPr>
            <w:tcW w:w="1649" w:type="dxa"/>
            <w:shd w:val="clear" w:color="auto" w:fill="auto"/>
            <w:noWrap/>
            <w:tcMar>
              <w:left w:w="0" w:type="dxa"/>
              <w:right w:w="0" w:type="dxa"/>
            </w:tcMar>
            <w:vAlign w:val="center"/>
            <w:hideMark/>
          </w:tcPr>
          <w:p w14:paraId="05CA45A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Hayman</w:t>
            </w:r>
          </w:p>
        </w:tc>
        <w:tc>
          <w:tcPr>
            <w:tcW w:w="438" w:type="dxa"/>
            <w:shd w:val="clear" w:color="auto" w:fill="auto"/>
            <w:noWrap/>
            <w:tcMar>
              <w:left w:w="0" w:type="dxa"/>
              <w:right w:w="0" w:type="dxa"/>
            </w:tcMar>
            <w:vAlign w:val="center"/>
            <w:hideMark/>
          </w:tcPr>
          <w:p w14:paraId="3BDFF6E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1A10F6A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3.83</w:t>
            </w:r>
          </w:p>
        </w:tc>
        <w:tc>
          <w:tcPr>
            <w:tcW w:w="301" w:type="dxa"/>
            <w:shd w:val="clear" w:color="auto" w:fill="auto"/>
            <w:noWrap/>
            <w:tcMar>
              <w:left w:w="0" w:type="dxa"/>
              <w:right w:w="0" w:type="dxa"/>
            </w:tcMar>
            <w:vAlign w:val="center"/>
            <w:hideMark/>
          </w:tcPr>
          <w:p w14:paraId="17D4527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76C969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01" w:type="dxa"/>
            <w:shd w:val="clear" w:color="auto" w:fill="auto"/>
            <w:noWrap/>
            <w:tcMar>
              <w:left w:w="0" w:type="dxa"/>
              <w:right w:w="0" w:type="dxa"/>
            </w:tcMar>
            <w:vAlign w:val="center"/>
            <w:hideMark/>
          </w:tcPr>
          <w:p w14:paraId="2BDA064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62EDEE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1.90</w:t>
            </w:r>
          </w:p>
        </w:tc>
        <w:tc>
          <w:tcPr>
            <w:tcW w:w="301" w:type="dxa"/>
            <w:shd w:val="clear" w:color="auto" w:fill="auto"/>
            <w:noWrap/>
            <w:tcMar>
              <w:left w:w="0" w:type="dxa"/>
              <w:right w:w="0" w:type="dxa"/>
            </w:tcMar>
            <w:vAlign w:val="center"/>
            <w:hideMark/>
          </w:tcPr>
          <w:p w14:paraId="2F2B18D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79" w:type="dxa"/>
            <w:shd w:val="clear" w:color="auto" w:fill="auto"/>
            <w:noWrap/>
            <w:tcMar>
              <w:left w:w="0" w:type="dxa"/>
              <w:right w:w="0" w:type="dxa"/>
            </w:tcMar>
            <w:vAlign w:val="center"/>
            <w:hideMark/>
          </w:tcPr>
          <w:p w14:paraId="2364DBC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1.33</w:t>
            </w:r>
          </w:p>
        </w:tc>
        <w:tc>
          <w:tcPr>
            <w:tcW w:w="302" w:type="dxa"/>
            <w:shd w:val="clear" w:color="auto" w:fill="auto"/>
            <w:noWrap/>
            <w:tcMar>
              <w:left w:w="0" w:type="dxa"/>
              <w:right w:w="0" w:type="dxa"/>
            </w:tcMar>
            <w:vAlign w:val="center"/>
            <w:hideMark/>
          </w:tcPr>
          <w:p w14:paraId="6F503BC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0.90</w:t>
            </w:r>
          </w:p>
        </w:tc>
        <w:tc>
          <w:tcPr>
            <w:tcW w:w="302" w:type="dxa"/>
            <w:shd w:val="clear" w:color="auto" w:fill="auto"/>
            <w:noWrap/>
            <w:tcMar>
              <w:left w:w="0" w:type="dxa"/>
              <w:right w:w="0" w:type="dxa"/>
            </w:tcMar>
            <w:vAlign w:val="center"/>
            <w:hideMark/>
          </w:tcPr>
          <w:p w14:paraId="741337D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2052CDA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302" w:type="dxa"/>
            <w:shd w:val="clear" w:color="auto" w:fill="auto"/>
            <w:noWrap/>
            <w:tcMar>
              <w:left w:w="0" w:type="dxa"/>
              <w:right w:w="0" w:type="dxa"/>
            </w:tcMar>
            <w:vAlign w:val="center"/>
            <w:hideMark/>
          </w:tcPr>
          <w:p w14:paraId="23A8A50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302" w:type="dxa"/>
            <w:shd w:val="clear" w:color="auto" w:fill="auto"/>
            <w:noWrap/>
            <w:tcMar>
              <w:left w:w="0" w:type="dxa"/>
              <w:right w:w="0" w:type="dxa"/>
            </w:tcMar>
            <w:vAlign w:val="center"/>
            <w:hideMark/>
          </w:tcPr>
          <w:p w14:paraId="17D01F8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2656BFB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0.23</w:t>
            </w:r>
          </w:p>
        </w:tc>
        <w:tc>
          <w:tcPr>
            <w:tcW w:w="302" w:type="dxa"/>
            <w:shd w:val="clear" w:color="auto" w:fill="auto"/>
            <w:noWrap/>
            <w:tcMar>
              <w:left w:w="0" w:type="dxa"/>
              <w:right w:w="0" w:type="dxa"/>
            </w:tcMar>
            <w:vAlign w:val="center"/>
            <w:hideMark/>
          </w:tcPr>
          <w:p w14:paraId="6906578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358B3C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CF5BC0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0.57</w:t>
            </w:r>
          </w:p>
        </w:tc>
        <w:tc>
          <w:tcPr>
            <w:tcW w:w="302" w:type="dxa"/>
            <w:shd w:val="clear" w:color="auto" w:fill="auto"/>
            <w:noWrap/>
            <w:tcMar>
              <w:left w:w="0" w:type="dxa"/>
              <w:right w:w="0" w:type="dxa"/>
            </w:tcMar>
            <w:vAlign w:val="center"/>
            <w:hideMark/>
          </w:tcPr>
          <w:p w14:paraId="2A3C01A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2.30</w:t>
            </w:r>
          </w:p>
        </w:tc>
        <w:tc>
          <w:tcPr>
            <w:tcW w:w="302" w:type="dxa"/>
            <w:shd w:val="clear" w:color="auto" w:fill="auto"/>
            <w:noWrap/>
            <w:tcMar>
              <w:left w:w="0" w:type="dxa"/>
              <w:right w:w="0" w:type="dxa"/>
            </w:tcMar>
            <w:vAlign w:val="center"/>
            <w:hideMark/>
          </w:tcPr>
          <w:p w14:paraId="5B1785A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11.6</w:t>
            </w:r>
          </w:p>
        </w:tc>
        <w:tc>
          <w:tcPr>
            <w:tcW w:w="343" w:type="dxa"/>
            <w:shd w:val="clear" w:color="auto" w:fill="auto"/>
            <w:noWrap/>
            <w:tcMar>
              <w:left w:w="0" w:type="dxa"/>
              <w:right w:w="0" w:type="dxa"/>
            </w:tcMar>
            <w:vAlign w:val="center"/>
            <w:hideMark/>
          </w:tcPr>
          <w:p w14:paraId="306E734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0.53</w:t>
            </w:r>
          </w:p>
        </w:tc>
        <w:tc>
          <w:tcPr>
            <w:tcW w:w="302" w:type="dxa"/>
            <w:shd w:val="clear" w:color="auto" w:fill="auto"/>
            <w:noWrap/>
            <w:tcMar>
              <w:left w:w="0" w:type="dxa"/>
              <w:right w:w="0" w:type="dxa"/>
            </w:tcMar>
            <w:vAlign w:val="center"/>
            <w:hideMark/>
          </w:tcPr>
          <w:p w14:paraId="1848C24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0.83</w:t>
            </w:r>
          </w:p>
        </w:tc>
        <w:tc>
          <w:tcPr>
            <w:tcW w:w="302" w:type="dxa"/>
            <w:shd w:val="clear" w:color="auto" w:fill="auto"/>
            <w:noWrap/>
            <w:tcMar>
              <w:left w:w="0" w:type="dxa"/>
              <w:right w:w="0" w:type="dxa"/>
            </w:tcMar>
            <w:vAlign w:val="center"/>
            <w:hideMark/>
          </w:tcPr>
          <w:p w14:paraId="3A512D8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3.13</w:t>
            </w:r>
          </w:p>
        </w:tc>
        <w:tc>
          <w:tcPr>
            <w:tcW w:w="302" w:type="dxa"/>
            <w:shd w:val="clear" w:color="auto" w:fill="auto"/>
            <w:noWrap/>
            <w:tcMar>
              <w:left w:w="0" w:type="dxa"/>
              <w:right w:w="0" w:type="dxa"/>
            </w:tcMar>
            <w:vAlign w:val="center"/>
            <w:hideMark/>
          </w:tcPr>
          <w:p w14:paraId="574D505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02" w:type="dxa"/>
            <w:shd w:val="clear" w:color="auto" w:fill="auto"/>
            <w:noWrap/>
            <w:tcMar>
              <w:left w:w="0" w:type="dxa"/>
              <w:right w:w="0" w:type="dxa"/>
            </w:tcMar>
            <w:vAlign w:val="center"/>
            <w:hideMark/>
          </w:tcPr>
          <w:p w14:paraId="4C0F01F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0.73</w:t>
            </w:r>
          </w:p>
        </w:tc>
        <w:tc>
          <w:tcPr>
            <w:tcW w:w="302" w:type="dxa"/>
            <w:shd w:val="clear" w:color="auto" w:fill="auto"/>
            <w:noWrap/>
            <w:tcMar>
              <w:left w:w="0" w:type="dxa"/>
              <w:right w:w="0" w:type="dxa"/>
            </w:tcMar>
            <w:vAlign w:val="center"/>
            <w:hideMark/>
          </w:tcPr>
          <w:p w14:paraId="76CAAEE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58A4B5C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1DE4F7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302" w:type="dxa"/>
            <w:shd w:val="clear" w:color="auto" w:fill="auto"/>
            <w:noWrap/>
            <w:tcMar>
              <w:left w:w="0" w:type="dxa"/>
              <w:right w:w="0" w:type="dxa"/>
            </w:tcMar>
            <w:vAlign w:val="center"/>
            <w:hideMark/>
          </w:tcPr>
          <w:p w14:paraId="089B363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457C89D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2.13</w:t>
            </w:r>
          </w:p>
        </w:tc>
        <w:tc>
          <w:tcPr>
            <w:tcW w:w="302" w:type="dxa"/>
            <w:shd w:val="clear" w:color="auto" w:fill="auto"/>
            <w:noWrap/>
            <w:tcMar>
              <w:left w:w="0" w:type="dxa"/>
              <w:right w:w="0" w:type="dxa"/>
            </w:tcMar>
            <w:vAlign w:val="center"/>
            <w:hideMark/>
          </w:tcPr>
          <w:p w14:paraId="55C1DCF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946EF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1.80</w:t>
            </w:r>
          </w:p>
        </w:tc>
        <w:tc>
          <w:tcPr>
            <w:tcW w:w="302" w:type="dxa"/>
            <w:shd w:val="clear" w:color="auto" w:fill="auto"/>
            <w:noWrap/>
            <w:tcMar>
              <w:left w:w="0" w:type="dxa"/>
              <w:right w:w="0" w:type="dxa"/>
            </w:tcMar>
            <w:vAlign w:val="center"/>
            <w:hideMark/>
          </w:tcPr>
          <w:p w14:paraId="0158768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02" w:type="dxa"/>
            <w:shd w:val="clear" w:color="auto" w:fill="auto"/>
            <w:noWrap/>
            <w:tcMar>
              <w:left w:w="0" w:type="dxa"/>
              <w:right w:w="0" w:type="dxa"/>
            </w:tcMar>
            <w:vAlign w:val="center"/>
            <w:hideMark/>
          </w:tcPr>
          <w:p w14:paraId="39C8136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405" w:type="dxa"/>
            <w:shd w:val="clear" w:color="auto" w:fill="auto"/>
            <w:noWrap/>
            <w:tcMar>
              <w:left w:w="0" w:type="dxa"/>
              <w:right w:w="0" w:type="dxa"/>
            </w:tcMar>
            <w:vAlign w:val="center"/>
            <w:hideMark/>
          </w:tcPr>
          <w:p w14:paraId="4B9D21A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0.23</w:t>
            </w:r>
          </w:p>
        </w:tc>
        <w:tc>
          <w:tcPr>
            <w:tcW w:w="439" w:type="dxa"/>
            <w:shd w:val="clear" w:color="auto" w:fill="auto"/>
            <w:noWrap/>
            <w:tcMar>
              <w:left w:w="0" w:type="dxa"/>
              <w:right w:w="0" w:type="dxa"/>
            </w:tcMar>
            <w:vAlign w:val="center"/>
            <w:hideMark/>
          </w:tcPr>
          <w:p w14:paraId="6620AA5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r>
      <w:tr w:rsidR="00FF1B38" w:rsidRPr="002E2EB3" w14:paraId="1985D73A" w14:textId="77777777" w:rsidTr="009276CC">
        <w:trPr>
          <w:trHeight w:val="300"/>
        </w:trPr>
        <w:tc>
          <w:tcPr>
            <w:tcW w:w="545" w:type="dxa"/>
            <w:vMerge/>
            <w:tcMar>
              <w:left w:w="0" w:type="dxa"/>
              <w:right w:w="0" w:type="dxa"/>
            </w:tcMar>
            <w:vAlign w:val="center"/>
            <w:hideMark/>
          </w:tcPr>
          <w:p w14:paraId="614CEE9F" w14:textId="77777777" w:rsidR="00FF1B38" w:rsidRPr="002E2EB3" w:rsidRDefault="00FF1B38" w:rsidP="009276CC">
            <w:pPr>
              <w:spacing w:after="0"/>
              <w:rPr>
                <w:rFonts w:ascii="Arial Narrow" w:hAnsi="Arial Narrow"/>
                <w:color w:val="000000"/>
                <w:sz w:val="20"/>
                <w:lang w:val="en-AU" w:eastAsia="en-AU"/>
              </w:rPr>
            </w:pPr>
          </w:p>
        </w:tc>
        <w:tc>
          <w:tcPr>
            <w:tcW w:w="1649" w:type="dxa"/>
            <w:shd w:val="clear" w:color="auto" w:fill="auto"/>
            <w:noWrap/>
            <w:tcMar>
              <w:left w:w="0" w:type="dxa"/>
              <w:right w:w="0" w:type="dxa"/>
            </w:tcMar>
            <w:vAlign w:val="center"/>
            <w:hideMark/>
          </w:tcPr>
          <w:p w14:paraId="5F6B24A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Langford</w:t>
            </w:r>
          </w:p>
        </w:tc>
        <w:tc>
          <w:tcPr>
            <w:tcW w:w="438" w:type="dxa"/>
            <w:shd w:val="clear" w:color="auto" w:fill="auto"/>
            <w:noWrap/>
            <w:tcMar>
              <w:left w:w="0" w:type="dxa"/>
              <w:right w:w="0" w:type="dxa"/>
            </w:tcMar>
            <w:vAlign w:val="center"/>
            <w:hideMark/>
          </w:tcPr>
          <w:p w14:paraId="2C69DAC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73FBFD4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2.67</w:t>
            </w:r>
          </w:p>
        </w:tc>
        <w:tc>
          <w:tcPr>
            <w:tcW w:w="301" w:type="dxa"/>
            <w:shd w:val="clear" w:color="auto" w:fill="auto"/>
            <w:noWrap/>
            <w:tcMar>
              <w:left w:w="0" w:type="dxa"/>
              <w:right w:w="0" w:type="dxa"/>
            </w:tcMar>
            <w:vAlign w:val="center"/>
            <w:hideMark/>
          </w:tcPr>
          <w:p w14:paraId="252FA07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F2B1CB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3FA6B0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301" w:type="dxa"/>
            <w:shd w:val="clear" w:color="auto" w:fill="auto"/>
            <w:noWrap/>
            <w:tcMar>
              <w:left w:w="0" w:type="dxa"/>
              <w:right w:w="0" w:type="dxa"/>
            </w:tcMar>
            <w:vAlign w:val="center"/>
            <w:hideMark/>
          </w:tcPr>
          <w:p w14:paraId="58E7F83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0.80</w:t>
            </w:r>
          </w:p>
        </w:tc>
        <w:tc>
          <w:tcPr>
            <w:tcW w:w="301" w:type="dxa"/>
            <w:shd w:val="clear" w:color="auto" w:fill="auto"/>
            <w:noWrap/>
            <w:tcMar>
              <w:left w:w="0" w:type="dxa"/>
              <w:right w:w="0" w:type="dxa"/>
            </w:tcMar>
            <w:vAlign w:val="center"/>
            <w:hideMark/>
          </w:tcPr>
          <w:p w14:paraId="562AB45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3F56582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1.50</w:t>
            </w:r>
          </w:p>
        </w:tc>
        <w:tc>
          <w:tcPr>
            <w:tcW w:w="302" w:type="dxa"/>
            <w:shd w:val="clear" w:color="auto" w:fill="auto"/>
            <w:noWrap/>
            <w:tcMar>
              <w:left w:w="0" w:type="dxa"/>
              <w:right w:w="0" w:type="dxa"/>
            </w:tcMar>
            <w:vAlign w:val="center"/>
            <w:hideMark/>
          </w:tcPr>
          <w:p w14:paraId="6E81DB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1.30</w:t>
            </w:r>
          </w:p>
        </w:tc>
        <w:tc>
          <w:tcPr>
            <w:tcW w:w="302" w:type="dxa"/>
            <w:shd w:val="clear" w:color="auto" w:fill="auto"/>
            <w:noWrap/>
            <w:tcMar>
              <w:left w:w="0" w:type="dxa"/>
              <w:right w:w="0" w:type="dxa"/>
            </w:tcMar>
            <w:vAlign w:val="center"/>
            <w:hideMark/>
          </w:tcPr>
          <w:p w14:paraId="06C8716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0.43</w:t>
            </w:r>
          </w:p>
        </w:tc>
        <w:tc>
          <w:tcPr>
            <w:tcW w:w="302" w:type="dxa"/>
            <w:shd w:val="clear" w:color="auto" w:fill="auto"/>
            <w:noWrap/>
            <w:tcMar>
              <w:left w:w="0" w:type="dxa"/>
              <w:right w:w="0" w:type="dxa"/>
            </w:tcMar>
            <w:vAlign w:val="center"/>
            <w:hideMark/>
          </w:tcPr>
          <w:p w14:paraId="52B312F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EBA7C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D908EE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2DC624C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6.10</w:t>
            </w:r>
          </w:p>
        </w:tc>
        <w:tc>
          <w:tcPr>
            <w:tcW w:w="302" w:type="dxa"/>
            <w:shd w:val="clear" w:color="auto" w:fill="auto"/>
            <w:noWrap/>
            <w:tcMar>
              <w:left w:w="0" w:type="dxa"/>
              <w:right w:w="0" w:type="dxa"/>
            </w:tcMar>
            <w:vAlign w:val="center"/>
            <w:hideMark/>
          </w:tcPr>
          <w:p w14:paraId="257ECF6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0.23</w:t>
            </w:r>
          </w:p>
        </w:tc>
        <w:tc>
          <w:tcPr>
            <w:tcW w:w="302" w:type="dxa"/>
            <w:shd w:val="clear" w:color="auto" w:fill="auto"/>
            <w:noWrap/>
            <w:tcMar>
              <w:left w:w="0" w:type="dxa"/>
              <w:right w:w="0" w:type="dxa"/>
            </w:tcMar>
            <w:vAlign w:val="center"/>
            <w:hideMark/>
          </w:tcPr>
          <w:p w14:paraId="0CE655D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B78DDC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0.70</w:t>
            </w:r>
          </w:p>
        </w:tc>
        <w:tc>
          <w:tcPr>
            <w:tcW w:w="302" w:type="dxa"/>
            <w:shd w:val="clear" w:color="auto" w:fill="auto"/>
            <w:noWrap/>
            <w:tcMar>
              <w:left w:w="0" w:type="dxa"/>
              <w:right w:w="0" w:type="dxa"/>
            </w:tcMar>
            <w:vAlign w:val="center"/>
            <w:hideMark/>
          </w:tcPr>
          <w:p w14:paraId="66E0AA4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02" w:type="dxa"/>
            <w:shd w:val="clear" w:color="auto" w:fill="auto"/>
            <w:noWrap/>
            <w:tcMar>
              <w:left w:w="0" w:type="dxa"/>
              <w:right w:w="0" w:type="dxa"/>
            </w:tcMar>
            <w:vAlign w:val="center"/>
            <w:hideMark/>
          </w:tcPr>
          <w:p w14:paraId="53F14C3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343" w:type="dxa"/>
            <w:shd w:val="clear" w:color="auto" w:fill="auto"/>
            <w:noWrap/>
            <w:tcMar>
              <w:left w:w="0" w:type="dxa"/>
              <w:right w:w="0" w:type="dxa"/>
            </w:tcMar>
            <w:vAlign w:val="center"/>
            <w:hideMark/>
          </w:tcPr>
          <w:p w14:paraId="6B05E5C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0.07</w:t>
            </w:r>
          </w:p>
        </w:tc>
        <w:tc>
          <w:tcPr>
            <w:tcW w:w="302" w:type="dxa"/>
            <w:shd w:val="clear" w:color="auto" w:fill="auto"/>
            <w:noWrap/>
            <w:tcMar>
              <w:left w:w="0" w:type="dxa"/>
              <w:right w:w="0" w:type="dxa"/>
            </w:tcMar>
            <w:vAlign w:val="center"/>
            <w:hideMark/>
          </w:tcPr>
          <w:p w14:paraId="5C4D9AB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02" w:type="dxa"/>
            <w:shd w:val="clear" w:color="auto" w:fill="auto"/>
            <w:noWrap/>
            <w:tcMar>
              <w:left w:w="0" w:type="dxa"/>
              <w:right w:w="0" w:type="dxa"/>
            </w:tcMar>
            <w:vAlign w:val="center"/>
            <w:hideMark/>
          </w:tcPr>
          <w:p w14:paraId="2834ABE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302" w:type="dxa"/>
            <w:shd w:val="clear" w:color="auto" w:fill="auto"/>
            <w:noWrap/>
            <w:tcMar>
              <w:left w:w="0" w:type="dxa"/>
              <w:right w:w="0" w:type="dxa"/>
            </w:tcMar>
            <w:vAlign w:val="center"/>
            <w:hideMark/>
          </w:tcPr>
          <w:p w14:paraId="07B3A5D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3.00</w:t>
            </w:r>
          </w:p>
        </w:tc>
        <w:tc>
          <w:tcPr>
            <w:tcW w:w="302" w:type="dxa"/>
            <w:shd w:val="clear" w:color="auto" w:fill="auto"/>
            <w:noWrap/>
            <w:tcMar>
              <w:left w:w="0" w:type="dxa"/>
              <w:right w:w="0" w:type="dxa"/>
            </w:tcMar>
            <w:vAlign w:val="center"/>
            <w:hideMark/>
          </w:tcPr>
          <w:p w14:paraId="11ED28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0.43</w:t>
            </w:r>
          </w:p>
        </w:tc>
        <w:tc>
          <w:tcPr>
            <w:tcW w:w="302" w:type="dxa"/>
            <w:shd w:val="clear" w:color="auto" w:fill="auto"/>
            <w:noWrap/>
            <w:tcMar>
              <w:left w:w="0" w:type="dxa"/>
              <w:right w:w="0" w:type="dxa"/>
            </w:tcMar>
            <w:vAlign w:val="center"/>
            <w:hideMark/>
          </w:tcPr>
          <w:p w14:paraId="522A493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302" w:type="dxa"/>
            <w:shd w:val="clear" w:color="auto" w:fill="auto"/>
            <w:noWrap/>
            <w:tcMar>
              <w:left w:w="0" w:type="dxa"/>
              <w:right w:w="0" w:type="dxa"/>
            </w:tcMar>
            <w:vAlign w:val="center"/>
            <w:hideMark/>
          </w:tcPr>
          <w:p w14:paraId="3B47B62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9238A4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37B86C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69" w:type="dxa"/>
            <w:shd w:val="clear" w:color="auto" w:fill="auto"/>
            <w:noWrap/>
            <w:tcMar>
              <w:left w:w="0" w:type="dxa"/>
              <w:right w:w="0" w:type="dxa"/>
            </w:tcMar>
            <w:vAlign w:val="center"/>
            <w:hideMark/>
          </w:tcPr>
          <w:p w14:paraId="64EF403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4.13</w:t>
            </w:r>
          </w:p>
        </w:tc>
        <w:tc>
          <w:tcPr>
            <w:tcW w:w="302" w:type="dxa"/>
            <w:shd w:val="clear" w:color="auto" w:fill="auto"/>
            <w:noWrap/>
            <w:tcMar>
              <w:left w:w="0" w:type="dxa"/>
              <w:right w:w="0" w:type="dxa"/>
            </w:tcMar>
            <w:vAlign w:val="center"/>
            <w:hideMark/>
          </w:tcPr>
          <w:p w14:paraId="49802F0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598718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302" w:type="dxa"/>
            <w:shd w:val="clear" w:color="auto" w:fill="auto"/>
            <w:noWrap/>
            <w:tcMar>
              <w:left w:w="0" w:type="dxa"/>
              <w:right w:w="0" w:type="dxa"/>
            </w:tcMar>
            <w:vAlign w:val="center"/>
            <w:hideMark/>
          </w:tcPr>
          <w:p w14:paraId="544880B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302" w:type="dxa"/>
            <w:shd w:val="clear" w:color="auto" w:fill="auto"/>
            <w:noWrap/>
            <w:tcMar>
              <w:left w:w="0" w:type="dxa"/>
              <w:right w:w="0" w:type="dxa"/>
            </w:tcMar>
            <w:vAlign w:val="center"/>
            <w:hideMark/>
          </w:tcPr>
          <w:p w14:paraId="7C7FC9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4D50AAE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439" w:type="dxa"/>
            <w:shd w:val="clear" w:color="auto" w:fill="auto"/>
            <w:noWrap/>
            <w:tcMar>
              <w:left w:w="0" w:type="dxa"/>
              <w:right w:w="0" w:type="dxa"/>
            </w:tcMar>
            <w:vAlign w:val="center"/>
            <w:hideMark/>
          </w:tcPr>
          <w:p w14:paraId="2AB915C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1.20</w:t>
            </w:r>
          </w:p>
        </w:tc>
      </w:tr>
      <w:tr w:rsidR="00FF1B38" w:rsidRPr="002E2EB3" w14:paraId="64F294CB" w14:textId="77777777" w:rsidTr="009276CC">
        <w:trPr>
          <w:trHeight w:val="300"/>
        </w:trPr>
        <w:tc>
          <w:tcPr>
            <w:tcW w:w="545" w:type="dxa"/>
            <w:vMerge/>
            <w:tcMar>
              <w:left w:w="0" w:type="dxa"/>
              <w:right w:w="0" w:type="dxa"/>
            </w:tcMar>
            <w:vAlign w:val="center"/>
            <w:hideMark/>
          </w:tcPr>
          <w:p w14:paraId="3E9E94AD" w14:textId="77777777" w:rsidR="00FF1B38" w:rsidRPr="002E2EB3" w:rsidRDefault="00FF1B38" w:rsidP="009276CC">
            <w:pPr>
              <w:spacing w:after="0"/>
              <w:rPr>
                <w:rFonts w:ascii="Arial Narrow" w:hAnsi="Arial Narrow"/>
                <w:color w:val="000000"/>
                <w:sz w:val="20"/>
                <w:lang w:val="en-AU" w:eastAsia="en-AU"/>
              </w:rPr>
            </w:pPr>
          </w:p>
        </w:tc>
        <w:tc>
          <w:tcPr>
            <w:tcW w:w="1649" w:type="dxa"/>
            <w:shd w:val="clear" w:color="auto" w:fill="auto"/>
            <w:noWrap/>
            <w:tcMar>
              <w:left w:w="0" w:type="dxa"/>
              <w:right w:w="0" w:type="dxa"/>
            </w:tcMar>
            <w:vAlign w:val="center"/>
            <w:hideMark/>
          </w:tcPr>
          <w:p w14:paraId="64BA8B0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Border</w:t>
            </w:r>
          </w:p>
        </w:tc>
        <w:tc>
          <w:tcPr>
            <w:tcW w:w="438" w:type="dxa"/>
            <w:shd w:val="clear" w:color="auto" w:fill="auto"/>
            <w:noWrap/>
            <w:tcMar>
              <w:left w:w="0" w:type="dxa"/>
              <w:right w:w="0" w:type="dxa"/>
            </w:tcMar>
            <w:vAlign w:val="center"/>
            <w:hideMark/>
          </w:tcPr>
          <w:p w14:paraId="6375B2F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355F728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2.97</w:t>
            </w:r>
          </w:p>
        </w:tc>
        <w:tc>
          <w:tcPr>
            <w:tcW w:w="301" w:type="dxa"/>
            <w:shd w:val="clear" w:color="auto" w:fill="auto"/>
            <w:noWrap/>
            <w:tcMar>
              <w:left w:w="0" w:type="dxa"/>
              <w:right w:w="0" w:type="dxa"/>
            </w:tcMar>
            <w:vAlign w:val="center"/>
            <w:hideMark/>
          </w:tcPr>
          <w:p w14:paraId="29B9020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9908D3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986E87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0.17</w:t>
            </w:r>
          </w:p>
        </w:tc>
        <w:tc>
          <w:tcPr>
            <w:tcW w:w="301" w:type="dxa"/>
            <w:shd w:val="clear" w:color="auto" w:fill="auto"/>
            <w:noWrap/>
            <w:tcMar>
              <w:left w:w="0" w:type="dxa"/>
              <w:right w:w="0" w:type="dxa"/>
            </w:tcMar>
            <w:vAlign w:val="center"/>
            <w:hideMark/>
          </w:tcPr>
          <w:p w14:paraId="4791543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0.43</w:t>
            </w:r>
          </w:p>
        </w:tc>
        <w:tc>
          <w:tcPr>
            <w:tcW w:w="301" w:type="dxa"/>
            <w:shd w:val="clear" w:color="auto" w:fill="auto"/>
            <w:noWrap/>
            <w:tcMar>
              <w:left w:w="0" w:type="dxa"/>
              <w:right w:w="0" w:type="dxa"/>
            </w:tcMar>
            <w:vAlign w:val="center"/>
            <w:hideMark/>
          </w:tcPr>
          <w:p w14:paraId="2D583E9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0.20</w:t>
            </w:r>
          </w:p>
        </w:tc>
        <w:tc>
          <w:tcPr>
            <w:tcW w:w="379" w:type="dxa"/>
            <w:shd w:val="clear" w:color="auto" w:fill="auto"/>
            <w:noWrap/>
            <w:tcMar>
              <w:left w:w="0" w:type="dxa"/>
              <w:right w:w="0" w:type="dxa"/>
            </w:tcMar>
            <w:vAlign w:val="center"/>
            <w:hideMark/>
          </w:tcPr>
          <w:p w14:paraId="2D66B9D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0.33</w:t>
            </w:r>
          </w:p>
        </w:tc>
        <w:tc>
          <w:tcPr>
            <w:tcW w:w="302" w:type="dxa"/>
            <w:shd w:val="clear" w:color="auto" w:fill="auto"/>
            <w:noWrap/>
            <w:tcMar>
              <w:left w:w="0" w:type="dxa"/>
              <w:right w:w="0" w:type="dxa"/>
            </w:tcMar>
            <w:vAlign w:val="center"/>
            <w:hideMark/>
          </w:tcPr>
          <w:p w14:paraId="58F45EC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1.20</w:t>
            </w:r>
          </w:p>
        </w:tc>
        <w:tc>
          <w:tcPr>
            <w:tcW w:w="302" w:type="dxa"/>
            <w:shd w:val="clear" w:color="auto" w:fill="auto"/>
            <w:noWrap/>
            <w:tcMar>
              <w:left w:w="0" w:type="dxa"/>
              <w:right w:w="0" w:type="dxa"/>
            </w:tcMar>
            <w:vAlign w:val="center"/>
            <w:hideMark/>
          </w:tcPr>
          <w:p w14:paraId="31E49A7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0.37</w:t>
            </w:r>
          </w:p>
        </w:tc>
        <w:tc>
          <w:tcPr>
            <w:tcW w:w="302" w:type="dxa"/>
            <w:shd w:val="clear" w:color="auto" w:fill="auto"/>
            <w:noWrap/>
            <w:tcMar>
              <w:left w:w="0" w:type="dxa"/>
              <w:right w:w="0" w:type="dxa"/>
            </w:tcMar>
            <w:vAlign w:val="center"/>
            <w:hideMark/>
          </w:tcPr>
          <w:p w14:paraId="2A06741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302" w:type="dxa"/>
            <w:shd w:val="clear" w:color="auto" w:fill="auto"/>
            <w:noWrap/>
            <w:tcMar>
              <w:left w:w="0" w:type="dxa"/>
              <w:right w:w="0" w:type="dxa"/>
            </w:tcMar>
            <w:vAlign w:val="center"/>
            <w:hideMark/>
          </w:tcPr>
          <w:p w14:paraId="54A14EC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0.10</w:t>
            </w:r>
          </w:p>
        </w:tc>
        <w:tc>
          <w:tcPr>
            <w:tcW w:w="302" w:type="dxa"/>
            <w:shd w:val="clear" w:color="auto" w:fill="auto"/>
            <w:noWrap/>
            <w:tcMar>
              <w:left w:w="0" w:type="dxa"/>
              <w:right w:w="0" w:type="dxa"/>
            </w:tcMar>
            <w:vAlign w:val="center"/>
            <w:hideMark/>
          </w:tcPr>
          <w:p w14:paraId="4B591F9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0.40</w:t>
            </w:r>
          </w:p>
        </w:tc>
        <w:tc>
          <w:tcPr>
            <w:tcW w:w="302" w:type="dxa"/>
            <w:shd w:val="clear" w:color="auto" w:fill="auto"/>
            <w:noWrap/>
            <w:tcMar>
              <w:left w:w="0" w:type="dxa"/>
              <w:right w:w="0" w:type="dxa"/>
            </w:tcMar>
            <w:vAlign w:val="center"/>
            <w:hideMark/>
          </w:tcPr>
          <w:p w14:paraId="351E774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11.5</w:t>
            </w:r>
          </w:p>
        </w:tc>
        <w:tc>
          <w:tcPr>
            <w:tcW w:w="302" w:type="dxa"/>
            <w:shd w:val="clear" w:color="auto" w:fill="auto"/>
            <w:noWrap/>
            <w:tcMar>
              <w:left w:w="0" w:type="dxa"/>
              <w:right w:w="0" w:type="dxa"/>
            </w:tcMar>
            <w:vAlign w:val="center"/>
            <w:hideMark/>
          </w:tcPr>
          <w:p w14:paraId="6CD346F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0.60</w:t>
            </w:r>
          </w:p>
        </w:tc>
        <w:tc>
          <w:tcPr>
            <w:tcW w:w="302" w:type="dxa"/>
            <w:shd w:val="clear" w:color="auto" w:fill="auto"/>
            <w:noWrap/>
            <w:tcMar>
              <w:left w:w="0" w:type="dxa"/>
              <w:right w:w="0" w:type="dxa"/>
            </w:tcMar>
            <w:vAlign w:val="center"/>
            <w:hideMark/>
          </w:tcPr>
          <w:p w14:paraId="00577AC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70F067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1.23</w:t>
            </w:r>
          </w:p>
        </w:tc>
        <w:tc>
          <w:tcPr>
            <w:tcW w:w="302" w:type="dxa"/>
            <w:shd w:val="clear" w:color="auto" w:fill="auto"/>
            <w:noWrap/>
            <w:tcMar>
              <w:left w:w="0" w:type="dxa"/>
              <w:right w:w="0" w:type="dxa"/>
            </w:tcMar>
            <w:vAlign w:val="center"/>
            <w:hideMark/>
          </w:tcPr>
          <w:p w14:paraId="567867C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0.30</w:t>
            </w:r>
          </w:p>
        </w:tc>
        <w:tc>
          <w:tcPr>
            <w:tcW w:w="302" w:type="dxa"/>
            <w:shd w:val="clear" w:color="auto" w:fill="auto"/>
            <w:noWrap/>
            <w:tcMar>
              <w:left w:w="0" w:type="dxa"/>
              <w:right w:w="0" w:type="dxa"/>
            </w:tcMar>
            <w:vAlign w:val="center"/>
            <w:hideMark/>
          </w:tcPr>
          <w:p w14:paraId="64318C3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1.17</w:t>
            </w:r>
          </w:p>
        </w:tc>
        <w:tc>
          <w:tcPr>
            <w:tcW w:w="343" w:type="dxa"/>
            <w:shd w:val="clear" w:color="auto" w:fill="auto"/>
            <w:noWrap/>
            <w:tcMar>
              <w:left w:w="0" w:type="dxa"/>
              <w:right w:w="0" w:type="dxa"/>
            </w:tcMar>
            <w:vAlign w:val="center"/>
            <w:hideMark/>
          </w:tcPr>
          <w:p w14:paraId="5BDCF4C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0.33</w:t>
            </w:r>
          </w:p>
        </w:tc>
        <w:tc>
          <w:tcPr>
            <w:tcW w:w="302" w:type="dxa"/>
            <w:shd w:val="clear" w:color="auto" w:fill="auto"/>
            <w:noWrap/>
            <w:tcMar>
              <w:left w:w="0" w:type="dxa"/>
              <w:right w:w="0" w:type="dxa"/>
            </w:tcMar>
            <w:vAlign w:val="center"/>
            <w:hideMark/>
          </w:tcPr>
          <w:p w14:paraId="46A7EF4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0.67</w:t>
            </w:r>
          </w:p>
        </w:tc>
        <w:tc>
          <w:tcPr>
            <w:tcW w:w="302" w:type="dxa"/>
            <w:shd w:val="clear" w:color="auto" w:fill="auto"/>
            <w:noWrap/>
            <w:tcMar>
              <w:left w:w="0" w:type="dxa"/>
              <w:right w:w="0" w:type="dxa"/>
            </w:tcMar>
            <w:vAlign w:val="center"/>
            <w:hideMark/>
          </w:tcPr>
          <w:p w14:paraId="339367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38F0215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0.47</w:t>
            </w:r>
          </w:p>
        </w:tc>
        <w:tc>
          <w:tcPr>
            <w:tcW w:w="302" w:type="dxa"/>
            <w:shd w:val="clear" w:color="auto" w:fill="auto"/>
            <w:noWrap/>
            <w:tcMar>
              <w:left w:w="0" w:type="dxa"/>
              <w:right w:w="0" w:type="dxa"/>
            </w:tcMar>
            <w:vAlign w:val="center"/>
            <w:hideMark/>
          </w:tcPr>
          <w:p w14:paraId="6F3BCAF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1.07</w:t>
            </w:r>
          </w:p>
        </w:tc>
        <w:tc>
          <w:tcPr>
            <w:tcW w:w="302" w:type="dxa"/>
            <w:shd w:val="clear" w:color="auto" w:fill="auto"/>
            <w:noWrap/>
            <w:tcMar>
              <w:left w:w="0" w:type="dxa"/>
              <w:right w:w="0" w:type="dxa"/>
            </w:tcMar>
            <w:vAlign w:val="center"/>
            <w:hideMark/>
          </w:tcPr>
          <w:p w14:paraId="63E54C3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0.57</w:t>
            </w:r>
          </w:p>
        </w:tc>
        <w:tc>
          <w:tcPr>
            <w:tcW w:w="302" w:type="dxa"/>
            <w:shd w:val="clear" w:color="auto" w:fill="auto"/>
            <w:noWrap/>
            <w:tcMar>
              <w:left w:w="0" w:type="dxa"/>
              <w:right w:w="0" w:type="dxa"/>
            </w:tcMar>
            <w:vAlign w:val="center"/>
            <w:hideMark/>
          </w:tcPr>
          <w:p w14:paraId="6EA939D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D1CA38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0.23</w:t>
            </w:r>
          </w:p>
        </w:tc>
        <w:tc>
          <w:tcPr>
            <w:tcW w:w="302" w:type="dxa"/>
            <w:shd w:val="clear" w:color="auto" w:fill="auto"/>
            <w:noWrap/>
            <w:tcMar>
              <w:left w:w="0" w:type="dxa"/>
              <w:right w:w="0" w:type="dxa"/>
            </w:tcMar>
            <w:vAlign w:val="center"/>
            <w:hideMark/>
          </w:tcPr>
          <w:p w14:paraId="7EB960E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28C7846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5.43</w:t>
            </w:r>
          </w:p>
        </w:tc>
        <w:tc>
          <w:tcPr>
            <w:tcW w:w="302" w:type="dxa"/>
            <w:shd w:val="clear" w:color="auto" w:fill="auto"/>
            <w:noWrap/>
            <w:tcMar>
              <w:left w:w="0" w:type="dxa"/>
              <w:right w:w="0" w:type="dxa"/>
            </w:tcMar>
            <w:vAlign w:val="center"/>
            <w:hideMark/>
          </w:tcPr>
          <w:p w14:paraId="092FB22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5D214E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0.97</w:t>
            </w:r>
          </w:p>
        </w:tc>
        <w:tc>
          <w:tcPr>
            <w:tcW w:w="302" w:type="dxa"/>
            <w:shd w:val="clear" w:color="auto" w:fill="auto"/>
            <w:noWrap/>
            <w:tcMar>
              <w:left w:w="0" w:type="dxa"/>
              <w:right w:w="0" w:type="dxa"/>
            </w:tcMar>
            <w:vAlign w:val="center"/>
            <w:hideMark/>
          </w:tcPr>
          <w:p w14:paraId="6778A52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0.33</w:t>
            </w:r>
          </w:p>
        </w:tc>
        <w:tc>
          <w:tcPr>
            <w:tcW w:w="302" w:type="dxa"/>
            <w:shd w:val="clear" w:color="auto" w:fill="auto"/>
            <w:noWrap/>
            <w:tcMar>
              <w:left w:w="0" w:type="dxa"/>
              <w:right w:w="0" w:type="dxa"/>
            </w:tcMar>
            <w:vAlign w:val="center"/>
            <w:hideMark/>
          </w:tcPr>
          <w:p w14:paraId="1A63BA3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0.03</w:t>
            </w:r>
          </w:p>
        </w:tc>
        <w:tc>
          <w:tcPr>
            <w:tcW w:w="405" w:type="dxa"/>
            <w:shd w:val="clear" w:color="auto" w:fill="auto"/>
            <w:noWrap/>
            <w:tcMar>
              <w:left w:w="0" w:type="dxa"/>
              <w:right w:w="0" w:type="dxa"/>
            </w:tcMar>
            <w:vAlign w:val="center"/>
            <w:hideMark/>
          </w:tcPr>
          <w:p w14:paraId="7EEB473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0.27</w:t>
            </w:r>
          </w:p>
        </w:tc>
        <w:tc>
          <w:tcPr>
            <w:tcW w:w="439" w:type="dxa"/>
            <w:shd w:val="clear" w:color="auto" w:fill="auto"/>
            <w:noWrap/>
            <w:tcMar>
              <w:left w:w="0" w:type="dxa"/>
              <w:right w:w="0" w:type="dxa"/>
            </w:tcMar>
            <w:vAlign w:val="center"/>
            <w:hideMark/>
          </w:tcPr>
          <w:p w14:paraId="2317D9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r>
      <w:tr w:rsidR="00FF1B38" w:rsidRPr="002E2EB3" w14:paraId="58525B26" w14:textId="77777777" w:rsidTr="009276CC">
        <w:trPr>
          <w:trHeight w:val="300"/>
        </w:trPr>
        <w:tc>
          <w:tcPr>
            <w:tcW w:w="545" w:type="dxa"/>
            <w:vMerge/>
            <w:tcMar>
              <w:left w:w="0" w:type="dxa"/>
              <w:right w:w="0" w:type="dxa"/>
            </w:tcMar>
            <w:vAlign w:val="center"/>
            <w:hideMark/>
          </w:tcPr>
          <w:p w14:paraId="4943119A"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2D072354"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Hook</w:t>
            </w:r>
          </w:p>
        </w:tc>
        <w:tc>
          <w:tcPr>
            <w:tcW w:w="438" w:type="dxa"/>
            <w:shd w:val="clear" w:color="auto" w:fill="auto"/>
            <w:noWrap/>
            <w:tcMar>
              <w:left w:w="0" w:type="dxa"/>
              <w:right w:w="0" w:type="dxa"/>
            </w:tcMar>
            <w:vAlign w:val="center"/>
            <w:hideMark/>
          </w:tcPr>
          <w:p w14:paraId="05E313F4"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738121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2.69</w:t>
            </w:r>
          </w:p>
        </w:tc>
        <w:tc>
          <w:tcPr>
            <w:tcW w:w="301" w:type="dxa"/>
            <w:shd w:val="clear" w:color="auto" w:fill="auto"/>
            <w:noWrap/>
            <w:tcMar>
              <w:left w:w="0" w:type="dxa"/>
              <w:right w:w="0" w:type="dxa"/>
            </w:tcMar>
            <w:vAlign w:val="center"/>
            <w:hideMark/>
          </w:tcPr>
          <w:p w14:paraId="3BE480A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827F40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FC8E82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97F5B4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301" w:type="dxa"/>
            <w:shd w:val="clear" w:color="auto" w:fill="auto"/>
            <w:noWrap/>
            <w:tcMar>
              <w:left w:w="0" w:type="dxa"/>
              <w:right w:w="0" w:type="dxa"/>
            </w:tcMar>
            <w:vAlign w:val="center"/>
            <w:hideMark/>
          </w:tcPr>
          <w:p w14:paraId="45DD088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4B9D38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698E54D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1459354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1.63</w:t>
            </w:r>
          </w:p>
        </w:tc>
        <w:tc>
          <w:tcPr>
            <w:tcW w:w="302" w:type="dxa"/>
            <w:shd w:val="clear" w:color="auto" w:fill="auto"/>
            <w:noWrap/>
            <w:tcMar>
              <w:left w:w="0" w:type="dxa"/>
              <w:right w:w="0" w:type="dxa"/>
            </w:tcMar>
            <w:vAlign w:val="center"/>
            <w:hideMark/>
          </w:tcPr>
          <w:p w14:paraId="3D5E1D6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E9B5AE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8FC13C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498ED54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079858B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A9105A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2891C97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BEA4A9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663B9E4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2.32</w:t>
            </w:r>
          </w:p>
        </w:tc>
        <w:tc>
          <w:tcPr>
            <w:tcW w:w="343" w:type="dxa"/>
            <w:shd w:val="clear" w:color="auto" w:fill="auto"/>
            <w:noWrap/>
            <w:tcMar>
              <w:left w:w="0" w:type="dxa"/>
              <w:right w:w="0" w:type="dxa"/>
            </w:tcMar>
            <w:vAlign w:val="center"/>
            <w:hideMark/>
          </w:tcPr>
          <w:p w14:paraId="1834D31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D93723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5C90DBA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0.57</w:t>
            </w:r>
          </w:p>
        </w:tc>
        <w:tc>
          <w:tcPr>
            <w:tcW w:w="302" w:type="dxa"/>
            <w:shd w:val="clear" w:color="auto" w:fill="auto"/>
            <w:noWrap/>
            <w:tcMar>
              <w:left w:w="0" w:type="dxa"/>
              <w:right w:w="0" w:type="dxa"/>
            </w:tcMar>
            <w:vAlign w:val="center"/>
            <w:hideMark/>
          </w:tcPr>
          <w:p w14:paraId="3C4685C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888134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757F2F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2410D0D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4296DA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46152F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14B80A9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5.08</w:t>
            </w:r>
          </w:p>
        </w:tc>
        <w:tc>
          <w:tcPr>
            <w:tcW w:w="302" w:type="dxa"/>
            <w:shd w:val="clear" w:color="auto" w:fill="auto"/>
            <w:noWrap/>
            <w:tcMar>
              <w:left w:w="0" w:type="dxa"/>
              <w:right w:w="0" w:type="dxa"/>
            </w:tcMar>
            <w:vAlign w:val="center"/>
            <w:hideMark/>
          </w:tcPr>
          <w:p w14:paraId="737B4CA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C38579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88438C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1.06</w:t>
            </w:r>
          </w:p>
        </w:tc>
        <w:tc>
          <w:tcPr>
            <w:tcW w:w="302" w:type="dxa"/>
            <w:shd w:val="clear" w:color="auto" w:fill="auto"/>
            <w:noWrap/>
            <w:tcMar>
              <w:left w:w="0" w:type="dxa"/>
              <w:right w:w="0" w:type="dxa"/>
            </w:tcMar>
            <w:vAlign w:val="center"/>
            <w:hideMark/>
          </w:tcPr>
          <w:p w14:paraId="03841C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7E499A1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1.56</w:t>
            </w:r>
          </w:p>
        </w:tc>
        <w:tc>
          <w:tcPr>
            <w:tcW w:w="439" w:type="dxa"/>
            <w:shd w:val="clear" w:color="auto" w:fill="auto"/>
            <w:noWrap/>
            <w:tcMar>
              <w:left w:w="0" w:type="dxa"/>
              <w:right w:w="0" w:type="dxa"/>
            </w:tcMar>
            <w:vAlign w:val="center"/>
            <w:hideMark/>
          </w:tcPr>
          <w:p w14:paraId="68A9E20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r>
      <w:tr w:rsidR="00FF1B38" w:rsidRPr="002E2EB3" w14:paraId="17EB6A77" w14:textId="77777777" w:rsidTr="009276CC">
        <w:trPr>
          <w:trHeight w:val="300"/>
        </w:trPr>
        <w:tc>
          <w:tcPr>
            <w:tcW w:w="545" w:type="dxa"/>
            <w:vMerge/>
            <w:tcMar>
              <w:left w:w="0" w:type="dxa"/>
              <w:right w:w="0" w:type="dxa"/>
            </w:tcMar>
            <w:vAlign w:val="center"/>
            <w:hideMark/>
          </w:tcPr>
          <w:p w14:paraId="6A7FAAC0"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3EC681CF"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606EB7E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1292846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2.56</w:t>
            </w:r>
          </w:p>
        </w:tc>
        <w:tc>
          <w:tcPr>
            <w:tcW w:w="301" w:type="dxa"/>
            <w:shd w:val="clear" w:color="auto" w:fill="auto"/>
            <w:noWrap/>
            <w:tcMar>
              <w:left w:w="0" w:type="dxa"/>
              <w:right w:w="0" w:type="dxa"/>
            </w:tcMar>
            <w:vAlign w:val="center"/>
            <w:hideMark/>
          </w:tcPr>
          <w:p w14:paraId="19EED2B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A177CA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215939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1" w:type="dxa"/>
            <w:shd w:val="clear" w:color="auto" w:fill="auto"/>
            <w:noWrap/>
            <w:tcMar>
              <w:left w:w="0" w:type="dxa"/>
              <w:right w:w="0" w:type="dxa"/>
            </w:tcMar>
            <w:vAlign w:val="center"/>
            <w:hideMark/>
          </w:tcPr>
          <w:p w14:paraId="40CB026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1" w:type="dxa"/>
            <w:shd w:val="clear" w:color="auto" w:fill="auto"/>
            <w:noWrap/>
            <w:tcMar>
              <w:left w:w="0" w:type="dxa"/>
              <w:right w:w="0" w:type="dxa"/>
            </w:tcMar>
            <w:vAlign w:val="center"/>
            <w:hideMark/>
          </w:tcPr>
          <w:p w14:paraId="47283CC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6DB1695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4A2281B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1.31</w:t>
            </w:r>
          </w:p>
        </w:tc>
        <w:tc>
          <w:tcPr>
            <w:tcW w:w="302" w:type="dxa"/>
            <w:shd w:val="clear" w:color="auto" w:fill="auto"/>
            <w:noWrap/>
            <w:tcMar>
              <w:left w:w="0" w:type="dxa"/>
              <w:right w:w="0" w:type="dxa"/>
            </w:tcMar>
            <w:vAlign w:val="center"/>
            <w:hideMark/>
          </w:tcPr>
          <w:p w14:paraId="28D777B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6D1780D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9B6932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2C37C09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71E44C0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3.56</w:t>
            </w:r>
          </w:p>
        </w:tc>
        <w:tc>
          <w:tcPr>
            <w:tcW w:w="302" w:type="dxa"/>
            <w:shd w:val="clear" w:color="auto" w:fill="auto"/>
            <w:noWrap/>
            <w:tcMar>
              <w:left w:w="0" w:type="dxa"/>
              <w:right w:w="0" w:type="dxa"/>
            </w:tcMar>
            <w:vAlign w:val="center"/>
            <w:hideMark/>
          </w:tcPr>
          <w:p w14:paraId="5E44927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7B3997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012AFC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37EE982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74FB36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3.69</w:t>
            </w:r>
          </w:p>
        </w:tc>
        <w:tc>
          <w:tcPr>
            <w:tcW w:w="343" w:type="dxa"/>
            <w:shd w:val="clear" w:color="auto" w:fill="auto"/>
            <w:noWrap/>
            <w:tcMar>
              <w:left w:w="0" w:type="dxa"/>
              <w:right w:w="0" w:type="dxa"/>
            </w:tcMar>
            <w:vAlign w:val="center"/>
            <w:hideMark/>
          </w:tcPr>
          <w:p w14:paraId="27A19EA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E51382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CE3F9D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2" w:type="dxa"/>
            <w:shd w:val="clear" w:color="auto" w:fill="auto"/>
            <w:noWrap/>
            <w:tcMar>
              <w:left w:w="0" w:type="dxa"/>
              <w:right w:w="0" w:type="dxa"/>
            </w:tcMar>
            <w:vAlign w:val="center"/>
            <w:hideMark/>
          </w:tcPr>
          <w:p w14:paraId="20F3DC6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02" w:type="dxa"/>
            <w:shd w:val="clear" w:color="auto" w:fill="auto"/>
            <w:noWrap/>
            <w:tcMar>
              <w:left w:w="0" w:type="dxa"/>
              <w:right w:w="0" w:type="dxa"/>
            </w:tcMar>
            <w:vAlign w:val="center"/>
            <w:hideMark/>
          </w:tcPr>
          <w:p w14:paraId="465B69E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BFBBBB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435DE0D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387147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7027C3F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409676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8.81</w:t>
            </w:r>
          </w:p>
        </w:tc>
        <w:tc>
          <w:tcPr>
            <w:tcW w:w="302" w:type="dxa"/>
            <w:shd w:val="clear" w:color="auto" w:fill="auto"/>
            <w:noWrap/>
            <w:tcMar>
              <w:left w:w="0" w:type="dxa"/>
              <w:right w:w="0" w:type="dxa"/>
            </w:tcMar>
            <w:vAlign w:val="center"/>
            <w:hideMark/>
          </w:tcPr>
          <w:p w14:paraId="6746885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7E9A6A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9AA68B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197F585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456C0BB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1.31</w:t>
            </w:r>
          </w:p>
        </w:tc>
        <w:tc>
          <w:tcPr>
            <w:tcW w:w="439" w:type="dxa"/>
            <w:shd w:val="clear" w:color="auto" w:fill="auto"/>
            <w:noWrap/>
            <w:tcMar>
              <w:left w:w="0" w:type="dxa"/>
              <w:right w:w="0" w:type="dxa"/>
            </w:tcMar>
            <w:vAlign w:val="center"/>
            <w:hideMark/>
          </w:tcPr>
          <w:p w14:paraId="5D0B5C9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1.81</w:t>
            </w:r>
          </w:p>
        </w:tc>
      </w:tr>
      <w:tr w:rsidR="00FF1B38" w:rsidRPr="002E2EB3" w14:paraId="190B40D5" w14:textId="77777777" w:rsidTr="009276CC">
        <w:trPr>
          <w:trHeight w:val="300"/>
        </w:trPr>
        <w:tc>
          <w:tcPr>
            <w:tcW w:w="545" w:type="dxa"/>
            <w:vMerge/>
            <w:tcMar>
              <w:left w:w="0" w:type="dxa"/>
              <w:right w:w="0" w:type="dxa"/>
            </w:tcMar>
            <w:vAlign w:val="center"/>
            <w:hideMark/>
          </w:tcPr>
          <w:p w14:paraId="3D6022C2"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2C2249E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Double Cone</w:t>
            </w:r>
          </w:p>
        </w:tc>
        <w:tc>
          <w:tcPr>
            <w:tcW w:w="438" w:type="dxa"/>
            <w:shd w:val="clear" w:color="auto" w:fill="auto"/>
            <w:noWrap/>
            <w:tcMar>
              <w:left w:w="0" w:type="dxa"/>
              <w:right w:w="0" w:type="dxa"/>
            </w:tcMar>
            <w:vAlign w:val="center"/>
            <w:hideMark/>
          </w:tcPr>
          <w:p w14:paraId="3A7A5CE4"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034A6A3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34.3</w:t>
            </w:r>
          </w:p>
        </w:tc>
        <w:tc>
          <w:tcPr>
            <w:tcW w:w="301" w:type="dxa"/>
            <w:shd w:val="clear" w:color="auto" w:fill="auto"/>
            <w:noWrap/>
            <w:tcMar>
              <w:left w:w="0" w:type="dxa"/>
              <w:right w:w="0" w:type="dxa"/>
            </w:tcMar>
            <w:vAlign w:val="center"/>
            <w:hideMark/>
          </w:tcPr>
          <w:p w14:paraId="58D9ECE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1" w:type="dxa"/>
            <w:shd w:val="clear" w:color="auto" w:fill="auto"/>
            <w:noWrap/>
            <w:tcMar>
              <w:left w:w="0" w:type="dxa"/>
              <w:right w:w="0" w:type="dxa"/>
            </w:tcMar>
            <w:vAlign w:val="center"/>
            <w:hideMark/>
          </w:tcPr>
          <w:p w14:paraId="3B62AF8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3F52C8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7FB935D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F5459C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79" w:type="dxa"/>
            <w:shd w:val="clear" w:color="auto" w:fill="auto"/>
            <w:noWrap/>
            <w:tcMar>
              <w:left w:w="0" w:type="dxa"/>
              <w:right w:w="0" w:type="dxa"/>
            </w:tcMar>
            <w:vAlign w:val="center"/>
            <w:hideMark/>
          </w:tcPr>
          <w:p w14:paraId="620599F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1.31</w:t>
            </w:r>
          </w:p>
        </w:tc>
        <w:tc>
          <w:tcPr>
            <w:tcW w:w="302" w:type="dxa"/>
            <w:shd w:val="clear" w:color="auto" w:fill="auto"/>
            <w:noWrap/>
            <w:tcMar>
              <w:left w:w="0" w:type="dxa"/>
              <w:right w:w="0" w:type="dxa"/>
            </w:tcMar>
            <w:vAlign w:val="center"/>
            <w:hideMark/>
          </w:tcPr>
          <w:p w14:paraId="0BF13F4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41153B6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69458C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41F726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5.44</w:t>
            </w:r>
          </w:p>
        </w:tc>
        <w:tc>
          <w:tcPr>
            <w:tcW w:w="302" w:type="dxa"/>
            <w:shd w:val="clear" w:color="auto" w:fill="auto"/>
            <w:noWrap/>
            <w:tcMar>
              <w:left w:w="0" w:type="dxa"/>
              <w:right w:w="0" w:type="dxa"/>
            </w:tcMar>
            <w:vAlign w:val="center"/>
            <w:hideMark/>
          </w:tcPr>
          <w:p w14:paraId="2574F9F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13A7429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3.94</w:t>
            </w:r>
          </w:p>
        </w:tc>
        <w:tc>
          <w:tcPr>
            <w:tcW w:w="302" w:type="dxa"/>
            <w:shd w:val="clear" w:color="auto" w:fill="auto"/>
            <w:noWrap/>
            <w:tcMar>
              <w:left w:w="0" w:type="dxa"/>
              <w:right w:w="0" w:type="dxa"/>
            </w:tcMar>
            <w:vAlign w:val="center"/>
            <w:hideMark/>
          </w:tcPr>
          <w:p w14:paraId="12B17E7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3E4E0B4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31461E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02" w:type="dxa"/>
            <w:shd w:val="clear" w:color="auto" w:fill="auto"/>
            <w:noWrap/>
            <w:tcMar>
              <w:left w:w="0" w:type="dxa"/>
              <w:right w:w="0" w:type="dxa"/>
            </w:tcMar>
            <w:vAlign w:val="center"/>
            <w:hideMark/>
          </w:tcPr>
          <w:p w14:paraId="4FFD18C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1.75</w:t>
            </w:r>
          </w:p>
        </w:tc>
        <w:tc>
          <w:tcPr>
            <w:tcW w:w="302" w:type="dxa"/>
            <w:shd w:val="clear" w:color="auto" w:fill="auto"/>
            <w:noWrap/>
            <w:tcMar>
              <w:left w:w="0" w:type="dxa"/>
              <w:right w:w="0" w:type="dxa"/>
            </w:tcMar>
            <w:vAlign w:val="center"/>
            <w:hideMark/>
          </w:tcPr>
          <w:p w14:paraId="3BACBB8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5.56</w:t>
            </w:r>
          </w:p>
        </w:tc>
        <w:tc>
          <w:tcPr>
            <w:tcW w:w="343" w:type="dxa"/>
            <w:shd w:val="clear" w:color="auto" w:fill="auto"/>
            <w:noWrap/>
            <w:tcMar>
              <w:left w:w="0" w:type="dxa"/>
              <w:right w:w="0" w:type="dxa"/>
            </w:tcMar>
            <w:vAlign w:val="center"/>
            <w:hideMark/>
          </w:tcPr>
          <w:p w14:paraId="6CA1E73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A30921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54610CC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2A338C9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6A4C74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shd w:val="clear" w:color="auto" w:fill="auto"/>
            <w:noWrap/>
            <w:tcMar>
              <w:left w:w="0" w:type="dxa"/>
              <w:right w:w="0" w:type="dxa"/>
            </w:tcMar>
            <w:vAlign w:val="center"/>
            <w:hideMark/>
          </w:tcPr>
          <w:p w14:paraId="4A7DF3D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5D0155E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74958F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73E77BC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1283B4D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61BE77F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30E593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880615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02293A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39875A1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1.19</w:t>
            </w:r>
          </w:p>
        </w:tc>
        <w:tc>
          <w:tcPr>
            <w:tcW w:w="439" w:type="dxa"/>
            <w:shd w:val="clear" w:color="auto" w:fill="auto"/>
            <w:noWrap/>
            <w:tcMar>
              <w:left w:w="0" w:type="dxa"/>
              <w:right w:w="0" w:type="dxa"/>
            </w:tcMar>
            <w:vAlign w:val="center"/>
            <w:hideMark/>
          </w:tcPr>
          <w:p w14:paraId="1897F7D4"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7AECC976" w14:textId="77777777" w:rsidTr="009276CC">
        <w:trPr>
          <w:trHeight w:val="300"/>
        </w:trPr>
        <w:tc>
          <w:tcPr>
            <w:tcW w:w="545" w:type="dxa"/>
            <w:vMerge/>
            <w:tcMar>
              <w:left w:w="0" w:type="dxa"/>
              <w:right w:w="0" w:type="dxa"/>
            </w:tcMar>
            <w:vAlign w:val="center"/>
            <w:hideMark/>
          </w:tcPr>
          <w:p w14:paraId="5FC2E36C"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529BA157"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3789712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2EC6CA3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5.38</w:t>
            </w:r>
          </w:p>
        </w:tc>
        <w:tc>
          <w:tcPr>
            <w:tcW w:w="301" w:type="dxa"/>
            <w:shd w:val="clear" w:color="auto" w:fill="auto"/>
            <w:noWrap/>
            <w:tcMar>
              <w:left w:w="0" w:type="dxa"/>
              <w:right w:w="0" w:type="dxa"/>
            </w:tcMar>
            <w:vAlign w:val="center"/>
            <w:hideMark/>
          </w:tcPr>
          <w:p w14:paraId="1B49AE0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1" w:type="dxa"/>
            <w:shd w:val="clear" w:color="auto" w:fill="auto"/>
            <w:noWrap/>
            <w:tcMar>
              <w:left w:w="0" w:type="dxa"/>
              <w:right w:w="0" w:type="dxa"/>
            </w:tcMar>
            <w:vAlign w:val="center"/>
            <w:hideMark/>
          </w:tcPr>
          <w:p w14:paraId="74A50B0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AA5850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1" w:type="dxa"/>
            <w:shd w:val="clear" w:color="auto" w:fill="auto"/>
            <w:noWrap/>
            <w:tcMar>
              <w:left w:w="0" w:type="dxa"/>
              <w:right w:w="0" w:type="dxa"/>
            </w:tcMar>
            <w:vAlign w:val="center"/>
            <w:hideMark/>
          </w:tcPr>
          <w:p w14:paraId="3AEE3ED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01" w:type="dxa"/>
            <w:shd w:val="clear" w:color="auto" w:fill="auto"/>
            <w:noWrap/>
            <w:tcMar>
              <w:left w:w="0" w:type="dxa"/>
              <w:right w:w="0" w:type="dxa"/>
            </w:tcMar>
            <w:vAlign w:val="center"/>
            <w:hideMark/>
          </w:tcPr>
          <w:p w14:paraId="60ED35A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072F9A4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483DD35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06E1394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095FF52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414C72C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2.06</w:t>
            </w:r>
          </w:p>
        </w:tc>
        <w:tc>
          <w:tcPr>
            <w:tcW w:w="302" w:type="dxa"/>
            <w:shd w:val="clear" w:color="auto" w:fill="auto"/>
            <w:noWrap/>
            <w:tcMar>
              <w:left w:w="0" w:type="dxa"/>
              <w:right w:w="0" w:type="dxa"/>
            </w:tcMar>
            <w:vAlign w:val="center"/>
            <w:hideMark/>
          </w:tcPr>
          <w:p w14:paraId="2CDCB43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9FB172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48.4</w:t>
            </w:r>
          </w:p>
        </w:tc>
        <w:tc>
          <w:tcPr>
            <w:tcW w:w="302" w:type="dxa"/>
            <w:shd w:val="clear" w:color="auto" w:fill="auto"/>
            <w:noWrap/>
            <w:tcMar>
              <w:left w:w="0" w:type="dxa"/>
              <w:right w:w="0" w:type="dxa"/>
            </w:tcMar>
            <w:vAlign w:val="center"/>
            <w:hideMark/>
          </w:tcPr>
          <w:p w14:paraId="20B3CCD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CC7461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3D92B0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1.69</w:t>
            </w:r>
          </w:p>
        </w:tc>
        <w:tc>
          <w:tcPr>
            <w:tcW w:w="302" w:type="dxa"/>
            <w:shd w:val="clear" w:color="auto" w:fill="auto"/>
            <w:noWrap/>
            <w:tcMar>
              <w:left w:w="0" w:type="dxa"/>
              <w:right w:w="0" w:type="dxa"/>
            </w:tcMar>
            <w:vAlign w:val="center"/>
            <w:hideMark/>
          </w:tcPr>
          <w:p w14:paraId="6D54DF1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6BFE977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43" w:type="dxa"/>
            <w:shd w:val="clear" w:color="auto" w:fill="auto"/>
            <w:noWrap/>
            <w:tcMar>
              <w:left w:w="0" w:type="dxa"/>
              <w:right w:w="0" w:type="dxa"/>
            </w:tcMar>
            <w:vAlign w:val="center"/>
            <w:hideMark/>
          </w:tcPr>
          <w:p w14:paraId="2105C00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4A4492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5D97F02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28E4F9F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302" w:type="dxa"/>
            <w:shd w:val="clear" w:color="auto" w:fill="auto"/>
            <w:noWrap/>
            <w:tcMar>
              <w:left w:w="0" w:type="dxa"/>
              <w:right w:w="0" w:type="dxa"/>
            </w:tcMar>
            <w:vAlign w:val="center"/>
            <w:hideMark/>
          </w:tcPr>
          <w:p w14:paraId="73570F0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1.06</w:t>
            </w:r>
          </w:p>
        </w:tc>
        <w:tc>
          <w:tcPr>
            <w:tcW w:w="302" w:type="dxa"/>
            <w:shd w:val="clear" w:color="auto" w:fill="auto"/>
            <w:noWrap/>
            <w:tcMar>
              <w:left w:w="0" w:type="dxa"/>
              <w:right w:w="0" w:type="dxa"/>
            </w:tcMar>
            <w:vAlign w:val="center"/>
            <w:hideMark/>
          </w:tcPr>
          <w:p w14:paraId="6DE7D77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241769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546FB65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CB394C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69" w:type="dxa"/>
            <w:shd w:val="clear" w:color="auto" w:fill="auto"/>
            <w:noWrap/>
            <w:tcMar>
              <w:left w:w="0" w:type="dxa"/>
              <w:right w:w="0" w:type="dxa"/>
            </w:tcMar>
            <w:vAlign w:val="center"/>
            <w:hideMark/>
          </w:tcPr>
          <w:p w14:paraId="705E85D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4.06</w:t>
            </w:r>
          </w:p>
        </w:tc>
        <w:tc>
          <w:tcPr>
            <w:tcW w:w="302" w:type="dxa"/>
            <w:shd w:val="clear" w:color="auto" w:fill="auto"/>
            <w:noWrap/>
            <w:tcMar>
              <w:left w:w="0" w:type="dxa"/>
              <w:right w:w="0" w:type="dxa"/>
            </w:tcMar>
            <w:vAlign w:val="center"/>
            <w:hideMark/>
          </w:tcPr>
          <w:p w14:paraId="75410E6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BD3418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286322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13F1F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6DA3362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2960A02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r>
      <w:tr w:rsidR="00FF1B38" w:rsidRPr="002E2EB3" w14:paraId="5BA1F94F" w14:textId="77777777" w:rsidTr="009276CC">
        <w:trPr>
          <w:trHeight w:val="300"/>
        </w:trPr>
        <w:tc>
          <w:tcPr>
            <w:tcW w:w="545" w:type="dxa"/>
            <w:vMerge/>
            <w:tcMar>
              <w:left w:w="0" w:type="dxa"/>
              <w:right w:w="0" w:type="dxa"/>
            </w:tcMar>
            <w:vAlign w:val="center"/>
            <w:hideMark/>
          </w:tcPr>
          <w:p w14:paraId="68F9B724"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4EF3C2E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Daydream</w:t>
            </w:r>
          </w:p>
        </w:tc>
        <w:tc>
          <w:tcPr>
            <w:tcW w:w="438" w:type="dxa"/>
            <w:shd w:val="clear" w:color="auto" w:fill="auto"/>
            <w:noWrap/>
            <w:tcMar>
              <w:left w:w="0" w:type="dxa"/>
              <w:right w:w="0" w:type="dxa"/>
            </w:tcMar>
            <w:vAlign w:val="center"/>
            <w:hideMark/>
          </w:tcPr>
          <w:p w14:paraId="78892E8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41CAA84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16.6</w:t>
            </w:r>
          </w:p>
        </w:tc>
        <w:tc>
          <w:tcPr>
            <w:tcW w:w="301" w:type="dxa"/>
            <w:shd w:val="clear" w:color="auto" w:fill="auto"/>
            <w:noWrap/>
            <w:tcMar>
              <w:left w:w="0" w:type="dxa"/>
              <w:right w:w="0" w:type="dxa"/>
            </w:tcMar>
            <w:vAlign w:val="center"/>
            <w:hideMark/>
          </w:tcPr>
          <w:p w14:paraId="16A60D9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B6478B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8776E3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8CC830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8CAB8B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741C5DE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7F4B4D9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6EBAE3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A861A5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5AC55B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F61217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C4E108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49DDB2C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920A06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3B5C7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7FC1313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189F33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43" w:type="dxa"/>
            <w:shd w:val="clear" w:color="auto" w:fill="auto"/>
            <w:noWrap/>
            <w:tcMar>
              <w:left w:w="0" w:type="dxa"/>
              <w:right w:w="0" w:type="dxa"/>
            </w:tcMar>
            <w:vAlign w:val="center"/>
            <w:hideMark/>
          </w:tcPr>
          <w:p w14:paraId="1444053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10888AA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613B54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3C26733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A1E08D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5D45615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9B3320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A92E29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700C004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69" w:type="dxa"/>
            <w:shd w:val="clear" w:color="auto" w:fill="auto"/>
            <w:noWrap/>
            <w:tcMar>
              <w:left w:w="0" w:type="dxa"/>
              <w:right w:w="0" w:type="dxa"/>
            </w:tcMar>
            <w:vAlign w:val="center"/>
            <w:hideMark/>
          </w:tcPr>
          <w:p w14:paraId="177408B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1.38</w:t>
            </w:r>
          </w:p>
        </w:tc>
        <w:tc>
          <w:tcPr>
            <w:tcW w:w="302" w:type="dxa"/>
            <w:shd w:val="clear" w:color="auto" w:fill="auto"/>
            <w:noWrap/>
            <w:tcMar>
              <w:left w:w="0" w:type="dxa"/>
              <w:right w:w="0" w:type="dxa"/>
            </w:tcMar>
            <w:vAlign w:val="center"/>
            <w:hideMark/>
          </w:tcPr>
          <w:p w14:paraId="597E919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7A3600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1A721F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3CFCB0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55AC25B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482F5A2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r>
      <w:tr w:rsidR="00FF1B38" w:rsidRPr="002E2EB3" w14:paraId="32E6AF61" w14:textId="77777777" w:rsidTr="009276CC">
        <w:trPr>
          <w:trHeight w:val="300"/>
        </w:trPr>
        <w:tc>
          <w:tcPr>
            <w:tcW w:w="545" w:type="dxa"/>
            <w:vMerge/>
            <w:tcMar>
              <w:left w:w="0" w:type="dxa"/>
              <w:right w:w="0" w:type="dxa"/>
            </w:tcMar>
            <w:vAlign w:val="center"/>
            <w:hideMark/>
          </w:tcPr>
          <w:p w14:paraId="6FE62A8E"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6BFB8823"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2BA29EF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18B9A4D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16.6</w:t>
            </w:r>
          </w:p>
        </w:tc>
        <w:tc>
          <w:tcPr>
            <w:tcW w:w="301" w:type="dxa"/>
            <w:shd w:val="clear" w:color="auto" w:fill="auto"/>
            <w:noWrap/>
            <w:tcMar>
              <w:left w:w="0" w:type="dxa"/>
              <w:right w:w="0" w:type="dxa"/>
            </w:tcMar>
            <w:vAlign w:val="center"/>
            <w:hideMark/>
          </w:tcPr>
          <w:p w14:paraId="24F521D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B204A9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0DA44A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08833F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43FB77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7B6E5DC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54102CF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0B9A479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8B849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10F6620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71A751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2D0BAE9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43543D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A77CA3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096AF7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0FD788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A9ACAD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4.25</w:t>
            </w:r>
          </w:p>
        </w:tc>
        <w:tc>
          <w:tcPr>
            <w:tcW w:w="343" w:type="dxa"/>
            <w:shd w:val="clear" w:color="auto" w:fill="auto"/>
            <w:noWrap/>
            <w:tcMar>
              <w:left w:w="0" w:type="dxa"/>
              <w:right w:w="0" w:type="dxa"/>
            </w:tcMar>
            <w:vAlign w:val="center"/>
            <w:hideMark/>
          </w:tcPr>
          <w:p w14:paraId="7F6582B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shd w:val="clear" w:color="auto" w:fill="auto"/>
            <w:noWrap/>
            <w:tcMar>
              <w:left w:w="0" w:type="dxa"/>
              <w:right w:w="0" w:type="dxa"/>
            </w:tcMar>
            <w:vAlign w:val="center"/>
            <w:hideMark/>
          </w:tcPr>
          <w:p w14:paraId="7455493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06E620B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582CC3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5E09CB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54E7F5C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61CDF94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5E165B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3083BE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69" w:type="dxa"/>
            <w:shd w:val="clear" w:color="auto" w:fill="auto"/>
            <w:noWrap/>
            <w:tcMar>
              <w:left w:w="0" w:type="dxa"/>
              <w:right w:w="0" w:type="dxa"/>
            </w:tcMar>
            <w:vAlign w:val="center"/>
            <w:hideMark/>
          </w:tcPr>
          <w:p w14:paraId="0DEE002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3.13</w:t>
            </w:r>
          </w:p>
        </w:tc>
        <w:tc>
          <w:tcPr>
            <w:tcW w:w="302" w:type="dxa"/>
            <w:shd w:val="clear" w:color="auto" w:fill="auto"/>
            <w:noWrap/>
            <w:tcMar>
              <w:left w:w="0" w:type="dxa"/>
              <w:right w:w="0" w:type="dxa"/>
            </w:tcMar>
            <w:vAlign w:val="center"/>
            <w:hideMark/>
          </w:tcPr>
          <w:p w14:paraId="7E87C03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8E5C9B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shd w:val="clear" w:color="auto" w:fill="auto"/>
            <w:noWrap/>
            <w:tcMar>
              <w:left w:w="0" w:type="dxa"/>
              <w:right w:w="0" w:type="dxa"/>
            </w:tcMar>
            <w:vAlign w:val="center"/>
            <w:hideMark/>
          </w:tcPr>
          <w:p w14:paraId="6278FD5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569C272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3F98067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463D25F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r>
      <w:tr w:rsidR="00FF1B38" w:rsidRPr="002E2EB3" w14:paraId="1400518A" w14:textId="77777777" w:rsidTr="009276CC">
        <w:trPr>
          <w:trHeight w:val="300"/>
        </w:trPr>
        <w:tc>
          <w:tcPr>
            <w:tcW w:w="545" w:type="dxa"/>
            <w:vMerge/>
            <w:tcMar>
              <w:left w:w="0" w:type="dxa"/>
              <w:right w:w="0" w:type="dxa"/>
            </w:tcMar>
            <w:vAlign w:val="center"/>
            <w:hideMark/>
          </w:tcPr>
          <w:p w14:paraId="56E2E19F"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58F6723E"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Dent</w:t>
            </w:r>
          </w:p>
        </w:tc>
        <w:tc>
          <w:tcPr>
            <w:tcW w:w="438" w:type="dxa"/>
            <w:shd w:val="clear" w:color="auto" w:fill="auto"/>
            <w:noWrap/>
            <w:tcMar>
              <w:left w:w="0" w:type="dxa"/>
              <w:right w:w="0" w:type="dxa"/>
            </w:tcMar>
            <w:vAlign w:val="center"/>
            <w:hideMark/>
          </w:tcPr>
          <w:p w14:paraId="01899A6E"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16F622A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27.9</w:t>
            </w:r>
          </w:p>
        </w:tc>
        <w:tc>
          <w:tcPr>
            <w:tcW w:w="301" w:type="dxa"/>
            <w:shd w:val="clear" w:color="auto" w:fill="auto"/>
            <w:noWrap/>
            <w:tcMar>
              <w:left w:w="0" w:type="dxa"/>
              <w:right w:w="0" w:type="dxa"/>
            </w:tcMar>
            <w:vAlign w:val="center"/>
            <w:hideMark/>
          </w:tcPr>
          <w:p w14:paraId="7B9B954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ABB279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8E9A24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1" w:type="dxa"/>
            <w:shd w:val="clear" w:color="auto" w:fill="auto"/>
            <w:noWrap/>
            <w:tcMar>
              <w:left w:w="0" w:type="dxa"/>
              <w:right w:w="0" w:type="dxa"/>
            </w:tcMar>
            <w:vAlign w:val="center"/>
            <w:hideMark/>
          </w:tcPr>
          <w:p w14:paraId="5603EF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FF70E2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73E6EA1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c>
          <w:tcPr>
            <w:tcW w:w="302" w:type="dxa"/>
            <w:shd w:val="clear" w:color="auto" w:fill="auto"/>
            <w:noWrap/>
            <w:tcMar>
              <w:left w:w="0" w:type="dxa"/>
              <w:right w:w="0" w:type="dxa"/>
            </w:tcMar>
            <w:vAlign w:val="center"/>
            <w:hideMark/>
          </w:tcPr>
          <w:p w14:paraId="7CAFABB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7A5B048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0C8F3A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837197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1.63</w:t>
            </w:r>
          </w:p>
        </w:tc>
        <w:tc>
          <w:tcPr>
            <w:tcW w:w="302" w:type="dxa"/>
            <w:shd w:val="clear" w:color="auto" w:fill="auto"/>
            <w:noWrap/>
            <w:tcMar>
              <w:left w:w="0" w:type="dxa"/>
              <w:right w:w="0" w:type="dxa"/>
            </w:tcMar>
            <w:vAlign w:val="center"/>
            <w:hideMark/>
          </w:tcPr>
          <w:p w14:paraId="44D8C9F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4BC9CDF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4.33</w:t>
            </w:r>
          </w:p>
        </w:tc>
        <w:tc>
          <w:tcPr>
            <w:tcW w:w="302" w:type="dxa"/>
            <w:shd w:val="clear" w:color="auto" w:fill="auto"/>
            <w:noWrap/>
            <w:tcMar>
              <w:left w:w="0" w:type="dxa"/>
              <w:right w:w="0" w:type="dxa"/>
            </w:tcMar>
            <w:vAlign w:val="center"/>
            <w:hideMark/>
          </w:tcPr>
          <w:p w14:paraId="17F076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EF9DFF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5312158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1.88</w:t>
            </w:r>
          </w:p>
        </w:tc>
        <w:tc>
          <w:tcPr>
            <w:tcW w:w="302" w:type="dxa"/>
            <w:shd w:val="clear" w:color="auto" w:fill="auto"/>
            <w:noWrap/>
            <w:tcMar>
              <w:left w:w="0" w:type="dxa"/>
              <w:right w:w="0" w:type="dxa"/>
            </w:tcMar>
            <w:vAlign w:val="center"/>
            <w:hideMark/>
          </w:tcPr>
          <w:p w14:paraId="77D1576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1.75</w:t>
            </w:r>
          </w:p>
        </w:tc>
        <w:tc>
          <w:tcPr>
            <w:tcW w:w="302" w:type="dxa"/>
            <w:shd w:val="clear" w:color="auto" w:fill="auto"/>
            <w:noWrap/>
            <w:tcMar>
              <w:left w:w="0" w:type="dxa"/>
              <w:right w:w="0" w:type="dxa"/>
            </w:tcMar>
            <w:vAlign w:val="center"/>
            <w:hideMark/>
          </w:tcPr>
          <w:p w14:paraId="3513D9F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43" w:type="dxa"/>
            <w:shd w:val="clear" w:color="auto" w:fill="auto"/>
            <w:noWrap/>
            <w:tcMar>
              <w:left w:w="0" w:type="dxa"/>
              <w:right w:w="0" w:type="dxa"/>
            </w:tcMar>
            <w:vAlign w:val="center"/>
            <w:hideMark/>
          </w:tcPr>
          <w:p w14:paraId="559D01B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3588DE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7495D8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549669E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2.31</w:t>
            </w:r>
          </w:p>
        </w:tc>
        <w:tc>
          <w:tcPr>
            <w:tcW w:w="302" w:type="dxa"/>
            <w:shd w:val="clear" w:color="auto" w:fill="auto"/>
            <w:noWrap/>
            <w:tcMar>
              <w:left w:w="0" w:type="dxa"/>
              <w:right w:w="0" w:type="dxa"/>
            </w:tcMar>
            <w:vAlign w:val="center"/>
            <w:hideMark/>
          </w:tcPr>
          <w:p w14:paraId="296A671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2.88</w:t>
            </w:r>
          </w:p>
        </w:tc>
        <w:tc>
          <w:tcPr>
            <w:tcW w:w="302" w:type="dxa"/>
            <w:shd w:val="clear" w:color="auto" w:fill="auto"/>
            <w:noWrap/>
            <w:tcMar>
              <w:left w:w="0" w:type="dxa"/>
              <w:right w:w="0" w:type="dxa"/>
            </w:tcMar>
            <w:vAlign w:val="center"/>
            <w:hideMark/>
          </w:tcPr>
          <w:p w14:paraId="7200B2F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1FDEABF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C78BEE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F41AF3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15EC9DE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11.1</w:t>
            </w:r>
          </w:p>
        </w:tc>
        <w:tc>
          <w:tcPr>
            <w:tcW w:w="302" w:type="dxa"/>
            <w:shd w:val="clear" w:color="auto" w:fill="auto"/>
            <w:noWrap/>
            <w:tcMar>
              <w:left w:w="0" w:type="dxa"/>
              <w:right w:w="0" w:type="dxa"/>
            </w:tcMar>
            <w:vAlign w:val="center"/>
            <w:hideMark/>
          </w:tcPr>
          <w:p w14:paraId="3171E88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79F16AE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DA05D5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4C2AB37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1D32DD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439" w:type="dxa"/>
            <w:shd w:val="clear" w:color="auto" w:fill="auto"/>
            <w:noWrap/>
            <w:tcMar>
              <w:left w:w="0" w:type="dxa"/>
              <w:right w:w="0" w:type="dxa"/>
            </w:tcMar>
            <w:vAlign w:val="center"/>
            <w:hideMark/>
          </w:tcPr>
          <w:p w14:paraId="435AF89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r>
      <w:tr w:rsidR="00FF1B38" w:rsidRPr="002E2EB3" w14:paraId="3E9D3537" w14:textId="77777777" w:rsidTr="009276CC">
        <w:trPr>
          <w:trHeight w:val="300"/>
        </w:trPr>
        <w:tc>
          <w:tcPr>
            <w:tcW w:w="545" w:type="dxa"/>
            <w:vMerge/>
            <w:tcMar>
              <w:left w:w="0" w:type="dxa"/>
              <w:right w:w="0" w:type="dxa"/>
            </w:tcMar>
            <w:vAlign w:val="center"/>
            <w:hideMark/>
          </w:tcPr>
          <w:p w14:paraId="6B44DEF1"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4C29AC26"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75BE1D8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197F70D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18.7</w:t>
            </w:r>
          </w:p>
        </w:tc>
        <w:tc>
          <w:tcPr>
            <w:tcW w:w="301" w:type="dxa"/>
            <w:shd w:val="clear" w:color="auto" w:fill="auto"/>
            <w:noWrap/>
            <w:tcMar>
              <w:left w:w="0" w:type="dxa"/>
              <w:right w:w="0" w:type="dxa"/>
            </w:tcMar>
            <w:vAlign w:val="center"/>
            <w:hideMark/>
          </w:tcPr>
          <w:p w14:paraId="491926A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1" w:type="dxa"/>
            <w:shd w:val="clear" w:color="auto" w:fill="auto"/>
            <w:noWrap/>
            <w:tcMar>
              <w:left w:w="0" w:type="dxa"/>
              <w:right w:w="0" w:type="dxa"/>
            </w:tcMar>
            <w:vAlign w:val="center"/>
            <w:hideMark/>
          </w:tcPr>
          <w:p w14:paraId="64EC84C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0AE6AE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E4925D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73DB33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79" w:type="dxa"/>
            <w:shd w:val="clear" w:color="auto" w:fill="auto"/>
            <w:noWrap/>
            <w:tcMar>
              <w:left w:w="0" w:type="dxa"/>
              <w:right w:w="0" w:type="dxa"/>
            </w:tcMar>
            <w:vAlign w:val="center"/>
            <w:hideMark/>
          </w:tcPr>
          <w:p w14:paraId="15107C4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02" w:type="dxa"/>
            <w:shd w:val="clear" w:color="auto" w:fill="auto"/>
            <w:noWrap/>
            <w:tcMar>
              <w:left w:w="0" w:type="dxa"/>
              <w:right w:w="0" w:type="dxa"/>
            </w:tcMar>
            <w:vAlign w:val="center"/>
            <w:hideMark/>
          </w:tcPr>
          <w:p w14:paraId="347D689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4A235CA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49A631A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7CCD73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1.69</w:t>
            </w:r>
          </w:p>
        </w:tc>
        <w:tc>
          <w:tcPr>
            <w:tcW w:w="302" w:type="dxa"/>
            <w:shd w:val="clear" w:color="auto" w:fill="auto"/>
            <w:noWrap/>
            <w:tcMar>
              <w:left w:w="0" w:type="dxa"/>
              <w:right w:w="0" w:type="dxa"/>
            </w:tcMar>
            <w:vAlign w:val="center"/>
            <w:hideMark/>
          </w:tcPr>
          <w:p w14:paraId="5868841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3CA0218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12.6</w:t>
            </w:r>
          </w:p>
        </w:tc>
        <w:tc>
          <w:tcPr>
            <w:tcW w:w="302" w:type="dxa"/>
            <w:shd w:val="clear" w:color="auto" w:fill="auto"/>
            <w:noWrap/>
            <w:tcMar>
              <w:left w:w="0" w:type="dxa"/>
              <w:right w:w="0" w:type="dxa"/>
            </w:tcMar>
            <w:vAlign w:val="center"/>
            <w:hideMark/>
          </w:tcPr>
          <w:p w14:paraId="6633E4B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6FDAB0D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1.19</w:t>
            </w:r>
          </w:p>
        </w:tc>
        <w:tc>
          <w:tcPr>
            <w:tcW w:w="302" w:type="dxa"/>
            <w:shd w:val="clear" w:color="auto" w:fill="auto"/>
            <w:noWrap/>
            <w:tcMar>
              <w:left w:w="0" w:type="dxa"/>
              <w:right w:w="0" w:type="dxa"/>
            </w:tcMar>
            <w:vAlign w:val="center"/>
            <w:hideMark/>
          </w:tcPr>
          <w:p w14:paraId="33BF69A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1.50</w:t>
            </w:r>
          </w:p>
        </w:tc>
        <w:tc>
          <w:tcPr>
            <w:tcW w:w="302" w:type="dxa"/>
            <w:shd w:val="clear" w:color="auto" w:fill="auto"/>
            <w:noWrap/>
            <w:tcMar>
              <w:left w:w="0" w:type="dxa"/>
              <w:right w:w="0" w:type="dxa"/>
            </w:tcMar>
            <w:vAlign w:val="center"/>
            <w:hideMark/>
          </w:tcPr>
          <w:p w14:paraId="5144BFA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1.44</w:t>
            </w:r>
          </w:p>
        </w:tc>
        <w:tc>
          <w:tcPr>
            <w:tcW w:w="302" w:type="dxa"/>
            <w:shd w:val="clear" w:color="auto" w:fill="auto"/>
            <w:noWrap/>
            <w:tcMar>
              <w:left w:w="0" w:type="dxa"/>
              <w:right w:w="0" w:type="dxa"/>
            </w:tcMar>
            <w:vAlign w:val="center"/>
            <w:hideMark/>
          </w:tcPr>
          <w:p w14:paraId="557A166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43" w:type="dxa"/>
            <w:shd w:val="clear" w:color="auto" w:fill="auto"/>
            <w:noWrap/>
            <w:tcMar>
              <w:left w:w="0" w:type="dxa"/>
              <w:right w:w="0" w:type="dxa"/>
            </w:tcMar>
            <w:vAlign w:val="center"/>
            <w:hideMark/>
          </w:tcPr>
          <w:p w14:paraId="47BB57D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7925EA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2.94</w:t>
            </w:r>
          </w:p>
        </w:tc>
        <w:tc>
          <w:tcPr>
            <w:tcW w:w="302" w:type="dxa"/>
            <w:shd w:val="clear" w:color="auto" w:fill="auto"/>
            <w:noWrap/>
            <w:tcMar>
              <w:left w:w="0" w:type="dxa"/>
              <w:right w:w="0" w:type="dxa"/>
            </w:tcMar>
            <w:vAlign w:val="center"/>
            <w:hideMark/>
          </w:tcPr>
          <w:p w14:paraId="3E9507E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2.06</w:t>
            </w:r>
          </w:p>
        </w:tc>
        <w:tc>
          <w:tcPr>
            <w:tcW w:w="302" w:type="dxa"/>
            <w:shd w:val="clear" w:color="auto" w:fill="auto"/>
            <w:noWrap/>
            <w:tcMar>
              <w:left w:w="0" w:type="dxa"/>
              <w:right w:w="0" w:type="dxa"/>
            </w:tcMar>
            <w:vAlign w:val="center"/>
            <w:hideMark/>
          </w:tcPr>
          <w:p w14:paraId="765DF1A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0D0B81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2.51</w:t>
            </w:r>
          </w:p>
        </w:tc>
        <w:tc>
          <w:tcPr>
            <w:tcW w:w="302" w:type="dxa"/>
            <w:shd w:val="clear" w:color="auto" w:fill="auto"/>
            <w:noWrap/>
            <w:tcMar>
              <w:left w:w="0" w:type="dxa"/>
              <w:right w:w="0" w:type="dxa"/>
            </w:tcMar>
            <w:vAlign w:val="center"/>
            <w:hideMark/>
          </w:tcPr>
          <w:p w14:paraId="0D819CC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40685F8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F26753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16BCCC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69" w:type="dxa"/>
            <w:shd w:val="clear" w:color="auto" w:fill="auto"/>
            <w:noWrap/>
            <w:tcMar>
              <w:left w:w="0" w:type="dxa"/>
              <w:right w:w="0" w:type="dxa"/>
            </w:tcMar>
            <w:vAlign w:val="center"/>
            <w:hideMark/>
          </w:tcPr>
          <w:p w14:paraId="1F9A885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2.25</w:t>
            </w:r>
          </w:p>
        </w:tc>
        <w:tc>
          <w:tcPr>
            <w:tcW w:w="302" w:type="dxa"/>
            <w:shd w:val="clear" w:color="auto" w:fill="auto"/>
            <w:noWrap/>
            <w:tcMar>
              <w:left w:w="0" w:type="dxa"/>
              <w:right w:w="0" w:type="dxa"/>
            </w:tcMar>
            <w:vAlign w:val="center"/>
            <w:hideMark/>
          </w:tcPr>
          <w:p w14:paraId="066D39F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7566FB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08CF0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0.44</w:t>
            </w:r>
          </w:p>
        </w:tc>
        <w:tc>
          <w:tcPr>
            <w:tcW w:w="302" w:type="dxa"/>
            <w:shd w:val="clear" w:color="auto" w:fill="auto"/>
            <w:noWrap/>
            <w:tcMar>
              <w:left w:w="0" w:type="dxa"/>
              <w:right w:w="0" w:type="dxa"/>
            </w:tcMar>
            <w:vAlign w:val="center"/>
            <w:hideMark/>
          </w:tcPr>
          <w:p w14:paraId="7EFA43C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6207D6F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439" w:type="dxa"/>
            <w:shd w:val="clear" w:color="auto" w:fill="auto"/>
            <w:noWrap/>
            <w:tcMar>
              <w:left w:w="0" w:type="dxa"/>
              <w:right w:w="0" w:type="dxa"/>
            </w:tcMar>
            <w:vAlign w:val="center"/>
            <w:hideMark/>
          </w:tcPr>
          <w:p w14:paraId="61CE339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1.06</w:t>
            </w:r>
          </w:p>
        </w:tc>
      </w:tr>
      <w:tr w:rsidR="00FF1B38" w:rsidRPr="002E2EB3" w14:paraId="453E5C31" w14:textId="77777777" w:rsidTr="009276CC">
        <w:trPr>
          <w:trHeight w:val="300"/>
        </w:trPr>
        <w:tc>
          <w:tcPr>
            <w:tcW w:w="545" w:type="dxa"/>
            <w:vMerge/>
            <w:tcMar>
              <w:left w:w="0" w:type="dxa"/>
              <w:right w:w="0" w:type="dxa"/>
            </w:tcMar>
            <w:vAlign w:val="center"/>
            <w:hideMark/>
          </w:tcPr>
          <w:p w14:paraId="300F5C44"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58537C03"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Shute Harbour</w:t>
            </w:r>
          </w:p>
        </w:tc>
        <w:tc>
          <w:tcPr>
            <w:tcW w:w="438" w:type="dxa"/>
            <w:shd w:val="clear" w:color="auto" w:fill="auto"/>
            <w:noWrap/>
            <w:tcMar>
              <w:left w:w="0" w:type="dxa"/>
              <w:right w:w="0" w:type="dxa"/>
            </w:tcMar>
            <w:vAlign w:val="center"/>
            <w:hideMark/>
          </w:tcPr>
          <w:p w14:paraId="15C95ABB"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68AA710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31.1</w:t>
            </w:r>
          </w:p>
        </w:tc>
        <w:tc>
          <w:tcPr>
            <w:tcW w:w="301" w:type="dxa"/>
            <w:shd w:val="clear" w:color="auto" w:fill="auto"/>
            <w:noWrap/>
            <w:tcMar>
              <w:left w:w="0" w:type="dxa"/>
              <w:right w:w="0" w:type="dxa"/>
            </w:tcMar>
            <w:vAlign w:val="center"/>
            <w:hideMark/>
          </w:tcPr>
          <w:p w14:paraId="6DBF031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3E76D1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1" w:type="dxa"/>
            <w:shd w:val="clear" w:color="auto" w:fill="auto"/>
            <w:noWrap/>
            <w:tcMar>
              <w:left w:w="0" w:type="dxa"/>
              <w:right w:w="0" w:type="dxa"/>
            </w:tcMar>
            <w:vAlign w:val="center"/>
            <w:hideMark/>
          </w:tcPr>
          <w:p w14:paraId="7051DBD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0F6C571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A561B5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6463E0D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6B4E10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4429DCB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1504B55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0AD9D2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4F73A7A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2F2B51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3.63</w:t>
            </w:r>
          </w:p>
        </w:tc>
        <w:tc>
          <w:tcPr>
            <w:tcW w:w="302" w:type="dxa"/>
            <w:shd w:val="clear" w:color="auto" w:fill="auto"/>
            <w:noWrap/>
            <w:tcMar>
              <w:left w:w="0" w:type="dxa"/>
              <w:right w:w="0" w:type="dxa"/>
            </w:tcMar>
            <w:vAlign w:val="center"/>
            <w:hideMark/>
          </w:tcPr>
          <w:p w14:paraId="5418FE0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5DD63CD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EE9E0D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6D62BFC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0063963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3.19</w:t>
            </w:r>
          </w:p>
        </w:tc>
        <w:tc>
          <w:tcPr>
            <w:tcW w:w="343" w:type="dxa"/>
            <w:shd w:val="clear" w:color="auto" w:fill="auto"/>
            <w:noWrap/>
            <w:tcMar>
              <w:left w:w="0" w:type="dxa"/>
              <w:right w:w="0" w:type="dxa"/>
            </w:tcMar>
            <w:vAlign w:val="center"/>
            <w:hideMark/>
          </w:tcPr>
          <w:p w14:paraId="0785EDD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shd w:val="clear" w:color="auto" w:fill="auto"/>
            <w:noWrap/>
            <w:tcMar>
              <w:left w:w="0" w:type="dxa"/>
              <w:right w:w="0" w:type="dxa"/>
            </w:tcMar>
            <w:vAlign w:val="center"/>
            <w:hideMark/>
          </w:tcPr>
          <w:p w14:paraId="3801CCE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381EE84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14C15D4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59237DA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2" w:type="dxa"/>
            <w:shd w:val="clear" w:color="auto" w:fill="auto"/>
            <w:noWrap/>
            <w:tcMar>
              <w:left w:w="0" w:type="dxa"/>
              <w:right w:w="0" w:type="dxa"/>
            </w:tcMar>
            <w:vAlign w:val="center"/>
            <w:hideMark/>
          </w:tcPr>
          <w:p w14:paraId="4199216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2AA23D5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D16ECF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02" w:type="dxa"/>
            <w:shd w:val="clear" w:color="auto" w:fill="auto"/>
            <w:noWrap/>
            <w:tcMar>
              <w:left w:w="0" w:type="dxa"/>
              <w:right w:w="0" w:type="dxa"/>
            </w:tcMar>
            <w:vAlign w:val="center"/>
            <w:hideMark/>
          </w:tcPr>
          <w:p w14:paraId="638CD34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2C935DE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2C866FD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C7C52E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886628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267ECEB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69CD8EC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439" w:type="dxa"/>
            <w:shd w:val="clear" w:color="auto" w:fill="auto"/>
            <w:noWrap/>
            <w:tcMar>
              <w:left w:w="0" w:type="dxa"/>
              <w:right w:w="0" w:type="dxa"/>
            </w:tcMar>
            <w:vAlign w:val="center"/>
            <w:hideMark/>
          </w:tcPr>
          <w:p w14:paraId="0DEC81D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r>
      <w:tr w:rsidR="00FF1B38" w:rsidRPr="002E2EB3" w14:paraId="596D6483" w14:textId="77777777" w:rsidTr="009276CC">
        <w:trPr>
          <w:trHeight w:val="300"/>
        </w:trPr>
        <w:tc>
          <w:tcPr>
            <w:tcW w:w="545" w:type="dxa"/>
            <w:vMerge/>
            <w:tcMar>
              <w:left w:w="0" w:type="dxa"/>
              <w:right w:w="0" w:type="dxa"/>
            </w:tcMar>
            <w:vAlign w:val="center"/>
            <w:hideMark/>
          </w:tcPr>
          <w:p w14:paraId="04638F08"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7A72E777"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2526BDF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5A52586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8.00</w:t>
            </w:r>
          </w:p>
        </w:tc>
        <w:tc>
          <w:tcPr>
            <w:tcW w:w="301" w:type="dxa"/>
            <w:shd w:val="clear" w:color="auto" w:fill="auto"/>
            <w:noWrap/>
            <w:tcMar>
              <w:left w:w="0" w:type="dxa"/>
              <w:right w:w="0" w:type="dxa"/>
            </w:tcMar>
            <w:vAlign w:val="center"/>
            <w:hideMark/>
          </w:tcPr>
          <w:p w14:paraId="2416B06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57932D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5A0EF8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1" w:type="dxa"/>
            <w:shd w:val="clear" w:color="auto" w:fill="auto"/>
            <w:noWrap/>
            <w:tcMar>
              <w:left w:w="0" w:type="dxa"/>
              <w:right w:w="0" w:type="dxa"/>
            </w:tcMar>
            <w:vAlign w:val="center"/>
            <w:hideMark/>
          </w:tcPr>
          <w:p w14:paraId="6A12AE9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1" w:type="dxa"/>
            <w:shd w:val="clear" w:color="auto" w:fill="auto"/>
            <w:noWrap/>
            <w:tcMar>
              <w:left w:w="0" w:type="dxa"/>
              <w:right w:w="0" w:type="dxa"/>
            </w:tcMar>
            <w:vAlign w:val="center"/>
            <w:hideMark/>
          </w:tcPr>
          <w:p w14:paraId="69C0C3C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79" w:type="dxa"/>
            <w:shd w:val="clear" w:color="auto" w:fill="auto"/>
            <w:noWrap/>
            <w:tcMar>
              <w:left w:w="0" w:type="dxa"/>
              <w:right w:w="0" w:type="dxa"/>
            </w:tcMar>
            <w:vAlign w:val="center"/>
            <w:hideMark/>
          </w:tcPr>
          <w:p w14:paraId="23246D5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7842CC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4B5A2C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3732B51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F5AE6F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4D5A510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1CE2D96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3.19</w:t>
            </w:r>
          </w:p>
        </w:tc>
        <w:tc>
          <w:tcPr>
            <w:tcW w:w="302" w:type="dxa"/>
            <w:shd w:val="clear" w:color="auto" w:fill="auto"/>
            <w:noWrap/>
            <w:tcMar>
              <w:left w:w="0" w:type="dxa"/>
              <w:right w:w="0" w:type="dxa"/>
            </w:tcMar>
            <w:vAlign w:val="center"/>
            <w:hideMark/>
          </w:tcPr>
          <w:p w14:paraId="45BAFAD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134F8D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83A626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1.38</w:t>
            </w:r>
          </w:p>
        </w:tc>
        <w:tc>
          <w:tcPr>
            <w:tcW w:w="302" w:type="dxa"/>
            <w:shd w:val="clear" w:color="auto" w:fill="auto"/>
            <w:noWrap/>
            <w:tcMar>
              <w:left w:w="0" w:type="dxa"/>
              <w:right w:w="0" w:type="dxa"/>
            </w:tcMar>
            <w:vAlign w:val="center"/>
            <w:hideMark/>
          </w:tcPr>
          <w:p w14:paraId="52DE32F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3156A30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3.13</w:t>
            </w:r>
          </w:p>
        </w:tc>
        <w:tc>
          <w:tcPr>
            <w:tcW w:w="343" w:type="dxa"/>
            <w:shd w:val="clear" w:color="auto" w:fill="auto"/>
            <w:noWrap/>
            <w:tcMar>
              <w:left w:w="0" w:type="dxa"/>
              <w:right w:w="0" w:type="dxa"/>
            </w:tcMar>
            <w:vAlign w:val="center"/>
            <w:hideMark/>
          </w:tcPr>
          <w:p w14:paraId="63B9D15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6AA193A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1.63</w:t>
            </w:r>
          </w:p>
        </w:tc>
        <w:tc>
          <w:tcPr>
            <w:tcW w:w="302" w:type="dxa"/>
            <w:shd w:val="clear" w:color="auto" w:fill="auto"/>
            <w:noWrap/>
            <w:tcMar>
              <w:left w:w="0" w:type="dxa"/>
              <w:right w:w="0" w:type="dxa"/>
            </w:tcMar>
            <w:vAlign w:val="center"/>
            <w:hideMark/>
          </w:tcPr>
          <w:p w14:paraId="53A9863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298DE59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43AC7E0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2.06</w:t>
            </w:r>
          </w:p>
        </w:tc>
        <w:tc>
          <w:tcPr>
            <w:tcW w:w="302" w:type="dxa"/>
            <w:shd w:val="clear" w:color="auto" w:fill="auto"/>
            <w:noWrap/>
            <w:tcMar>
              <w:left w:w="0" w:type="dxa"/>
              <w:right w:w="0" w:type="dxa"/>
            </w:tcMar>
            <w:vAlign w:val="center"/>
            <w:hideMark/>
          </w:tcPr>
          <w:p w14:paraId="4B6BE60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56379D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44555B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2F7157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0.32</w:t>
            </w:r>
          </w:p>
        </w:tc>
        <w:tc>
          <w:tcPr>
            <w:tcW w:w="369" w:type="dxa"/>
            <w:shd w:val="clear" w:color="auto" w:fill="auto"/>
            <w:noWrap/>
            <w:tcMar>
              <w:left w:w="0" w:type="dxa"/>
              <w:right w:w="0" w:type="dxa"/>
            </w:tcMar>
            <w:vAlign w:val="center"/>
            <w:hideMark/>
          </w:tcPr>
          <w:p w14:paraId="5BFE6B7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1.19</w:t>
            </w:r>
          </w:p>
        </w:tc>
        <w:tc>
          <w:tcPr>
            <w:tcW w:w="302" w:type="dxa"/>
            <w:shd w:val="clear" w:color="auto" w:fill="auto"/>
            <w:noWrap/>
            <w:tcMar>
              <w:left w:w="0" w:type="dxa"/>
              <w:right w:w="0" w:type="dxa"/>
            </w:tcMar>
            <w:vAlign w:val="center"/>
            <w:hideMark/>
          </w:tcPr>
          <w:p w14:paraId="4A6D7EC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5A5CB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480799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6FC6250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1F87185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439" w:type="dxa"/>
            <w:shd w:val="clear" w:color="auto" w:fill="auto"/>
            <w:noWrap/>
            <w:tcMar>
              <w:left w:w="0" w:type="dxa"/>
              <w:right w:w="0" w:type="dxa"/>
            </w:tcMar>
            <w:vAlign w:val="center"/>
            <w:hideMark/>
          </w:tcPr>
          <w:p w14:paraId="1CBEA93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1.38</w:t>
            </w:r>
          </w:p>
        </w:tc>
      </w:tr>
      <w:tr w:rsidR="00FF1B38" w:rsidRPr="002E2EB3" w14:paraId="59602702" w14:textId="77777777" w:rsidTr="009276CC">
        <w:trPr>
          <w:trHeight w:val="300"/>
        </w:trPr>
        <w:tc>
          <w:tcPr>
            <w:tcW w:w="545" w:type="dxa"/>
            <w:vMerge/>
            <w:tcMar>
              <w:left w:w="0" w:type="dxa"/>
              <w:right w:w="0" w:type="dxa"/>
            </w:tcMar>
            <w:vAlign w:val="center"/>
            <w:hideMark/>
          </w:tcPr>
          <w:p w14:paraId="54B5D9C5"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5F702EC9"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Pine</w:t>
            </w:r>
          </w:p>
        </w:tc>
        <w:tc>
          <w:tcPr>
            <w:tcW w:w="438" w:type="dxa"/>
            <w:shd w:val="clear" w:color="auto" w:fill="auto"/>
            <w:noWrap/>
            <w:tcMar>
              <w:left w:w="0" w:type="dxa"/>
              <w:right w:w="0" w:type="dxa"/>
            </w:tcMar>
            <w:vAlign w:val="center"/>
            <w:hideMark/>
          </w:tcPr>
          <w:p w14:paraId="6DBFB52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6E9574B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6.81</w:t>
            </w:r>
          </w:p>
        </w:tc>
        <w:tc>
          <w:tcPr>
            <w:tcW w:w="301" w:type="dxa"/>
            <w:shd w:val="clear" w:color="auto" w:fill="auto"/>
            <w:noWrap/>
            <w:tcMar>
              <w:left w:w="0" w:type="dxa"/>
              <w:right w:w="0" w:type="dxa"/>
            </w:tcMar>
            <w:vAlign w:val="center"/>
            <w:hideMark/>
          </w:tcPr>
          <w:p w14:paraId="76AC029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FEB96B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C02F30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283244F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B8D518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677DD46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1495E6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56B6CAF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3D94444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C0B877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21.6</w:t>
            </w:r>
          </w:p>
        </w:tc>
        <w:tc>
          <w:tcPr>
            <w:tcW w:w="302" w:type="dxa"/>
            <w:shd w:val="clear" w:color="auto" w:fill="auto"/>
            <w:noWrap/>
            <w:tcMar>
              <w:left w:w="0" w:type="dxa"/>
              <w:right w:w="0" w:type="dxa"/>
            </w:tcMar>
            <w:vAlign w:val="center"/>
            <w:hideMark/>
          </w:tcPr>
          <w:p w14:paraId="6158EB3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B44C17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07BE27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24F0DC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4755A7A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1.38</w:t>
            </w:r>
          </w:p>
        </w:tc>
        <w:tc>
          <w:tcPr>
            <w:tcW w:w="302" w:type="dxa"/>
            <w:shd w:val="clear" w:color="auto" w:fill="auto"/>
            <w:noWrap/>
            <w:tcMar>
              <w:left w:w="0" w:type="dxa"/>
              <w:right w:w="0" w:type="dxa"/>
            </w:tcMar>
            <w:vAlign w:val="center"/>
            <w:hideMark/>
          </w:tcPr>
          <w:p w14:paraId="3C0DB9A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75987C3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7.63</w:t>
            </w:r>
          </w:p>
        </w:tc>
        <w:tc>
          <w:tcPr>
            <w:tcW w:w="343" w:type="dxa"/>
            <w:shd w:val="clear" w:color="auto" w:fill="auto"/>
            <w:noWrap/>
            <w:tcMar>
              <w:left w:w="0" w:type="dxa"/>
              <w:right w:w="0" w:type="dxa"/>
            </w:tcMar>
            <w:vAlign w:val="center"/>
            <w:hideMark/>
          </w:tcPr>
          <w:p w14:paraId="75E2DC9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1B35821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1.25</w:t>
            </w:r>
          </w:p>
        </w:tc>
        <w:tc>
          <w:tcPr>
            <w:tcW w:w="302" w:type="dxa"/>
            <w:shd w:val="clear" w:color="auto" w:fill="auto"/>
            <w:noWrap/>
            <w:tcMar>
              <w:left w:w="0" w:type="dxa"/>
              <w:right w:w="0" w:type="dxa"/>
            </w:tcMar>
            <w:vAlign w:val="center"/>
            <w:hideMark/>
          </w:tcPr>
          <w:p w14:paraId="6ECD9D1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02" w:type="dxa"/>
            <w:shd w:val="clear" w:color="auto" w:fill="auto"/>
            <w:noWrap/>
            <w:tcMar>
              <w:left w:w="0" w:type="dxa"/>
              <w:right w:w="0" w:type="dxa"/>
            </w:tcMar>
            <w:vAlign w:val="center"/>
            <w:hideMark/>
          </w:tcPr>
          <w:p w14:paraId="610FDC7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88A612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3.06</w:t>
            </w:r>
          </w:p>
        </w:tc>
        <w:tc>
          <w:tcPr>
            <w:tcW w:w="302" w:type="dxa"/>
            <w:shd w:val="clear" w:color="auto" w:fill="auto"/>
            <w:noWrap/>
            <w:tcMar>
              <w:left w:w="0" w:type="dxa"/>
              <w:right w:w="0" w:type="dxa"/>
            </w:tcMar>
            <w:vAlign w:val="center"/>
            <w:hideMark/>
          </w:tcPr>
          <w:p w14:paraId="2FBEFD4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D073EE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A05AB1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02" w:type="dxa"/>
            <w:shd w:val="clear" w:color="auto" w:fill="auto"/>
            <w:noWrap/>
            <w:tcMar>
              <w:left w:w="0" w:type="dxa"/>
              <w:right w:w="0" w:type="dxa"/>
            </w:tcMar>
            <w:vAlign w:val="center"/>
            <w:hideMark/>
          </w:tcPr>
          <w:p w14:paraId="3680820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69" w:type="dxa"/>
            <w:shd w:val="clear" w:color="auto" w:fill="auto"/>
            <w:noWrap/>
            <w:tcMar>
              <w:left w:w="0" w:type="dxa"/>
              <w:right w:w="0" w:type="dxa"/>
            </w:tcMar>
            <w:vAlign w:val="center"/>
            <w:hideMark/>
          </w:tcPr>
          <w:p w14:paraId="7B08C14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2.63</w:t>
            </w:r>
          </w:p>
        </w:tc>
        <w:tc>
          <w:tcPr>
            <w:tcW w:w="302" w:type="dxa"/>
            <w:shd w:val="clear" w:color="auto" w:fill="auto"/>
            <w:noWrap/>
            <w:tcMar>
              <w:left w:w="0" w:type="dxa"/>
              <w:right w:w="0" w:type="dxa"/>
            </w:tcMar>
            <w:vAlign w:val="center"/>
            <w:hideMark/>
          </w:tcPr>
          <w:p w14:paraId="19EC656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CFA6CA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E26BC1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F09FF5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7D958FA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439" w:type="dxa"/>
            <w:shd w:val="clear" w:color="auto" w:fill="auto"/>
            <w:noWrap/>
            <w:tcMar>
              <w:left w:w="0" w:type="dxa"/>
              <w:right w:w="0" w:type="dxa"/>
            </w:tcMar>
            <w:vAlign w:val="center"/>
            <w:hideMark/>
          </w:tcPr>
          <w:p w14:paraId="6DB5252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r>
      <w:tr w:rsidR="00FF1B38" w:rsidRPr="002E2EB3" w14:paraId="5ECFB5CD" w14:textId="77777777" w:rsidTr="009276CC">
        <w:trPr>
          <w:trHeight w:val="300"/>
        </w:trPr>
        <w:tc>
          <w:tcPr>
            <w:tcW w:w="545" w:type="dxa"/>
            <w:vMerge/>
            <w:tcMar>
              <w:left w:w="0" w:type="dxa"/>
              <w:right w:w="0" w:type="dxa"/>
            </w:tcMar>
            <w:vAlign w:val="center"/>
            <w:hideMark/>
          </w:tcPr>
          <w:p w14:paraId="58C554B6"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254FB3EB"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7DB60420"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4AC943F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1.75</w:t>
            </w:r>
          </w:p>
        </w:tc>
        <w:tc>
          <w:tcPr>
            <w:tcW w:w="301" w:type="dxa"/>
            <w:shd w:val="clear" w:color="auto" w:fill="auto"/>
            <w:noWrap/>
            <w:tcMar>
              <w:left w:w="0" w:type="dxa"/>
              <w:right w:w="0" w:type="dxa"/>
            </w:tcMar>
            <w:vAlign w:val="center"/>
            <w:hideMark/>
          </w:tcPr>
          <w:p w14:paraId="264092B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649AE0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3A729A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EF69C7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5DDCAD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1.25</w:t>
            </w:r>
          </w:p>
        </w:tc>
        <w:tc>
          <w:tcPr>
            <w:tcW w:w="379" w:type="dxa"/>
            <w:shd w:val="clear" w:color="auto" w:fill="auto"/>
            <w:noWrap/>
            <w:tcMar>
              <w:left w:w="0" w:type="dxa"/>
              <w:right w:w="0" w:type="dxa"/>
            </w:tcMar>
            <w:vAlign w:val="center"/>
            <w:hideMark/>
          </w:tcPr>
          <w:p w14:paraId="18BC524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0BAC7CE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733F817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665718E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36646D2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8.34</w:t>
            </w:r>
          </w:p>
        </w:tc>
        <w:tc>
          <w:tcPr>
            <w:tcW w:w="302" w:type="dxa"/>
            <w:shd w:val="clear" w:color="auto" w:fill="auto"/>
            <w:noWrap/>
            <w:tcMar>
              <w:left w:w="0" w:type="dxa"/>
              <w:right w:w="0" w:type="dxa"/>
            </w:tcMar>
            <w:vAlign w:val="center"/>
            <w:hideMark/>
          </w:tcPr>
          <w:p w14:paraId="45BC535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64D56F0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2.88</w:t>
            </w:r>
          </w:p>
        </w:tc>
        <w:tc>
          <w:tcPr>
            <w:tcW w:w="302" w:type="dxa"/>
            <w:shd w:val="clear" w:color="auto" w:fill="auto"/>
            <w:noWrap/>
            <w:tcMar>
              <w:left w:w="0" w:type="dxa"/>
              <w:right w:w="0" w:type="dxa"/>
            </w:tcMar>
            <w:vAlign w:val="center"/>
            <w:hideMark/>
          </w:tcPr>
          <w:p w14:paraId="6B11D54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2631092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4238BB5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2.32</w:t>
            </w:r>
          </w:p>
        </w:tc>
        <w:tc>
          <w:tcPr>
            <w:tcW w:w="302" w:type="dxa"/>
            <w:shd w:val="clear" w:color="auto" w:fill="auto"/>
            <w:noWrap/>
            <w:tcMar>
              <w:left w:w="0" w:type="dxa"/>
              <w:right w:w="0" w:type="dxa"/>
            </w:tcMar>
            <w:vAlign w:val="center"/>
            <w:hideMark/>
          </w:tcPr>
          <w:p w14:paraId="1578C05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5477B67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3.94</w:t>
            </w:r>
          </w:p>
        </w:tc>
        <w:tc>
          <w:tcPr>
            <w:tcW w:w="343" w:type="dxa"/>
            <w:shd w:val="clear" w:color="auto" w:fill="auto"/>
            <w:noWrap/>
            <w:tcMar>
              <w:left w:w="0" w:type="dxa"/>
              <w:right w:w="0" w:type="dxa"/>
            </w:tcMar>
            <w:vAlign w:val="center"/>
            <w:hideMark/>
          </w:tcPr>
          <w:p w14:paraId="0FA03D3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1.75</w:t>
            </w:r>
          </w:p>
        </w:tc>
        <w:tc>
          <w:tcPr>
            <w:tcW w:w="302" w:type="dxa"/>
            <w:shd w:val="clear" w:color="auto" w:fill="auto"/>
            <w:noWrap/>
            <w:tcMar>
              <w:left w:w="0" w:type="dxa"/>
              <w:right w:w="0" w:type="dxa"/>
            </w:tcMar>
            <w:vAlign w:val="center"/>
            <w:hideMark/>
          </w:tcPr>
          <w:p w14:paraId="115A1B9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2.00</w:t>
            </w:r>
          </w:p>
        </w:tc>
        <w:tc>
          <w:tcPr>
            <w:tcW w:w="302" w:type="dxa"/>
            <w:shd w:val="clear" w:color="auto" w:fill="auto"/>
            <w:noWrap/>
            <w:tcMar>
              <w:left w:w="0" w:type="dxa"/>
              <w:right w:w="0" w:type="dxa"/>
            </w:tcMar>
            <w:vAlign w:val="center"/>
            <w:hideMark/>
          </w:tcPr>
          <w:p w14:paraId="48E2105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5.14</w:t>
            </w:r>
          </w:p>
        </w:tc>
        <w:tc>
          <w:tcPr>
            <w:tcW w:w="302" w:type="dxa"/>
            <w:shd w:val="clear" w:color="auto" w:fill="auto"/>
            <w:noWrap/>
            <w:tcMar>
              <w:left w:w="0" w:type="dxa"/>
              <w:right w:w="0" w:type="dxa"/>
            </w:tcMar>
            <w:vAlign w:val="center"/>
            <w:hideMark/>
          </w:tcPr>
          <w:p w14:paraId="23994C7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185FC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5.95</w:t>
            </w:r>
          </w:p>
        </w:tc>
        <w:tc>
          <w:tcPr>
            <w:tcW w:w="302" w:type="dxa"/>
            <w:shd w:val="clear" w:color="auto" w:fill="auto"/>
            <w:noWrap/>
            <w:tcMar>
              <w:left w:w="0" w:type="dxa"/>
              <w:right w:w="0" w:type="dxa"/>
            </w:tcMar>
            <w:vAlign w:val="center"/>
            <w:hideMark/>
          </w:tcPr>
          <w:p w14:paraId="011F459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7BE563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FEBFC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70FBF9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1.19</w:t>
            </w:r>
          </w:p>
        </w:tc>
        <w:tc>
          <w:tcPr>
            <w:tcW w:w="369" w:type="dxa"/>
            <w:shd w:val="clear" w:color="auto" w:fill="auto"/>
            <w:noWrap/>
            <w:tcMar>
              <w:left w:w="0" w:type="dxa"/>
              <w:right w:w="0" w:type="dxa"/>
            </w:tcMar>
            <w:vAlign w:val="center"/>
            <w:hideMark/>
          </w:tcPr>
          <w:p w14:paraId="0236164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2" w:type="dxa"/>
            <w:shd w:val="clear" w:color="auto" w:fill="auto"/>
            <w:noWrap/>
            <w:tcMar>
              <w:left w:w="0" w:type="dxa"/>
              <w:right w:w="0" w:type="dxa"/>
            </w:tcMar>
            <w:vAlign w:val="center"/>
            <w:hideMark/>
          </w:tcPr>
          <w:p w14:paraId="700105B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244531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234403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9916ED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0B56835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439" w:type="dxa"/>
            <w:shd w:val="clear" w:color="auto" w:fill="auto"/>
            <w:noWrap/>
            <w:tcMar>
              <w:left w:w="0" w:type="dxa"/>
              <w:right w:w="0" w:type="dxa"/>
            </w:tcMar>
            <w:vAlign w:val="center"/>
            <w:hideMark/>
          </w:tcPr>
          <w:p w14:paraId="10F9EB9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1.69</w:t>
            </w:r>
          </w:p>
        </w:tc>
      </w:tr>
      <w:tr w:rsidR="00FF1B38" w:rsidRPr="002E2EB3" w14:paraId="7391DC69" w14:textId="77777777" w:rsidTr="009276CC">
        <w:trPr>
          <w:trHeight w:val="300"/>
        </w:trPr>
        <w:tc>
          <w:tcPr>
            <w:tcW w:w="545" w:type="dxa"/>
            <w:vMerge/>
            <w:tcMar>
              <w:left w:w="0" w:type="dxa"/>
              <w:right w:w="0" w:type="dxa"/>
            </w:tcMar>
            <w:vAlign w:val="center"/>
            <w:hideMark/>
          </w:tcPr>
          <w:p w14:paraId="617E7148"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4ACCC201"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Seaforth</w:t>
            </w:r>
          </w:p>
        </w:tc>
        <w:tc>
          <w:tcPr>
            <w:tcW w:w="438" w:type="dxa"/>
            <w:shd w:val="clear" w:color="auto" w:fill="auto"/>
            <w:noWrap/>
            <w:tcMar>
              <w:left w:w="0" w:type="dxa"/>
              <w:right w:w="0" w:type="dxa"/>
            </w:tcMar>
            <w:vAlign w:val="center"/>
            <w:hideMark/>
          </w:tcPr>
          <w:p w14:paraId="2C3B7AF4"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00E8AD4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01" w:type="dxa"/>
            <w:shd w:val="clear" w:color="auto" w:fill="auto"/>
            <w:noWrap/>
            <w:tcMar>
              <w:left w:w="0" w:type="dxa"/>
              <w:right w:w="0" w:type="dxa"/>
            </w:tcMar>
            <w:vAlign w:val="center"/>
            <w:hideMark/>
          </w:tcPr>
          <w:p w14:paraId="794C069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1" w:type="dxa"/>
            <w:shd w:val="clear" w:color="auto" w:fill="auto"/>
            <w:noWrap/>
            <w:tcMar>
              <w:left w:w="0" w:type="dxa"/>
              <w:right w:w="0" w:type="dxa"/>
            </w:tcMar>
            <w:vAlign w:val="center"/>
            <w:hideMark/>
          </w:tcPr>
          <w:p w14:paraId="74A660A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DD6746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73B90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31E4BE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1C52AA0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2A51582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0DAEF3C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2" w:type="dxa"/>
            <w:shd w:val="clear" w:color="auto" w:fill="auto"/>
            <w:noWrap/>
            <w:tcMar>
              <w:left w:w="0" w:type="dxa"/>
              <w:right w:w="0" w:type="dxa"/>
            </w:tcMar>
            <w:vAlign w:val="center"/>
            <w:hideMark/>
          </w:tcPr>
          <w:p w14:paraId="0BCB1AE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09D48C5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A19308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7366E6E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1.94</w:t>
            </w:r>
          </w:p>
        </w:tc>
        <w:tc>
          <w:tcPr>
            <w:tcW w:w="302" w:type="dxa"/>
            <w:shd w:val="clear" w:color="auto" w:fill="auto"/>
            <w:noWrap/>
            <w:tcMar>
              <w:left w:w="0" w:type="dxa"/>
              <w:right w:w="0" w:type="dxa"/>
            </w:tcMar>
            <w:vAlign w:val="center"/>
            <w:hideMark/>
          </w:tcPr>
          <w:p w14:paraId="4DB6346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204CAF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CEAB85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03AE1F2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49EDA3E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43" w:type="dxa"/>
            <w:shd w:val="clear" w:color="auto" w:fill="auto"/>
            <w:noWrap/>
            <w:tcMar>
              <w:left w:w="0" w:type="dxa"/>
              <w:right w:w="0" w:type="dxa"/>
            </w:tcMar>
            <w:vAlign w:val="center"/>
            <w:hideMark/>
          </w:tcPr>
          <w:p w14:paraId="3CB6EB5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06ED7B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757993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069EDE1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6.50</w:t>
            </w:r>
          </w:p>
        </w:tc>
        <w:tc>
          <w:tcPr>
            <w:tcW w:w="302" w:type="dxa"/>
            <w:shd w:val="clear" w:color="auto" w:fill="auto"/>
            <w:noWrap/>
            <w:tcMar>
              <w:left w:w="0" w:type="dxa"/>
              <w:right w:w="0" w:type="dxa"/>
            </w:tcMar>
            <w:vAlign w:val="center"/>
            <w:hideMark/>
          </w:tcPr>
          <w:p w14:paraId="17BA771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7776E5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6BD005C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67A496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3C5FEC5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69" w:type="dxa"/>
            <w:shd w:val="clear" w:color="auto" w:fill="auto"/>
            <w:noWrap/>
            <w:tcMar>
              <w:left w:w="0" w:type="dxa"/>
              <w:right w:w="0" w:type="dxa"/>
            </w:tcMar>
            <w:vAlign w:val="center"/>
            <w:hideMark/>
          </w:tcPr>
          <w:p w14:paraId="46FA5DE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6.69</w:t>
            </w:r>
          </w:p>
        </w:tc>
        <w:tc>
          <w:tcPr>
            <w:tcW w:w="302" w:type="dxa"/>
            <w:shd w:val="clear" w:color="auto" w:fill="auto"/>
            <w:noWrap/>
            <w:tcMar>
              <w:left w:w="0" w:type="dxa"/>
              <w:right w:w="0" w:type="dxa"/>
            </w:tcMar>
            <w:vAlign w:val="center"/>
            <w:hideMark/>
          </w:tcPr>
          <w:p w14:paraId="0DF07B4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DB4F90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2C3476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89738E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7C6E9A6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439" w:type="dxa"/>
            <w:shd w:val="clear" w:color="auto" w:fill="auto"/>
            <w:noWrap/>
            <w:tcMar>
              <w:left w:w="0" w:type="dxa"/>
              <w:right w:w="0" w:type="dxa"/>
            </w:tcMar>
            <w:vAlign w:val="center"/>
            <w:hideMark/>
          </w:tcPr>
          <w:p w14:paraId="3A268A3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0.88</w:t>
            </w:r>
          </w:p>
        </w:tc>
      </w:tr>
      <w:tr w:rsidR="00FF1B38" w:rsidRPr="002E2EB3" w14:paraId="622B18C9" w14:textId="77777777" w:rsidTr="009276CC">
        <w:trPr>
          <w:trHeight w:val="300"/>
        </w:trPr>
        <w:tc>
          <w:tcPr>
            <w:tcW w:w="545" w:type="dxa"/>
            <w:vMerge/>
            <w:tcMar>
              <w:left w:w="0" w:type="dxa"/>
              <w:right w:w="0" w:type="dxa"/>
            </w:tcMar>
            <w:vAlign w:val="center"/>
            <w:hideMark/>
          </w:tcPr>
          <w:p w14:paraId="3DC1A653"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4916937F"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022544B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6AC997D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1" w:type="dxa"/>
            <w:shd w:val="clear" w:color="auto" w:fill="auto"/>
            <w:noWrap/>
            <w:tcMar>
              <w:left w:w="0" w:type="dxa"/>
              <w:right w:w="0" w:type="dxa"/>
            </w:tcMar>
            <w:vAlign w:val="center"/>
            <w:hideMark/>
          </w:tcPr>
          <w:p w14:paraId="52D3D7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3FB340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1" w:type="dxa"/>
            <w:shd w:val="clear" w:color="auto" w:fill="auto"/>
            <w:noWrap/>
            <w:tcMar>
              <w:left w:w="0" w:type="dxa"/>
              <w:right w:w="0" w:type="dxa"/>
            </w:tcMar>
            <w:vAlign w:val="center"/>
            <w:hideMark/>
          </w:tcPr>
          <w:p w14:paraId="7706DCE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D569D1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1" w:type="dxa"/>
            <w:shd w:val="clear" w:color="auto" w:fill="auto"/>
            <w:noWrap/>
            <w:tcMar>
              <w:left w:w="0" w:type="dxa"/>
              <w:right w:w="0" w:type="dxa"/>
            </w:tcMar>
            <w:vAlign w:val="center"/>
            <w:hideMark/>
          </w:tcPr>
          <w:p w14:paraId="5ED5FE6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528CCCD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7E9A583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0.32</w:t>
            </w:r>
          </w:p>
        </w:tc>
        <w:tc>
          <w:tcPr>
            <w:tcW w:w="302" w:type="dxa"/>
            <w:shd w:val="clear" w:color="auto" w:fill="auto"/>
            <w:noWrap/>
            <w:tcMar>
              <w:left w:w="0" w:type="dxa"/>
              <w:right w:w="0" w:type="dxa"/>
            </w:tcMar>
            <w:vAlign w:val="center"/>
            <w:hideMark/>
          </w:tcPr>
          <w:p w14:paraId="02385F6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47B199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03686EC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586EC1A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2C08ED9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5.69</w:t>
            </w:r>
          </w:p>
        </w:tc>
        <w:tc>
          <w:tcPr>
            <w:tcW w:w="302" w:type="dxa"/>
            <w:shd w:val="clear" w:color="auto" w:fill="auto"/>
            <w:noWrap/>
            <w:tcMar>
              <w:left w:w="0" w:type="dxa"/>
              <w:right w:w="0" w:type="dxa"/>
            </w:tcMar>
            <w:vAlign w:val="center"/>
            <w:hideMark/>
          </w:tcPr>
          <w:p w14:paraId="6D8F178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586DBA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1A488E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6023EDF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D6CE87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0.70</w:t>
            </w:r>
          </w:p>
        </w:tc>
        <w:tc>
          <w:tcPr>
            <w:tcW w:w="343" w:type="dxa"/>
            <w:shd w:val="clear" w:color="auto" w:fill="auto"/>
            <w:noWrap/>
            <w:tcMar>
              <w:left w:w="0" w:type="dxa"/>
              <w:right w:w="0" w:type="dxa"/>
            </w:tcMar>
            <w:vAlign w:val="center"/>
            <w:hideMark/>
          </w:tcPr>
          <w:p w14:paraId="361FA90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7A42C0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03B365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2AA0308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02" w:type="dxa"/>
            <w:shd w:val="clear" w:color="auto" w:fill="auto"/>
            <w:noWrap/>
            <w:tcMar>
              <w:left w:w="0" w:type="dxa"/>
              <w:right w:w="0" w:type="dxa"/>
            </w:tcMar>
            <w:vAlign w:val="center"/>
            <w:hideMark/>
          </w:tcPr>
          <w:p w14:paraId="5E724FD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26D7F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0.32</w:t>
            </w:r>
          </w:p>
        </w:tc>
        <w:tc>
          <w:tcPr>
            <w:tcW w:w="302" w:type="dxa"/>
            <w:shd w:val="clear" w:color="auto" w:fill="auto"/>
            <w:noWrap/>
            <w:tcMar>
              <w:left w:w="0" w:type="dxa"/>
              <w:right w:w="0" w:type="dxa"/>
            </w:tcMar>
            <w:vAlign w:val="center"/>
            <w:hideMark/>
          </w:tcPr>
          <w:p w14:paraId="1DBAE1B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572947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7B617F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69" w:type="dxa"/>
            <w:shd w:val="clear" w:color="auto" w:fill="auto"/>
            <w:noWrap/>
            <w:tcMar>
              <w:left w:w="0" w:type="dxa"/>
              <w:right w:w="0" w:type="dxa"/>
            </w:tcMar>
            <w:vAlign w:val="center"/>
            <w:hideMark/>
          </w:tcPr>
          <w:p w14:paraId="5FC1E87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1.78</w:t>
            </w:r>
          </w:p>
        </w:tc>
        <w:tc>
          <w:tcPr>
            <w:tcW w:w="302" w:type="dxa"/>
            <w:shd w:val="clear" w:color="auto" w:fill="auto"/>
            <w:noWrap/>
            <w:tcMar>
              <w:left w:w="0" w:type="dxa"/>
              <w:right w:w="0" w:type="dxa"/>
            </w:tcMar>
            <w:vAlign w:val="center"/>
            <w:hideMark/>
          </w:tcPr>
          <w:p w14:paraId="2D0034F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BFC946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3D57DB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043E68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57EF090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439" w:type="dxa"/>
            <w:shd w:val="clear" w:color="auto" w:fill="auto"/>
            <w:noWrap/>
            <w:tcMar>
              <w:left w:w="0" w:type="dxa"/>
              <w:right w:w="0" w:type="dxa"/>
            </w:tcMar>
            <w:vAlign w:val="center"/>
            <w:hideMark/>
          </w:tcPr>
          <w:p w14:paraId="083B334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r>
    </w:tbl>
    <w:p w14:paraId="2A62C9BD" w14:textId="77777777" w:rsidR="00EB5372" w:rsidRDefault="00EB5372" w:rsidP="00FF1B38">
      <w:pPr>
        <w:rPr>
          <w:rFonts w:ascii="Arial Narrow" w:hAnsi="Arial Narrow"/>
          <w:sz w:val="20"/>
        </w:rPr>
      </w:pPr>
    </w:p>
    <w:p w14:paraId="2AE20EA9" w14:textId="77777777" w:rsidR="00EB5372" w:rsidRDefault="00EB5372">
      <w:pPr>
        <w:jc w:val="left"/>
        <w:rPr>
          <w:rFonts w:ascii="Arial Narrow" w:hAnsi="Arial Narrow"/>
          <w:sz w:val="20"/>
        </w:rPr>
      </w:pPr>
      <w:r>
        <w:rPr>
          <w:rFonts w:ascii="Arial Narrow" w:hAnsi="Arial Narrow"/>
          <w:sz w:val="20"/>
        </w:rPr>
        <w:br w:type="page"/>
      </w:r>
    </w:p>
    <w:p w14:paraId="3D59294F" w14:textId="77777777" w:rsidR="00FF1B38" w:rsidRPr="002E2EB3" w:rsidRDefault="00FF1B38" w:rsidP="00FF1B38">
      <w:r w:rsidRPr="002E2EB3">
        <w:rPr>
          <w:rFonts w:ascii="Arial Narrow" w:hAnsi="Arial Narrow"/>
          <w:sz w:val="20"/>
        </w:rPr>
        <w:lastRenderedPageBreak/>
        <w:t xml:space="preserve">Table </w:t>
      </w:r>
      <w:proofErr w:type="gramStart"/>
      <w:r w:rsidRPr="002E2EB3">
        <w:rPr>
          <w:rFonts w:ascii="Arial Narrow" w:hAnsi="Arial Narrow"/>
          <w:sz w:val="20"/>
        </w:rPr>
        <w:t>A</w:t>
      </w:r>
      <w:proofErr w:type="gramEnd"/>
      <w:r w:rsidR="0096504D">
        <w:rPr>
          <w:rFonts w:ascii="Arial Narrow" w:hAnsi="Arial Narrow"/>
          <w:sz w:val="20"/>
        </w:rPr>
        <w:t xml:space="preserve"> </w:t>
      </w:r>
      <w:r w:rsidRPr="002E2EB3">
        <w:rPr>
          <w:rFonts w:ascii="Arial Narrow" w:hAnsi="Arial Narrow"/>
          <w:sz w:val="20"/>
        </w:rPr>
        <w:t>5 cont</w:t>
      </w:r>
      <w:r w:rsidR="0033244F">
        <w:rPr>
          <w:rFonts w:ascii="Arial Narrow" w:hAnsi="Arial Narrow"/>
          <w:sz w:val="20"/>
        </w:rPr>
        <w:t>inued</w:t>
      </w:r>
    </w:p>
    <w:tbl>
      <w:tblPr>
        <w:tblW w:w="1332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      Table A1-5 cont."/>
        <w:tblDescription w:val="      Table A1-5 cont."/>
      </w:tblPr>
      <w:tblGrid>
        <w:gridCol w:w="545"/>
        <w:gridCol w:w="1649"/>
        <w:gridCol w:w="438"/>
        <w:gridCol w:w="307"/>
        <w:gridCol w:w="301"/>
        <w:gridCol w:w="301"/>
        <w:gridCol w:w="301"/>
        <w:gridCol w:w="301"/>
        <w:gridCol w:w="301"/>
        <w:gridCol w:w="379"/>
        <w:gridCol w:w="302"/>
        <w:gridCol w:w="302"/>
        <w:gridCol w:w="302"/>
        <w:gridCol w:w="302"/>
        <w:gridCol w:w="302"/>
        <w:gridCol w:w="302"/>
        <w:gridCol w:w="302"/>
        <w:gridCol w:w="302"/>
        <w:gridCol w:w="302"/>
        <w:gridCol w:w="302"/>
        <w:gridCol w:w="302"/>
        <w:gridCol w:w="343"/>
        <w:gridCol w:w="302"/>
        <w:gridCol w:w="302"/>
        <w:gridCol w:w="302"/>
        <w:gridCol w:w="302"/>
        <w:gridCol w:w="302"/>
        <w:gridCol w:w="302"/>
        <w:gridCol w:w="302"/>
        <w:gridCol w:w="302"/>
        <w:gridCol w:w="369"/>
        <w:gridCol w:w="302"/>
        <w:gridCol w:w="302"/>
        <w:gridCol w:w="302"/>
        <w:gridCol w:w="302"/>
        <w:gridCol w:w="405"/>
        <w:gridCol w:w="439"/>
      </w:tblGrid>
      <w:tr w:rsidR="00DD4BB0" w:rsidRPr="002E2EB3" w14:paraId="23AE7D1F" w14:textId="77777777" w:rsidTr="009276CC">
        <w:trPr>
          <w:trHeight w:val="1380"/>
        </w:trPr>
        <w:tc>
          <w:tcPr>
            <w:tcW w:w="545" w:type="dxa"/>
            <w:shd w:val="clear" w:color="auto" w:fill="F2F2F2" w:themeFill="background1" w:themeFillShade="F2"/>
            <w:noWrap/>
            <w:tcMar>
              <w:left w:w="0" w:type="dxa"/>
              <w:right w:w="0" w:type="dxa"/>
            </w:tcMar>
            <w:textDirection w:val="btLr"/>
            <w:vAlign w:val="center"/>
            <w:hideMark/>
          </w:tcPr>
          <w:p w14:paraId="2092933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Sub/Region</w:t>
            </w:r>
          </w:p>
        </w:tc>
        <w:tc>
          <w:tcPr>
            <w:tcW w:w="1649" w:type="dxa"/>
            <w:shd w:val="clear" w:color="auto" w:fill="F2F2F2" w:themeFill="background1" w:themeFillShade="F2"/>
            <w:noWrap/>
            <w:tcMar>
              <w:left w:w="0" w:type="dxa"/>
              <w:right w:w="0" w:type="dxa"/>
            </w:tcMar>
            <w:vAlign w:val="center"/>
            <w:hideMark/>
          </w:tcPr>
          <w:p w14:paraId="322684D1"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Reef</w:t>
            </w:r>
          </w:p>
        </w:tc>
        <w:tc>
          <w:tcPr>
            <w:tcW w:w="438" w:type="dxa"/>
            <w:shd w:val="clear" w:color="auto" w:fill="F2F2F2" w:themeFill="background1" w:themeFillShade="F2"/>
            <w:noWrap/>
            <w:tcMar>
              <w:left w:w="0" w:type="dxa"/>
              <w:right w:w="0" w:type="dxa"/>
            </w:tcMar>
            <w:textDirection w:val="btLr"/>
            <w:vAlign w:val="center"/>
            <w:hideMark/>
          </w:tcPr>
          <w:p w14:paraId="0AC2059E"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Depth</w:t>
            </w:r>
          </w:p>
        </w:tc>
        <w:tc>
          <w:tcPr>
            <w:tcW w:w="307" w:type="dxa"/>
            <w:shd w:val="clear" w:color="auto" w:fill="F2F2F2" w:themeFill="background1" w:themeFillShade="F2"/>
            <w:noWrap/>
            <w:tcMar>
              <w:left w:w="0" w:type="dxa"/>
              <w:right w:w="0" w:type="dxa"/>
            </w:tcMar>
            <w:textDirection w:val="btLr"/>
            <w:vAlign w:val="center"/>
            <w:hideMark/>
          </w:tcPr>
          <w:p w14:paraId="505E4102"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Acropora</w:t>
            </w:r>
          </w:p>
        </w:tc>
        <w:tc>
          <w:tcPr>
            <w:tcW w:w="301" w:type="dxa"/>
            <w:shd w:val="clear" w:color="auto" w:fill="F2F2F2" w:themeFill="background1" w:themeFillShade="F2"/>
            <w:noWrap/>
            <w:tcMar>
              <w:left w:w="0" w:type="dxa"/>
              <w:right w:w="0" w:type="dxa"/>
            </w:tcMar>
            <w:textDirection w:val="btLr"/>
            <w:vAlign w:val="center"/>
            <w:hideMark/>
          </w:tcPr>
          <w:p w14:paraId="4AF0D5EC"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Alveopora</w:t>
            </w:r>
          </w:p>
        </w:tc>
        <w:tc>
          <w:tcPr>
            <w:tcW w:w="301" w:type="dxa"/>
            <w:shd w:val="clear" w:color="auto" w:fill="F2F2F2" w:themeFill="background1" w:themeFillShade="F2"/>
            <w:noWrap/>
            <w:tcMar>
              <w:left w:w="0" w:type="dxa"/>
              <w:right w:w="0" w:type="dxa"/>
            </w:tcMar>
            <w:textDirection w:val="btLr"/>
            <w:vAlign w:val="center"/>
            <w:hideMark/>
          </w:tcPr>
          <w:p w14:paraId="144BA3A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Caulastrea</w:t>
            </w:r>
          </w:p>
        </w:tc>
        <w:tc>
          <w:tcPr>
            <w:tcW w:w="301" w:type="dxa"/>
            <w:shd w:val="clear" w:color="auto" w:fill="F2F2F2" w:themeFill="background1" w:themeFillShade="F2"/>
            <w:noWrap/>
            <w:tcMar>
              <w:left w:w="0" w:type="dxa"/>
              <w:right w:w="0" w:type="dxa"/>
            </w:tcMar>
            <w:textDirection w:val="btLr"/>
            <w:vAlign w:val="center"/>
            <w:hideMark/>
          </w:tcPr>
          <w:p w14:paraId="34D27DEF"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Cyphastrea</w:t>
            </w:r>
          </w:p>
        </w:tc>
        <w:tc>
          <w:tcPr>
            <w:tcW w:w="301" w:type="dxa"/>
            <w:shd w:val="clear" w:color="auto" w:fill="F2F2F2" w:themeFill="background1" w:themeFillShade="F2"/>
            <w:noWrap/>
            <w:tcMar>
              <w:left w:w="0" w:type="dxa"/>
              <w:right w:w="0" w:type="dxa"/>
            </w:tcMar>
            <w:textDirection w:val="btLr"/>
            <w:vAlign w:val="center"/>
            <w:hideMark/>
          </w:tcPr>
          <w:p w14:paraId="0A36171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Diploastrea</w:t>
            </w:r>
          </w:p>
        </w:tc>
        <w:tc>
          <w:tcPr>
            <w:tcW w:w="301" w:type="dxa"/>
            <w:shd w:val="clear" w:color="auto" w:fill="F2F2F2" w:themeFill="background1" w:themeFillShade="F2"/>
            <w:noWrap/>
            <w:tcMar>
              <w:left w:w="0" w:type="dxa"/>
              <w:right w:w="0" w:type="dxa"/>
            </w:tcMar>
            <w:textDirection w:val="btLr"/>
            <w:vAlign w:val="center"/>
            <w:hideMark/>
          </w:tcPr>
          <w:p w14:paraId="58216C7B"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Echinophyllia</w:t>
            </w:r>
          </w:p>
        </w:tc>
        <w:tc>
          <w:tcPr>
            <w:tcW w:w="379" w:type="dxa"/>
            <w:shd w:val="clear" w:color="auto" w:fill="F2F2F2" w:themeFill="background1" w:themeFillShade="F2"/>
            <w:noWrap/>
            <w:tcMar>
              <w:left w:w="0" w:type="dxa"/>
              <w:right w:w="0" w:type="dxa"/>
            </w:tcMar>
            <w:textDirection w:val="btLr"/>
            <w:vAlign w:val="center"/>
            <w:hideMark/>
          </w:tcPr>
          <w:p w14:paraId="154B865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Echinopora</w:t>
            </w:r>
          </w:p>
        </w:tc>
        <w:tc>
          <w:tcPr>
            <w:tcW w:w="302" w:type="dxa"/>
            <w:shd w:val="clear" w:color="auto" w:fill="F2F2F2" w:themeFill="background1" w:themeFillShade="F2"/>
            <w:noWrap/>
            <w:tcMar>
              <w:left w:w="0" w:type="dxa"/>
              <w:right w:w="0" w:type="dxa"/>
            </w:tcMar>
            <w:textDirection w:val="btLr"/>
            <w:vAlign w:val="center"/>
            <w:hideMark/>
          </w:tcPr>
          <w:p w14:paraId="0D6CD74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Favia</w:t>
            </w:r>
          </w:p>
        </w:tc>
        <w:tc>
          <w:tcPr>
            <w:tcW w:w="302" w:type="dxa"/>
            <w:shd w:val="clear" w:color="auto" w:fill="F2F2F2" w:themeFill="background1" w:themeFillShade="F2"/>
            <w:noWrap/>
            <w:tcMar>
              <w:left w:w="0" w:type="dxa"/>
              <w:right w:w="0" w:type="dxa"/>
            </w:tcMar>
            <w:textDirection w:val="btLr"/>
            <w:vAlign w:val="center"/>
            <w:hideMark/>
          </w:tcPr>
          <w:p w14:paraId="238A757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Favites</w:t>
            </w:r>
          </w:p>
        </w:tc>
        <w:tc>
          <w:tcPr>
            <w:tcW w:w="302" w:type="dxa"/>
            <w:shd w:val="clear" w:color="auto" w:fill="F2F2F2" w:themeFill="background1" w:themeFillShade="F2"/>
            <w:noWrap/>
            <w:tcMar>
              <w:left w:w="0" w:type="dxa"/>
              <w:right w:w="0" w:type="dxa"/>
            </w:tcMar>
            <w:textDirection w:val="btLr"/>
            <w:vAlign w:val="center"/>
            <w:hideMark/>
          </w:tcPr>
          <w:p w14:paraId="11C9071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Fungia</w:t>
            </w:r>
          </w:p>
        </w:tc>
        <w:tc>
          <w:tcPr>
            <w:tcW w:w="302" w:type="dxa"/>
            <w:shd w:val="clear" w:color="auto" w:fill="F2F2F2" w:themeFill="background1" w:themeFillShade="F2"/>
            <w:noWrap/>
            <w:tcMar>
              <w:left w:w="0" w:type="dxa"/>
              <w:right w:w="0" w:type="dxa"/>
            </w:tcMar>
            <w:textDirection w:val="btLr"/>
            <w:vAlign w:val="center"/>
            <w:hideMark/>
          </w:tcPr>
          <w:p w14:paraId="68219AF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Galaxea</w:t>
            </w:r>
          </w:p>
        </w:tc>
        <w:tc>
          <w:tcPr>
            <w:tcW w:w="302" w:type="dxa"/>
            <w:shd w:val="clear" w:color="auto" w:fill="F2F2F2" w:themeFill="background1" w:themeFillShade="F2"/>
            <w:noWrap/>
            <w:tcMar>
              <w:left w:w="0" w:type="dxa"/>
              <w:right w:w="0" w:type="dxa"/>
            </w:tcMar>
            <w:textDirection w:val="btLr"/>
            <w:vAlign w:val="center"/>
            <w:hideMark/>
          </w:tcPr>
          <w:p w14:paraId="6C4252D0"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Goniastrea</w:t>
            </w:r>
          </w:p>
        </w:tc>
        <w:tc>
          <w:tcPr>
            <w:tcW w:w="302" w:type="dxa"/>
            <w:shd w:val="clear" w:color="auto" w:fill="F2F2F2" w:themeFill="background1" w:themeFillShade="F2"/>
            <w:noWrap/>
            <w:tcMar>
              <w:left w:w="0" w:type="dxa"/>
              <w:right w:w="0" w:type="dxa"/>
            </w:tcMar>
            <w:textDirection w:val="btLr"/>
            <w:vAlign w:val="center"/>
            <w:hideMark/>
          </w:tcPr>
          <w:p w14:paraId="476FDD0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Goniopora</w:t>
            </w:r>
          </w:p>
        </w:tc>
        <w:tc>
          <w:tcPr>
            <w:tcW w:w="302" w:type="dxa"/>
            <w:shd w:val="clear" w:color="auto" w:fill="F2F2F2" w:themeFill="background1" w:themeFillShade="F2"/>
            <w:noWrap/>
            <w:tcMar>
              <w:left w:w="0" w:type="dxa"/>
              <w:right w:w="0" w:type="dxa"/>
            </w:tcMar>
            <w:textDirection w:val="btLr"/>
            <w:vAlign w:val="center"/>
            <w:hideMark/>
          </w:tcPr>
          <w:p w14:paraId="297F9CA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Hydnophora</w:t>
            </w:r>
          </w:p>
        </w:tc>
        <w:tc>
          <w:tcPr>
            <w:tcW w:w="302" w:type="dxa"/>
            <w:shd w:val="clear" w:color="auto" w:fill="F2F2F2" w:themeFill="background1" w:themeFillShade="F2"/>
            <w:noWrap/>
            <w:tcMar>
              <w:left w:w="0" w:type="dxa"/>
              <w:right w:w="0" w:type="dxa"/>
            </w:tcMar>
            <w:textDirection w:val="btLr"/>
            <w:vAlign w:val="center"/>
            <w:hideMark/>
          </w:tcPr>
          <w:p w14:paraId="1FA897B8"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Leptoseris</w:t>
            </w:r>
          </w:p>
        </w:tc>
        <w:tc>
          <w:tcPr>
            <w:tcW w:w="302" w:type="dxa"/>
            <w:shd w:val="clear" w:color="auto" w:fill="F2F2F2" w:themeFill="background1" w:themeFillShade="F2"/>
            <w:noWrap/>
            <w:tcMar>
              <w:left w:w="0" w:type="dxa"/>
              <w:right w:w="0" w:type="dxa"/>
            </w:tcMar>
            <w:textDirection w:val="btLr"/>
            <w:vAlign w:val="center"/>
            <w:hideMark/>
          </w:tcPr>
          <w:p w14:paraId="21D12F68"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Lobophyllia</w:t>
            </w:r>
          </w:p>
        </w:tc>
        <w:tc>
          <w:tcPr>
            <w:tcW w:w="302" w:type="dxa"/>
            <w:shd w:val="clear" w:color="auto" w:fill="F2F2F2" w:themeFill="background1" w:themeFillShade="F2"/>
            <w:noWrap/>
            <w:tcMar>
              <w:left w:w="0" w:type="dxa"/>
              <w:right w:w="0" w:type="dxa"/>
            </w:tcMar>
            <w:textDirection w:val="btLr"/>
            <w:vAlign w:val="center"/>
            <w:hideMark/>
          </w:tcPr>
          <w:p w14:paraId="71148025"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Merulina</w:t>
            </w:r>
          </w:p>
        </w:tc>
        <w:tc>
          <w:tcPr>
            <w:tcW w:w="302" w:type="dxa"/>
            <w:shd w:val="clear" w:color="auto" w:fill="F2F2F2" w:themeFill="background1" w:themeFillShade="F2"/>
            <w:noWrap/>
            <w:tcMar>
              <w:left w:w="0" w:type="dxa"/>
              <w:right w:w="0" w:type="dxa"/>
            </w:tcMar>
            <w:textDirection w:val="btLr"/>
            <w:vAlign w:val="center"/>
            <w:hideMark/>
          </w:tcPr>
          <w:p w14:paraId="3A8503B4"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Montipora</w:t>
            </w:r>
          </w:p>
        </w:tc>
        <w:tc>
          <w:tcPr>
            <w:tcW w:w="343" w:type="dxa"/>
            <w:shd w:val="clear" w:color="auto" w:fill="F2F2F2" w:themeFill="background1" w:themeFillShade="F2"/>
            <w:noWrap/>
            <w:tcMar>
              <w:left w:w="0" w:type="dxa"/>
              <w:right w:w="0" w:type="dxa"/>
            </w:tcMar>
            <w:textDirection w:val="btLr"/>
            <w:vAlign w:val="center"/>
            <w:hideMark/>
          </w:tcPr>
          <w:p w14:paraId="1BEBD866"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Mycedium</w:t>
            </w:r>
          </w:p>
        </w:tc>
        <w:tc>
          <w:tcPr>
            <w:tcW w:w="302" w:type="dxa"/>
            <w:shd w:val="clear" w:color="auto" w:fill="F2F2F2" w:themeFill="background1" w:themeFillShade="F2"/>
            <w:noWrap/>
            <w:tcMar>
              <w:left w:w="0" w:type="dxa"/>
              <w:right w:w="0" w:type="dxa"/>
            </w:tcMar>
            <w:textDirection w:val="btLr"/>
            <w:vAlign w:val="center"/>
            <w:hideMark/>
          </w:tcPr>
          <w:p w14:paraId="41D989E3"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Oxypora</w:t>
            </w:r>
          </w:p>
        </w:tc>
        <w:tc>
          <w:tcPr>
            <w:tcW w:w="302" w:type="dxa"/>
            <w:shd w:val="clear" w:color="auto" w:fill="F2F2F2" w:themeFill="background1" w:themeFillShade="F2"/>
            <w:noWrap/>
            <w:tcMar>
              <w:left w:w="0" w:type="dxa"/>
              <w:right w:w="0" w:type="dxa"/>
            </w:tcMar>
            <w:textDirection w:val="btLr"/>
            <w:vAlign w:val="center"/>
            <w:hideMark/>
          </w:tcPr>
          <w:p w14:paraId="518B9238"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Pachyseris</w:t>
            </w:r>
          </w:p>
        </w:tc>
        <w:tc>
          <w:tcPr>
            <w:tcW w:w="302" w:type="dxa"/>
            <w:shd w:val="clear" w:color="auto" w:fill="F2F2F2" w:themeFill="background1" w:themeFillShade="F2"/>
            <w:noWrap/>
            <w:tcMar>
              <w:left w:w="0" w:type="dxa"/>
              <w:right w:w="0" w:type="dxa"/>
            </w:tcMar>
            <w:textDirection w:val="btLr"/>
            <w:vAlign w:val="center"/>
            <w:hideMark/>
          </w:tcPr>
          <w:p w14:paraId="7275567E"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Pavona</w:t>
            </w:r>
          </w:p>
        </w:tc>
        <w:tc>
          <w:tcPr>
            <w:tcW w:w="302" w:type="dxa"/>
            <w:shd w:val="clear" w:color="auto" w:fill="F2F2F2" w:themeFill="background1" w:themeFillShade="F2"/>
            <w:noWrap/>
            <w:tcMar>
              <w:left w:w="0" w:type="dxa"/>
              <w:right w:w="0" w:type="dxa"/>
            </w:tcMar>
            <w:textDirection w:val="btLr"/>
            <w:vAlign w:val="center"/>
            <w:hideMark/>
          </w:tcPr>
          <w:p w14:paraId="1A840C0C"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Pectinia</w:t>
            </w:r>
          </w:p>
        </w:tc>
        <w:tc>
          <w:tcPr>
            <w:tcW w:w="302" w:type="dxa"/>
            <w:shd w:val="clear" w:color="auto" w:fill="F2F2F2" w:themeFill="background1" w:themeFillShade="F2"/>
            <w:noWrap/>
            <w:tcMar>
              <w:left w:w="0" w:type="dxa"/>
              <w:right w:w="0" w:type="dxa"/>
            </w:tcMar>
            <w:textDirection w:val="btLr"/>
            <w:vAlign w:val="center"/>
            <w:hideMark/>
          </w:tcPr>
          <w:p w14:paraId="56CEEDF7"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Platygyra</w:t>
            </w:r>
          </w:p>
        </w:tc>
        <w:tc>
          <w:tcPr>
            <w:tcW w:w="302" w:type="dxa"/>
            <w:shd w:val="clear" w:color="auto" w:fill="F2F2F2" w:themeFill="background1" w:themeFillShade="F2"/>
            <w:noWrap/>
            <w:tcMar>
              <w:left w:w="0" w:type="dxa"/>
              <w:right w:w="0" w:type="dxa"/>
            </w:tcMar>
            <w:textDirection w:val="btLr"/>
            <w:vAlign w:val="center"/>
            <w:hideMark/>
          </w:tcPr>
          <w:p w14:paraId="5B8C131E"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Pleisiastrea</w:t>
            </w:r>
          </w:p>
        </w:tc>
        <w:tc>
          <w:tcPr>
            <w:tcW w:w="302" w:type="dxa"/>
            <w:shd w:val="clear" w:color="auto" w:fill="F2F2F2" w:themeFill="background1" w:themeFillShade="F2"/>
            <w:noWrap/>
            <w:tcMar>
              <w:left w:w="0" w:type="dxa"/>
              <w:right w:w="0" w:type="dxa"/>
            </w:tcMar>
            <w:textDirection w:val="btLr"/>
            <w:vAlign w:val="center"/>
            <w:hideMark/>
          </w:tcPr>
          <w:p w14:paraId="27C63F71"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Pocillopora</w:t>
            </w:r>
          </w:p>
        </w:tc>
        <w:tc>
          <w:tcPr>
            <w:tcW w:w="302" w:type="dxa"/>
            <w:shd w:val="clear" w:color="auto" w:fill="F2F2F2" w:themeFill="background1" w:themeFillShade="F2"/>
            <w:noWrap/>
            <w:tcMar>
              <w:left w:w="0" w:type="dxa"/>
              <w:right w:w="0" w:type="dxa"/>
            </w:tcMar>
            <w:textDirection w:val="btLr"/>
            <w:vAlign w:val="center"/>
            <w:hideMark/>
          </w:tcPr>
          <w:p w14:paraId="7B7C87D9"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Podobacia</w:t>
            </w:r>
          </w:p>
        </w:tc>
        <w:tc>
          <w:tcPr>
            <w:tcW w:w="369" w:type="dxa"/>
            <w:shd w:val="clear" w:color="auto" w:fill="F2F2F2" w:themeFill="background1" w:themeFillShade="F2"/>
            <w:noWrap/>
            <w:tcMar>
              <w:left w:w="0" w:type="dxa"/>
              <w:right w:w="0" w:type="dxa"/>
            </w:tcMar>
            <w:textDirection w:val="btLr"/>
            <w:vAlign w:val="center"/>
            <w:hideMark/>
          </w:tcPr>
          <w:p w14:paraId="737479B4"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Porites</w:t>
            </w:r>
          </w:p>
        </w:tc>
        <w:tc>
          <w:tcPr>
            <w:tcW w:w="302" w:type="dxa"/>
            <w:shd w:val="clear" w:color="auto" w:fill="F2F2F2" w:themeFill="background1" w:themeFillShade="F2"/>
            <w:noWrap/>
            <w:tcMar>
              <w:left w:w="0" w:type="dxa"/>
              <w:right w:w="0" w:type="dxa"/>
            </w:tcMar>
            <w:textDirection w:val="btLr"/>
            <w:vAlign w:val="center"/>
            <w:hideMark/>
          </w:tcPr>
          <w:p w14:paraId="566DE18E"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Psammocora</w:t>
            </w:r>
          </w:p>
        </w:tc>
        <w:tc>
          <w:tcPr>
            <w:tcW w:w="302" w:type="dxa"/>
            <w:shd w:val="clear" w:color="auto" w:fill="F2F2F2" w:themeFill="background1" w:themeFillShade="F2"/>
            <w:noWrap/>
            <w:tcMar>
              <w:left w:w="0" w:type="dxa"/>
              <w:right w:w="0" w:type="dxa"/>
            </w:tcMar>
            <w:textDirection w:val="btLr"/>
            <w:vAlign w:val="center"/>
            <w:hideMark/>
          </w:tcPr>
          <w:p w14:paraId="5072E578"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Seriatopora</w:t>
            </w:r>
          </w:p>
        </w:tc>
        <w:tc>
          <w:tcPr>
            <w:tcW w:w="302" w:type="dxa"/>
            <w:shd w:val="clear" w:color="auto" w:fill="F2F2F2" w:themeFill="background1" w:themeFillShade="F2"/>
            <w:noWrap/>
            <w:tcMar>
              <w:left w:w="0" w:type="dxa"/>
              <w:right w:w="0" w:type="dxa"/>
            </w:tcMar>
            <w:textDirection w:val="btLr"/>
            <w:vAlign w:val="center"/>
            <w:hideMark/>
          </w:tcPr>
          <w:p w14:paraId="62DA011C"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Stylophora</w:t>
            </w:r>
          </w:p>
        </w:tc>
        <w:tc>
          <w:tcPr>
            <w:tcW w:w="302" w:type="dxa"/>
            <w:shd w:val="clear" w:color="auto" w:fill="F2F2F2" w:themeFill="background1" w:themeFillShade="F2"/>
            <w:noWrap/>
            <w:tcMar>
              <w:left w:w="0" w:type="dxa"/>
              <w:right w:w="0" w:type="dxa"/>
            </w:tcMar>
            <w:textDirection w:val="btLr"/>
            <w:vAlign w:val="center"/>
            <w:hideMark/>
          </w:tcPr>
          <w:p w14:paraId="60698B2D"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Symphyllia</w:t>
            </w:r>
          </w:p>
        </w:tc>
        <w:tc>
          <w:tcPr>
            <w:tcW w:w="405" w:type="dxa"/>
            <w:shd w:val="clear" w:color="auto" w:fill="F2F2F2" w:themeFill="background1" w:themeFillShade="F2"/>
            <w:noWrap/>
            <w:tcMar>
              <w:left w:w="0" w:type="dxa"/>
              <w:right w:w="0" w:type="dxa"/>
            </w:tcMar>
            <w:textDirection w:val="btLr"/>
            <w:vAlign w:val="center"/>
            <w:hideMark/>
          </w:tcPr>
          <w:p w14:paraId="4C0D2ECA" w14:textId="77777777" w:rsidR="00FF1B38" w:rsidRPr="002E2EB3" w:rsidRDefault="00FF1B38" w:rsidP="009276CC">
            <w:pPr>
              <w:spacing w:after="0"/>
              <w:jc w:val="center"/>
              <w:rPr>
                <w:rFonts w:ascii="Calibri" w:hAnsi="Calibri"/>
                <w:i/>
                <w:iCs/>
                <w:color w:val="000000"/>
                <w:szCs w:val="22"/>
                <w:lang w:val="en-AU" w:eastAsia="en-AU"/>
              </w:rPr>
            </w:pPr>
            <w:r w:rsidRPr="002E2EB3">
              <w:rPr>
                <w:rFonts w:ascii="Calibri" w:hAnsi="Calibri"/>
                <w:i/>
                <w:iCs/>
                <w:color w:val="000000"/>
                <w:szCs w:val="22"/>
                <w:lang w:val="en-AU" w:eastAsia="en-AU"/>
              </w:rPr>
              <w:t>Turbinaria</w:t>
            </w:r>
          </w:p>
        </w:tc>
        <w:tc>
          <w:tcPr>
            <w:tcW w:w="439" w:type="dxa"/>
            <w:shd w:val="clear" w:color="auto" w:fill="F2F2F2" w:themeFill="background1" w:themeFillShade="F2"/>
            <w:noWrap/>
            <w:tcMar>
              <w:left w:w="0" w:type="dxa"/>
              <w:right w:w="0" w:type="dxa"/>
            </w:tcMar>
            <w:textDirection w:val="btLr"/>
            <w:vAlign w:val="center"/>
            <w:hideMark/>
          </w:tcPr>
          <w:p w14:paraId="30C8D55F" w14:textId="77777777" w:rsidR="00FF1B38" w:rsidRPr="002E2EB3" w:rsidRDefault="00FF1B38" w:rsidP="009276CC">
            <w:pPr>
              <w:spacing w:after="0"/>
              <w:jc w:val="center"/>
              <w:rPr>
                <w:rFonts w:ascii="Calibri" w:hAnsi="Calibri"/>
                <w:color w:val="000000"/>
                <w:szCs w:val="22"/>
                <w:lang w:val="en-AU" w:eastAsia="en-AU"/>
              </w:rPr>
            </w:pPr>
            <w:r w:rsidRPr="002E2EB3">
              <w:rPr>
                <w:rFonts w:ascii="Calibri" w:hAnsi="Calibri"/>
                <w:color w:val="000000"/>
                <w:szCs w:val="22"/>
                <w:lang w:val="en-AU" w:eastAsia="en-AU"/>
              </w:rPr>
              <w:t>Other</w:t>
            </w:r>
          </w:p>
        </w:tc>
      </w:tr>
      <w:tr w:rsidR="00FF1B38" w:rsidRPr="002E2EB3" w14:paraId="20D723DD" w14:textId="77777777" w:rsidTr="009276CC">
        <w:trPr>
          <w:trHeight w:val="300"/>
        </w:trPr>
        <w:tc>
          <w:tcPr>
            <w:tcW w:w="545" w:type="dxa"/>
            <w:vMerge w:val="restart"/>
            <w:shd w:val="clear" w:color="auto" w:fill="auto"/>
            <w:noWrap/>
            <w:tcMar>
              <w:left w:w="0" w:type="dxa"/>
              <w:right w:w="0" w:type="dxa"/>
            </w:tcMar>
            <w:textDirection w:val="btLr"/>
            <w:vAlign w:val="center"/>
            <w:hideMark/>
          </w:tcPr>
          <w:p w14:paraId="7802DF6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Fitzroy</w:t>
            </w:r>
          </w:p>
        </w:tc>
        <w:tc>
          <w:tcPr>
            <w:tcW w:w="1649" w:type="dxa"/>
            <w:vMerge w:val="restart"/>
            <w:shd w:val="clear" w:color="auto" w:fill="auto"/>
            <w:noWrap/>
            <w:tcMar>
              <w:left w:w="0" w:type="dxa"/>
              <w:right w:w="0" w:type="dxa"/>
            </w:tcMar>
            <w:vAlign w:val="center"/>
            <w:hideMark/>
          </w:tcPr>
          <w:p w14:paraId="21418E1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Barren</w:t>
            </w:r>
          </w:p>
        </w:tc>
        <w:tc>
          <w:tcPr>
            <w:tcW w:w="438" w:type="dxa"/>
            <w:shd w:val="clear" w:color="auto" w:fill="auto"/>
            <w:noWrap/>
            <w:tcMar>
              <w:left w:w="0" w:type="dxa"/>
              <w:right w:w="0" w:type="dxa"/>
            </w:tcMar>
            <w:vAlign w:val="center"/>
            <w:hideMark/>
          </w:tcPr>
          <w:p w14:paraId="6AF6001E"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7A6F7C5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5.88</w:t>
            </w:r>
          </w:p>
        </w:tc>
        <w:tc>
          <w:tcPr>
            <w:tcW w:w="301" w:type="dxa"/>
            <w:shd w:val="clear" w:color="auto" w:fill="auto"/>
            <w:noWrap/>
            <w:tcMar>
              <w:left w:w="0" w:type="dxa"/>
              <w:right w:w="0" w:type="dxa"/>
            </w:tcMar>
            <w:vAlign w:val="center"/>
            <w:hideMark/>
          </w:tcPr>
          <w:p w14:paraId="22017F0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E73FC2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29D234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15E729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F5E0B7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45EB294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99A659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338874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AA9BF4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D1CBC0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265FDD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5DC8A5E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59280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057296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ADB211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3923C3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C1BD19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5.63</w:t>
            </w:r>
          </w:p>
        </w:tc>
        <w:tc>
          <w:tcPr>
            <w:tcW w:w="343" w:type="dxa"/>
            <w:shd w:val="clear" w:color="auto" w:fill="auto"/>
            <w:noWrap/>
            <w:tcMar>
              <w:left w:w="0" w:type="dxa"/>
              <w:right w:w="0" w:type="dxa"/>
            </w:tcMar>
            <w:vAlign w:val="center"/>
            <w:hideMark/>
          </w:tcPr>
          <w:p w14:paraId="32441A4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9B18EE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BC5189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34CB09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02088D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B2EB27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980692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E4EB75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CDB501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049CDFB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13E790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4B587F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32EC03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390C68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341C62D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40087E0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r>
      <w:tr w:rsidR="00FF1B38" w:rsidRPr="002E2EB3" w14:paraId="31E845A0" w14:textId="77777777" w:rsidTr="009276CC">
        <w:trPr>
          <w:trHeight w:val="300"/>
        </w:trPr>
        <w:tc>
          <w:tcPr>
            <w:tcW w:w="545" w:type="dxa"/>
            <w:vMerge/>
            <w:tcMar>
              <w:left w:w="0" w:type="dxa"/>
              <w:right w:w="0" w:type="dxa"/>
            </w:tcMar>
            <w:vAlign w:val="center"/>
            <w:hideMark/>
          </w:tcPr>
          <w:p w14:paraId="7887A8E7"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07679B09"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2CB3582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7749864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31.9</w:t>
            </w:r>
          </w:p>
        </w:tc>
        <w:tc>
          <w:tcPr>
            <w:tcW w:w="301" w:type="dxa"/>
            <w:shd w:val="clear" w:color="auto" w:fill="auto"/>
            <w:noWrap/>
            <w:tcMar>
              <w:left w:w="0" w:type="dxa"/>
              <w:right w:w="0" w:type="dxa"/>
            </w:tcMar>
            <w:vAlign w:val="center"/>
            <w:hideMark/>
          </w:tcPr>
          <w:p w14:paraId="5AB0BE1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97934A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9E68CC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CB4073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18576B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4827102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DA2CC2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97EF24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62135C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319F98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68673C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F147AE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FBCA39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2DC113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F8CA05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0F079D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47EB1D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43" w:type="dxa"/>
            <w:shd w:val="clear" w:color="auto" w:fill="auto"/>
            <w:noWrap/>
            <w:tcMar>
              <w:left w:w="0" w:type="dxa"/>
              <w:right w:w="0" w:type="dxa"/>
            </w:tcMar>
            <w:vAlign w:val="center"/>
            <w:hideMark/>
          </w:tcPr>
          <w:p w14:paraId="7B78D67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5C9C71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8E788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55B84F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3089F3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CD0F69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791EBF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416DB3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BE3CCE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6D39900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457B7D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4353FE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9E03CC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87A3C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00A3308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0F89BB6F"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25ADF10C" w14:textId="77777777" w:rsidTr="009276CC">
        <w:trPr>
          <w:trHeight w:val="300"/>
        </w:trPr>
        <w:tc>
          <w:tcPr>
            <w:tcW w:w="545" w:type="dxa"/>
            <w:vMerge/>
            <w:tcMar>
              <w:left w:w="0" w:type="dxa"/>
              <w:right w:w="0" w:type="dxa"/>
            </w:tcMar>
            <w:vAlign w:val="center"/>
            <w:hideMark/>
          </w:tcPr>
          <w:p w14:paraId="36C3E839"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14B0B3C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North Keppel</w:t>
            </w:r>
          </w:p>
        </w:tc>
        <w:tc>
          <w:tcPr>
            <w:tcW w:w="438" w:type="dxa"/>
            <w:shd w:val="clear" w:color="auto" w:fill="auto"/>
            <w:noWrap/>
            <w:tcMar>
              <w:left w:w="0" w:type="dxa"/>
              <w:right w:w="0" w:type="dxa"/>
            </w:tcMar>
            <w:vAlign w:val="center"/>
            <w:hideMark/>
          </w:tcPr>
          <w:p w14:paraId="59EDAC03"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0DECDD5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26.2</w:t>
            </w:r>
          </w:p>
        </w:tc>
        <w:tc>
          <w:tcPr>
            <w:tcW w:w="301" w:type="dxa"/>
            <w:shd w:val="clear" w:color="auto" w:fill="auto"/>
            <w:noWrap/>
            <w:tcMar>
              <w:left w:w="0" w:type="dxa"/>
              <w:right w:w="0" w:type="dxa"/>
            </w:tcMar>
            <w:vAlign w:val="center"/>
            <w:hideMark/>
          </w:tcPr>
          <w:p w14:paraId="52F300F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4F78880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E064F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320EF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18BD7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3CE6318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605D60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8F01B1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E4D023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1.69</w:t>
            </w:r>
          </w:p>
        </w:tc>
        <w:tc>
          <w:tcPr>
            <w:tcW w:w="302" w:type="dxa"/>
            <w:shd w:val="clear" w:color="auto" w:fill="auto"/>
            <w:noWrap/>
            <w:tcMar>
              <w:left w:w="0" w:type="dxa"/>
              <w:right w:w="0" w:type="dxa"/>
            </w:tcMar>
            <w:vAlign w:val="center"/>
            <w:hideMark/>
          </w:tcPr>
          <w:p w14:paraId="6B5A301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DF50E1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D2B94A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F298F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4E334D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B6DFDC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5ADC2E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61B5C0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343" w:type="dxa"/>
            <w:shd w:val="clear" w:color="auto" w:fill="auto"/>
            <w:noWrap/>
            <w:tcMar>
              <w:left w:w="0" w:type="dxa"/>
              <w:right w:w="0" w:type="dxa"/>
            </w:tcMar>
            <w:vAlign w:val="center"/>
            <w:hideMark/>
          </w:tcPr>
          <w:p w14:paraId="22A579C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13D212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12DC3E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3C1AD5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822D6F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B9C9F3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294B54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DFB5CC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F222A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0CC69C1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5FF65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0E7AB12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3EB634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84BD45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201EB12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547EF5F1"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397B4037" w14:textId="77777777" w:rsidTr="009276CC">
        <w:trPr>
          <w:trHeight w:val="300"/>
        </w:trPr>
        <w:tc>
          <w:tcPr>
            <w:tcW w:w="545" w:type="dxa"/>
            <w:vMerge/>
            <w:tcMar>
              <w:left w:w="0" w:type="dxa"/>
              <w:right w:w="0" w:type="dxa"/>
            </w:tcMar>
            <w:vAlign w:val="center"/>
            <w:hideMark/>
          </w:tcPr>
          <w:p w14:paraId="1D0532AD"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6B75DE1A"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23D681AF"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7739E25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9.00</w:t>
            </w:r>
          </w:p>
        </w:tc>
        <w:tc>
          <w:tcPr>
            <w:tcW w:w="301" w:type="dxa"/>
            <w:shd w:val="clear" w:color="auto" w:fill="auto"/>
            <w:noWrap/>
            <w:tcMar>
              <w:left w:w="0" w:type="dxa"/>
              <w:right w:w="0" w:type="dxa"/>
            </w:tcMar>
            <w:vAlign w:val="center"/>
            <w:hideMark/>
          </w:tcPr>
          <w:p w14:paraId="02AC7C7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E30CEC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17A974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70AFCA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B8B556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2B5930C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7B2329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A4AB57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F1FCF4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0.50</w:t>
            </w:r>
          </w:p>
        </w:tc>
        <w:tc>
          <w:tcPr>
            <w:tcW w:w="302" w:type="dxa"/>
            <w:shd w:val="clear" w:color="auto" w:fill="auto"/>
            <w:noWrap/>
            <w:tcMar>
              <w:left w:w="0" w:type="dxa"/>
              <w:right w:w="0" w:type="dxa"/>
            </w:tcMar>
            <w:vAlign w:val="center"/>
            <w:hideMark/>
          </w:tcPr>
          <w:p w14:paraId="525F89B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6342BA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A7B28D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1D9A5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5B0107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E73CE8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C757E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984159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0.69</w:t>
            </w:r>
          </w:p>
        </w:tc>
        <w:tc>
          <w:tcPr>
            <w:tcW w:w="343" w:type="dxa"/>
            <w:shd w:val="clear" w:color="auto" w:fill="auto"/>
            <w:noWrap/>
            <w:tcMar>
              <w:left w:w="0" w:type="dxa"/>
              <w:right w:w="0" w:type="dxa"/>
            </w:tcMar>
            <w:vAlign w:val="center"/>
            <w:hideMark/>
          </w:tcPr>
          <w:p w14:paraId="1B3DA93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792390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FA3111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DD3A51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B71B90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4D503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AE3406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B2A5CC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335078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746F388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9D7CB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16A082A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6C1F7E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A50E0B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0BCAA1D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77B01750"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29D7EEF7" w14:textId="77777777" w:rsidTr="009276CC">
        <w:trPr>
          <w:trHeight w:val="300"/>
        </w:trPr>
        <w:tc>
          <w:tcPr>
            <w:tcW w:w="545" w:type="dxa"/>
            <w:vMerge/>
            <w:tcMar>
              <w:left w:w="0" w:type="dxa"/>
              <w:right w:w="0" w:type="dxa"/>
            </w:tcMar>
            <w:vAlign w:val="center"/>
            <w:hideMark/>
          </w:tcPr>
          <w:p w14:paraId="485B440A"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704E071A"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Middle</w:t>
            </w:r>
          </w:p>
        </w:tc>
        <w:tc>
          <w:tcPr>
            <w:tcW w:w="438" w:type="dxa"/>
            <w:shd w:val="clear" w:color="auto" w:fill="auto"/>
            <w:noWrap/>
            <w:tcMar>
              <w:left w:w="0" w:type="dxa"/>
              <w:right w:w="0" w:type="dxa"/>
            </w:tcMar>
            <w:vAlign w:val="center"/>
            <w:hideMark/>
          </w:tcPr>
          <w:p w14:paraId="7C73579E"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6FF54D3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21.8</w:t>
            </w:r>
          </w:p>
        </w:tc>
        <w:tc>
          <w:tcPr>
            <w:tcW w:w="301" w:type="dxa"/>
            <w:shd w:val="clear" w:color="auto" w:fill="auto"/>
            <w:noWrap/>
            <w:tcMar>
              <w:left w:w="0" w:type="dxa"/>
              <w:right w:w="0" w:type="dxa"/>
            </w:tcMar>
            <w:vAlign w:val="center"/>
            <w:hideMark/>
          </w:tcPr>
          <w:p w14:paraId="30A145A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5FAC4F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062ACF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4916D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A1E9F6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73D6C30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103F63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009C21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168074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3EED2D7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BF5873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5504AA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44CB9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E64973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40920B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D391E9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357685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1.94</w:t>
            </w:r>
          </w:p>
        </w:tc>
        <w:tc>
          <w:tcPr>
            <w:tcW w:w="343" w:type="dxa"/>
            <w:shd w:val="clear" w:color="auto" w:fill="auto"/>
            <w:noWrap/>
            <w:tcMar>
              <w:left w:w="0" w:type="dxa"/>
              <w:right w:w="0" w:type="dxa"/>
            </w:tcMar>
            <w:vAlign w:val="center"/>
            <w:hideMark/>
          </w:tcPr>
          <w:p w14:paraId="7B4A912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6AF137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58B23D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5EA8D9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247240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E3D637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141E17B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181851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40DC0F4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554433D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486DA9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47D826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E00097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2793EC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306B2D5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1AB84265"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535E4AEA" w14:textId="77777777" w:rsidTr="009276CC">
        <w:trPr>
          <w:trHeight w:val="300"/>
        </w:trPr>
        <w:tc>
          <w:tcPr>
            <w:tcW w:w="545" w:type="dxa"/>
            <w:vMerge/>
            <w:tcMar>
              <w:left w:w="0" w:type="dxa"/>
              <w:right w:w="0" w:type="dxa"/>
            </w:tcMar>
            <w:vAlign w:val="center"/>
            <w:hideMark/>
          </w:tcPr>
          <w:p w14:paraId="5BF73E23"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3717BEB3"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24FBA7C7"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6560537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9.94</w:t>
            </w:r>
          </w:p>
        </w:tc>
        <w:tc>
          <w:tcPr>
            <w:tcW w:w="301" w:type="dxa"/>
            <w:shd w:val="clear" w:color="auto" w:fill="auto"/>
            <w:noWrap/>
            <w:tcMar>
              <w:left w:w="0" w:type="dxa"/>
              <w:right w:w="0" w:type="dxa"/>
            </w:tcMar>
            <w:vAlign w:val="center"/>
            <w:hideMark/>
          </w:tcPr>
          <w:p w14:paraId="3B6EAB5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FB0CBE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C8C255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780E66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712C9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26B8630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ABAB7F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83044B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EC8ECF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shd w:val="clear" w:color="auto" w:fill="auto"/>
            <w:noWrap/>
            <w:tcMar>
              <w:left w:w="0" w:type="dxa"/>
              <w:right w:w="0" w:type="dxa"/>
            </w:tcMar>
            <w:vAlign w:val="center"/>
            <w:hideMark/>
          </w:tcPr>
          <w:p w14:paraId="6D38447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2A800B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2306B3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68CC9D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227CF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C4ECEF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6669F3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9F5DCE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43" w:type="dxa"/>
            <w:shd w:val="clear" w:color="auto" w:fill="auto"/>
            <w:noWrap/>
            <w:tcMar>
              <w:left w:w="0" w:type="dxa"/>
              <w:right w:w="0" w:type="dxa"/>
            </w:tcMar>
            <w:vAlign w:val="center"/>
            <w:hideMark/>
          </w:tcPr>
          <w:p w14:paraId="2827D23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AB9964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CC7D28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8E4549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A8F077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C1F3B6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shd w:val="clear" w:color="auto" w:fill="auto"/>
            <w:noWrap/>
            <w:tcMar>
              <w:left w:w="0" w:type="dxa"/>
              <w:right w:w="0" w:type="dxa"/>
            </w:tcMar>
            <w:vAlign w:val="center"/>
            <w:hideMark/>
          </w:tcPr>
          <w:p w14:paraId="25359A1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465DB8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22A4464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1327EE87"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DF66C6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1A8E66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79C18E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73DF6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0A4F81D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439" w:type="dxa"/>
            <w:shd w:val="clear" w:color="auto" w:fill="auto"/>
            <w:noWrap/>
            <w:tcMar>
              <w:left w:w="0" w:type="dxa"/>
              <w:right w:w="0" w:type="dxa"/>
            </w:tcMar>
            <w:vAlign w:val="center"/>
            <w:hideMark/>
          </w:tcPr>
          <w:p w14:paraId="2735BB47"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58E0A1ED" w14:textId="77777777" w:rsidTr="009276CC">
        <w:trPr>
          <w:trHeight w:val="300"/>
        </w:trPr>
        <w:tc>
          <w:tcPr>
            <w:tcW w:w="545" w:type="dxa"/>
            <w:vMerge/>
            <w:tcMar>
              <w:left w:w="0" w:type="dxa"/>
              <w:right w:w="0" w:type="dxa"/>
            </w:tcMar>
            <w:vAlign w:val="center"/>
            <w:hideMark/>
          </w:tcPr>
          <w:p w14:paraId="636CCEB8"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60434F45"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Keppels South</w:t>
            </w:r>
          </w:p>
        </w:tc>
        <w:tc>
          <w:tcPr>
            <w:tcW w:w="438" w:type="dxa"/>
            <w:tcBorders>
              <w:bottom w:val="single" w:sz="4" w:space="0" w:color="auto"/>
            </w:tcBorders>
            <w:shd w:val="clear" w:color="auto" w:fill="auto"/>
            <w:noWrap/>
            <w:tcMar>
              <w:left w:w="0" w:type="dxa"/>
              <w:right w:w="0" w:type="dxa"/>
            </w:tcMar>
            <w:vAlign w:val="center"/>
            <w:hideMark/>
          </w:tcPr>
          <w:p w14:paraId="1144EF86"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tcBorders>
              <w:bottom w:val="single" w:sz="4" w:space="0" w:color="auto"/>
            </w:tcBorders>
            <w:shd w:val="clear" w:color="auto" w:fill="auto"/>
            <w:noWrap/>
            <w:tcMar>
              <w:left w:w="0" w:type="dxa"/>
              <w:right w:w="0" w:type="dxa"/>
            </w:tcMar>
            <w:vAlign w:val="center"/>
            <w:hideMark/>
          </w:tcPr>
          <w:p w14:paraId="1CA598E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7.25</w:t>
            </w:r>
          </w:p>
        </w:tc>
        <w:tc>
          <w:tcPr>
            <w:tcW w:w="301" w:type="dxa"/>
            <w:tcBorders>
              <w:bottom w:val="single" w:sz="4" w:space="0" w:color="auto"/>
            </w:tcBorders>
            <w:shd w:val="clear" w:color="auto" w:fill="auto"/>
            <w:noWrap/>
            <w:tcMar>
              <w:left w:w="0" w:type="dxa"/>
              <w:right w:w="0" w:type="dxa"/>
            </w:tcMar>
            <w:vAlign w:val="center"/>
            <w:hideMark/>
          </w:tcPr>
          <w:p w14:paraId="17E7E31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tcBorders>
              <w:bottom w:val="single" w:sz="4" w:space="0" w:color="auto"/>
            </w:tcBorders>
            <w:shd w:val="clear" w:color="auto" w:fill="auto"/>
            <w:noWrap/>
            <w:tcMar>
              <w:left w:w="0" w:type="dxa"/>
              <w:right w:w="0" w:type="dxa"/>
            </w:tcMar>
            <w:vAlign w:val="center"/>
            <w:hideMark/>
          </w:tcPr>
          <w:p w14:paraId="35FF7E9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tcBorders>
              <w:bottom w:val="single" w:sz="4" w:space="0" w:color="auto"/>
            </w:tcBorders>
            <w:shd w:val="clear" w:color="auto" w:fill="auto"/>
            <w:noWrap/>
            <w:tcMar>
              <w:left w:w="0" w:type="dxa"/>
              <w:right w:w="0" w:type="dxa"/>
            </w:tcMar>
            <w:vAlign w:val="center"/>
            <w:hideMark/>
          </w:tcPr>
          <w:p w14:paraId="25A71D4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tcBorders>
              <w:bottom w:val="single" w:sz="4" w:space="0" w:color="auto"/>
            </w:tcBorders>
            <w:shd w:val="clear" w:color="auto" w:fill="auto"/>
            <w:noWrap/>
            <w:tcMar>
              <w:left w:w="0" w:type="dxa"/>
              <w:right w:w="0" w:type="dxa"/>
            </w:tcMar>
            <w:vAlign w:val="center"/>
            <w:hideMark/>
          </w:tcPr>
          <w:p w14:paraId="171BD54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tcBorders>
              <w:bottom w:val="single" w:sz="4" w:space="0" w:color="auto"/>
            </w:tcBorders>
            <w:shd w:val="clear" w:color="auto" w:fill="auto"/>
            <w:noWrap/>
            <w:tcMar>
              <w:left w:w="0" w:type="dxa"/>
              <w:right w:w="0" w:type="dxa"/>
            </w:tcMar>
            <w:vAlign w:val="center"/>
            <w:hideMark/>
          </w:tcPr>
          <w:p w14:paraId="21D221D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tcBorders>
              <w:bottom w:val="single" w:sz="4" w:space="0" w:color="auto"/>
            </w:tcBorders>
            <w:shd w:val="clear" w:color="auto" w:fill="auto"/>
            <w:noWrap/>
            <w:tcMar>
              <w:left w:w="0" w:type="dxa"/>
              <w:right w:w="0" w:type="dxa"/>
            </w:tcMar>
            <w:vAlign w:val="center"/>
            <w:hideMark/>
          </w:tcPr>
          <w:p w14:paraId="15692A8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7E90FBF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1B202AA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3C10E10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tcBorders>
              <w:bottom w:val="single" w:sz="4" w:space="0" w:color="auto"/>
            </w:tcBorders>
            <w:shd w:val="clear" w:color="auto" w:fill="auto"/>
            <w:noWrap/>
            <w:tcMar>
              <w:left w:w="0" w:type="dxa"/>
              <w:right w:w="0" w:type="dxa"/>
            </w:tcMar>
            <w:vAlign w:val="center"/>
            <w:hideMark/>
          </w:tcPr>
          <w:p w14:paraId="6E9557E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725B1A8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2C14A6F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2F57604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46153CE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37CDBA0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6A66E8D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08FFB72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1.07</w:t>
            </w:r>
          </w:p>
        </w:tc>
        <w:tc>
          <w:tcPr>
            <w:tcW w:w="343" w:type="dxa"/>
            <w:tcBorders>
              <w:bottom w:val="single" w:sz="4" w:space="0" w:color="auto"/>
            </w:tcBorders>
            <w:shd w:val="clear" w:color="auto" w:fill="auto"/>
            <w:noWrap/>
            <w:tcMar>
              <w:left w:w="0" w:type="dxa"/>
              <w:right w:w="0" w:type="dxa"/>
            </w:tcMar>
            <w:vAlign w:val="center"/>
            <w:hideMark/>
          </w:tcPr>
          <w:p w14:paraId="552249B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1F7265D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02BAC99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52D3AA4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1D3911A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3167480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624300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3F862E8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c>
          <w:tcPr>
            <w:tcW w:w="302" w:type="dxa"/>
            <w:tcBorders>
              <w:bottom w:val="single" w:sz="4" w:space="0" w:color="auto"/>
            </w:tcBorders>
            <w:shd w:val="clear" w:color="auto" w:fill="auto"/>
            <w:noWrap/>
            <w:tcMar>
              <w:left w:w="0" w:type="dxa"/>
              <w:right w:w="0" w:type="dxa"/>
            </w:tcMar>
            <w:vAlign w:val="center"/>
            <w:hideMark/>
          </w:tcPr>
          <w:p w14:paraId="19B4BD8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tcBorders>
              <w:bottom w:val="single" w:sz="4" w:space="0" w:color="auto"/>
            </w:tcBorders>
            <w:shd w:val="clear" w:color="auto" w:fill="auto"/>
            <w:noWrap/>
            <w:tcMar>
              <w:left w:w="0" w:type="dxa"/>
              <w:right w:w="0" w:type="dxa"/>
            </w:tcMar>
            <w:vAlign w:val="center"/>
            <w:hideMark/>
          </w:tcPr>
          <w:p w14:paraId="45D6AF0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58050C4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54B5329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4661F40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tcBorders>
              <w:bottom w:val="single" w:sz="4" w:space="0" w:color="auto"/>
            </w:tcBorders>
            <w:shd w:val="clear" w:color="auto" w:fill="auto"/>
            <w:noWrap/>
            <w:tcMar>
              <w:left w:w="0" w:type="dxa"/>
              <w:right w:w="0" w:type="dxa"/>
            </w:tcMar>
            <w:vAlign w:val="center"/>
            <w:hideMark/>
          </w:tcPr>
          <w:p w14:paraId="36DB034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tcBorders>
              <w:bottom w:val="single" w:sz="4" w:space="0" w:color="auto"/>
            </w:tcBorders>
            <w:shd w:val="clear" w:color="auto" w:fill="auto"/>
            <w:noWrap/>
            <w:tcMar>
              <w:left w:w="0" w:type="dxa"/>
              <w:right w:w="0" w:type="dxa"/>
            </w:tcMar>
            <w:vAlign w:val="center"/>
            <w:hideMark/>
          </w:tcPr>
          <w:p w14:paraId="0B19EC7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tcBorders>
              <w:bottom w:val="single" w:sz="4" w:space="0" w:color="auto"/>
            </w:tcBorders>
            <w:shd w:val="clear" w:color="auto" w:fill="auto"/>
            <w:noWrap/>
            <w:tcMar>
              <w:left w:w="0" w:type="dxa"/>
              <w:right w:w="0" w:type="dxa"/>
            </w:tcMar>
            <w:vAlign w:val="center"/>
            <w:hideMark/>
          </w:tcPr>
          <w:p w14:paraId="7C90C4F3"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52540577" w14:textId="77777777" w:rsidTr="009276CC">
        <w:trPr>
          <w:trHeight w:val="300"/>
        </w:trPr>
        <w:tc>
          <w:tcPr>
            <w:tcW w:w="545" w:type="dxa"/>
            <w:vMerge/>
            <w:tcMar>
              <w:left w:w="0" w:type="dxa"/>
              <w:right w:w="0" w:type="dxa"/>
            </w:tcMar>
            <w:vAlign w:val="center"/>
            <w:hideMark/>
          </w:tcPr>
          <w:p w14:paraId="3CB0E07B"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68A0B149"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77BE3F3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588C314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28.4</w:t>
            </w:r>
          </w:p>
        </w:tc>
        <w:tc>
          <w:tcPr>
            <w:tcW w:w="301" w:type="dxa"/>
            <w:shd w:val="clear" w:color="auto" w:fill="auto"/>
            <w:noWrap/>
            <w:tcMar>
              <w:left w:w="0" w:type="dxa"/>
              <w:right w:w="0" w:type="dxa"/>
            </w:tcMar>
            <w:vAlign w:val="center"/>
            <w:hideMark/>
          </w:tcPr>
          <w:p w14:paraId="154BDE1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A93FC0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A37C8E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1" w:type="dxa"/>
            <w:shd w:val="clear" w:color="auto" w:fill="auto"/>
            <w:noWrap/>
            <w:tcMar>
              <w:left w:w="0" w:type="dxa"/>
              <w:right w:w="0" w:type="dxa"/>
            </w:tcMar>
            <w:vAlign w:val="center"/>
            <w:hideMark/>
          </w:tcPr>
          <w:p w14:paraId="0922CFD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178B112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4D1D5CD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A80220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0A6A35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3D5F66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25BDD6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948E9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D2DA32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AD8C72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95C7DD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C55030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4617CB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AFAE85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43" w:type="dxa"/>
            <w:shd w:val="clear" w:color="auto" w:fill="auto"/>
            <w:noWrap/>
            <w:tcMar>
              <w:left w:w="0" w:type="dxa"/>
              <w:right w:w="0" w:type="dxa"/>
            </w:tcMar>
            <w:vAlign w:val="center"/>
            <w:hideMark/>
          </w:tcPr>
          <w:p w14:paraId="26AFA28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FBD25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9C21D2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6E4C2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1019D9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608677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B768C3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DECD14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0.38</w:t>
            </w:r>
          </w:p>
        </w:tc>
        <w:tc>
          <w:tcPr>
            <w:tcW w:w="302" w:type="dxa"/>
            <w:shd w:val="clear" w:color="auto" w:fill="auto"/>
            <w:noWrap/>
            <w:tcMar>
              <w:left w:w="0" w:type="dxa"/>
              <w:right w:w="0" w:type="dxa"/>
            </w:tcMar>
            <w:vAlign w:val="center"/>
            <w:hideMark/>
          </w:tcPr>
          <w:p w14:paraId="7124467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17B0F2C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A5E1C7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7763A0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D9DC94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93FB0B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6B6B22F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082A1AD5" w14:textId="77777777" w:rsidR="00FF1B38" w:rsidRPr="002E2EB3" w:rsidRDefault="00FF1B38" w:rsidP="009276CC">
            <w:pPr>
              <w:spacing w:after="0"/>
              <w:jc w:val="center"/>
              <w:rPr>
                <w:rFonts w:ascii="Arial Narrow" w:hAnsi="Arial Narrow"/>
                <w:color w:val="000000"/>
                <w:sz w:val="14"/>
                <w:szCs w:val="14"/>
                <w:lang w:val="en-AU" w:eastAsia="en-AU"/>
              </w:rPr>
            </w:pPr>
          </w:p>
        </w:tc>
      </w:tr>
      <w:tr w:rsidR="00FF1B38" w:rsidRPr="002E2EB3" w14:paraId="70474A76" w14:textId="77777777" w:rsidTr="009276CC">
        <w:trPr>
          <w:trHeight w:val="300"/>
        </w:trPr>
        <w:tc>
          <w:tcPr>
            <w:tcW w:w="545" w:type="dxa"/>
            <w:vMerge/>
            <w:tcMar>
              <w:left w:w="0" w:type="dxa"/>
              <w:right w:w="0" w:type="dxa"/>
            </w:tcMar>
            <w:vAlign w:val="center"/>
            <w:hideMark/>
          </w:tcPr>
          <w:p w14:paraId="7C6286E2"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6ADD9871"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Pelican</w:t>
            </w:r>
          </w:p>
        </w:tc>
        <w:tc>
          <w:tcPr>
            <w:tcW w:w="438" w:type="dxa"/>
            <w:shd w:val="clear" w:color="auto" w:fill="auto"/>
            <w:noWrap/>
            <w:tcMar>
              <w:left w:w="0" w:type="dxa"/>
              <w:right w:w="0" w:type="dxa"/>
            </w:tcMar>
            <w:vAlign w:val="center"/>
            <w:hideMark/>
          </w:tcPr>
          <w:p w14:paraId="522E0922"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4B212E5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52FBF3B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6C2404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05279FA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1" w:type="dxa"/>
            <w:shd w:val="clear" w:color="auto" w:fill="auto"/>
            <w:noWrap/>
            <w:tcMar>
              <w:left w:w="0" w:type="dxa"/>
              <w:right w:w="0" w:type="dxa"/>
            </w:tcMar>
            <w:vAlign w:val="center"/>
            <w:hideMark/>
          </w:tcPr>
          <w:p w14:paraId="5C23CF2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4CF326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7BCDA9C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BF81E8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8B6E64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BABDF3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BA03DF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D7705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1708E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0BC45A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1C8EE0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4619FD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03E1EF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A3719D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43" w:type="dxa"/>
            <w:shd w:val="clear" w:color="auto" w:fill="auto"/>
            <w:noWrap/>
            <w:tcMar>
              <w:left w:w="0" w:type="dxa"/>
              <w:right w:w="0" w:type="dxa"/>
            </w:tcMar>
            <w:vAlign w:val="center"/>
            <w:hideMark/>
          </w:tcPr>
          <w:p w14:paraId="4EE6150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BC0BC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C088A9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EBAA91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9F59B1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E4BA2F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6B8916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1AE55C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81CE8A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18169E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6DA889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8B5E03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466968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EA8E9D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511FDD9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39" w:type="dxa"/>
            <w:shd w:val="clear" w:color="auto" w:fill="auto"/>
            <w:noWrap/>
            <w:tcMar>
              <w:left w:w="0" w:type="dxa"/>
              <w:right w:w="0" w:type="dxa"/>
            </w:tcMar>
            <w:vAlign w:val="center"/>
            <w:hideMark/>
          </w:tcPr>
          <w:p w14:paraId="4E8570DA"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r>
      <w:tr w:rsidR="00FF1B38" w:rsidRPr="002E2EB3" w14:paraId="059A2196" w14:textId="77777777" w:rsidTr="009276CC">
        <w:trPr>
          <w:trHeight w:val="300"/>
        </w:trPr>
        <w:tc>
          <w:tcPr>
            <w:tcW w:w="545" w:type="dxa"/>
            <w:vMerge/>
            <w:tcMar>
              <w:left w:w="0" w:type="dxa"/>
              <w:right w:w="0" w:type="dxa"/>
            </w:tcMar>
            <w:vAlign w:val="center"/>
            <w:hideMark/>
          </w:tcPr>
          <w:p w14:paraId="7A0086F3"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center"/>
            <w:hideMark/>
          </w:tcPr>
          <w:p w14:paraId="014622AD" w14:textId="77777777" w:rsidR="00FF1B38" w:rsidRPr="002E2EB3" w:rsidRDefault="00FF1B38" w:rsidP="009276CC">
            <w:pPr>
              <w:spacing w:after="0"/>
              <w:jc w:val="center"/>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7AACE6D7"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5620B57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FDDDF0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2.69</w:t>
            </w:r>
          </w:p>
        </w:tc>
        <w:tc>
          <w:tcPr>
            <w:tcW w:w="301" w:type="dxa"/>
            <w:shd w:val="clear" w:color="auto" w:fill="auto"/>
            <w:noWrap/>
            <w:tcMar>
              <w:left w:w="0" w:type="dxa"/>
              <w:right w:w="0" w:type="dxa"/>
            </w:tcMar>
            <w:vAlign w:val="center"/>
            <w:hideMark/>
          </w:tcPr>
          <w:p w14:paraId="3DC12E9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72508AF"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1" w:type="dxa"/>
            <w:shd w:val="clear" w:color="auto" w:fill="auto"/>
            <w:noWrap/>
            <w:tcMar>
              <w:left w:w="0" w:type="dxa"/>
              <w:right w:w="0" w:type="dxa"/>
            </w:tcMar>
            <w:vAlign w:val="center"/>
            <w:hideMark/>
          </w:tcPr>
          <w:p w14:paraId="22CAF3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EE8510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1178F2C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8076EF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003931C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2.88</w:t>
            </w:r>
          </w:p>
        </w:tc>
        <w:tc>
          <w:tcPr>
            <w:tcW w:w="302" w:type="dxa"/>
            <w:shd w:val="clear" w:color="auto" w:fill="auto"/>
            <w:noWrap/>
            <w:tcMar>
              <w:left w:w="0" w:type="dxa"/>
              <w:right w:w="0" w:type="dxa"/>
            </w:tcMar>
            <w:vAlign w:val="center"/>
            <w:hideMark/>
          </w:tcPr>
          <w:p w14:paraId="2D36972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251651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79F4AB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0.94</w:t>
            </w:r>
          </w:p>
        </w:tc>
        <w:tc>
          <w:tcPr>
            <w:tcW w:w="302" w:type="dxa"/>
            <w:shd w:val="clear" w:color="auto" w:fill="auto"/>
            <w:noWrap/>
            <w:tcMar>
              <w:left w:w="0" w:type="dxa"/>
              <w:right w:w="0" w:type="dxa"/>
            </w:tcMar>
            <w:vAlign w:val="center"/>
            <w:hideMark/>
          </w:tcPr>
          <w:p w14:paraId="25022CE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302" w:type="dxa"/>
            <w:shd w:val="clear" w:color="auto" w:fill="auto"/>
            <w:noWrap/>
            <w:tcMar>
              <w:left w:w="0" w:type="dxa"/>
              <w:right w:w="0" w:type="dxa"/>
            </w:tcMar>
            <w:vAlign w:val="center"/>
            <w:hideMark/>
          </w:tcPr>
          <w:p w14:paraId="5F80FB9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723FFA9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B7D319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2CE3893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014521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43" w:type="dxa"/>
            <w:shd w:val="clear" w:color="auto" w:fill="auto"/>
            <w:noWrap/>
            <w:tcMar>
              <w:left w:w="0" w:type="dxa"/>
              <w:right w:w="0" w:type="dxa"/>
            </w:tcMar>
            <w:vAlign w:val="center"/>
            <w:hideMark/>
          </w:tcPr>
          <w:p w14:paraId="169DCB9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E974EA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DB0E90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6E8B0A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7CC9FF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022EA7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0.13</w:t>
            </w:r>
          </w:p>
        </w:tc>
        <w:tc>
          <w:tcPr>
            <w:tcW w:w="302" w:type="dxa"/>
            <w:shd w:val="clear" w:color="auto" w:fill="auto"/>
            <w:noWrap/>
            <w:tcMar>
              <w:left w:w="0" w:type="dxa"/>
              <w:right w:w="0" w:type="dxa"/>
            </w:tcMar>
            <w:vAlign w:val="center"/>
            <w:hideMark/>
          </w:tcPr>
          <w:p w14:paraId="568A397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0FCA65D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2B1BD6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57BBD9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5C86AAF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2" w:type="dxa"/>
            <w:shd w:val="clear" w:color="auto" w:fill="auto"/>
            <w:noWrap/>
            <w:tcMar>
              <w:left w:w="0" w:type="dxa"/>
              <w:right w:w="0" w:type="dxa"/>
            </w:tcMar>
            <w:vAlign w:val="center"/>
            <w:hideMark/>
          </w:tcPr>
          <w:p w14:paraId="3559EB5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5A592F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C03CFF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494E2673"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2.47</w:t>
            </w:r>
          </w:p>
        </w:tc>
        <w:tc>
          <w:tcPr>
            <w:tcW w:w="439" w:type="dxa"/>
            <w:shd w:val="clear" w:color="auto" w:fill="auto"/>
            <w:noWrap/>
            <w:tcMar>
              <w:left w:w="0" w:type="dxa"/>
              <w:right w:w="0" w:type="dxa"/>
            </w:tcMar>
            <w:vAlign w:val="center"/>
            <w:hideMark/>
          </w:tcPr>
          <w:p w14:paraId="5625DCF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0.63</w:t>
            </w:r>
          </w:p>
        </w:tc>
      </w:tr>
      <w:tr w:rsidR="00FF1B38" w:rsidRPr="002E2EB3" w14:paraId="6872D412" w14:textId="77777777" w:rsidTr="009276CC">
        <w:trPr>
          <w:trHeight w:val="300"/>
        </w:trPr>
        <w:tc>
          <w:tcPr>
            <w:tcW w:w="545" w:type="dxa"/>
            <w:vMerge/>
            <w:tcMar>
              <w:left w:w="0" w:type="dxa"/>
              <w:right w:w="0" w:type="dxa"/>
            </w:tcMar>
            <w:vAlign w:val="center"/>
            <w:hideMark/>
          </w:tcPr>
          <w:p w14:paraId="050719AA" w14:textId="77777777" w:rsidR="00FF1B38" w:rsidRPr="002E2EB3" w:rsidRDefault="00FF1B38" w:rsidP="009276CC">
            <w:pPr>
              <w:spacing w:after="0"/>
              <w:rPr>
                <w:rFonts w:ascii="Arial Narrow" w:hAnsi="Arial Narrow"/>
                <w:color w:val="000000"/>
                <w:sz w:val="20"/>
                <w:lang w:val="en-AU" w:eastAsia="en-AU"/>
              </w:rPr>
            </w:pPr>
          </w:p>
        </w:tc>
        <w:tc>
          <w:tcPr>
            <w:tcW w:w="1649" w:type="dxa"/>
            <w:vMerge w:val="restart"/>
            <w:shd w:val="clear" w:color="auto" w:fill="auto"/>
            <w:noWrap/>
            <w:tcMar>
              <w:left w:w="0" w:type="dxa"/>
              <w:right w:w="0" w:type="dxa"/>
            </w:tcMar>
            <w:vAlign w:val="center"/>
            <w:hideMark/>
          </w:tcPr>
          <w:p w14:paraId="7C703BA3"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Peak</w:t>
            </w:r>
          </w:p>
        </w:tc>
        <w:tc>
          <w:tcPr>
            <w:tcW w:w="438" w:type="dxa"/>
            <w:shd w:val="clear" w:color="auto" w:fill="auto"/>
            <w:noWrap/>
            <w:tcMar>
              <w:left w:w="0" w:type="dxa"/>
              <w:right w:w="0" w:type="dxa"/>
            </w:tcMar>
            <w:vAlign w:val="center"/>
            <w:hideMark/>
          </w:tcPr>
          <w:p w14:paraId="78ACD4D9"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2</w:t>
            </w:r>
          </w:p>
        </w:tc>
        <w:tc>
          <w:tcPr>
            <w:tcW w:w="307" w:type="dxa"/>
            <w:shd w:val="clear" w:color="auto" w:fill="auto"/>
            <w:noWrap/>
            <w:tcMar>
              <w:left w:w="0" w:type="dxa"/>
              <w:right w:w="0" w:type="dxa"/>
            </w:tcMar>
            <w:vAlign w:val="center"/>
            <w:hideMark/>
          </w:tcPr>
          <w:p w14:paraId="196E73C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D5B94B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7D6630D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546D611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0.56</w:t>
            </w:r>
          </w:p>
        </w:tc>
        <w:tc>
          <w:tcPr>
            <w:tcW w:w="301" w:type="dxa"/>
            <w:shd w:val="clear" w:color="auto" w:fill="auto"/>
            <w:noWrap/>
            <w:tcMar>
              <w:left w:w="0" w:type="dxa"/>
              <w:right w:w="0" w:type="dxa"/>
            </w:tcMar>
            <w:vAlign w:val="center"/>
            <w:hideMark/>
          </w:tcPr>
          <w:p w14:paraId="0332318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37A2EC2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004A3B1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AC8835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3963991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02" w:type="dxa"/>
            <w:shd w:val="clear" w:color="auto" w:fill="auto"/>
            <w:noWrap/>
            <w:tcMar>
              <w:left w:w="0" w:type="dxa"/>
              <w:right w:w="0" w:type="dxa"/>
            </w:tcMar>
            <w:vAlign w:val="center"/>
            <w:hideMark/>
          </w:tcPr>
          <w:p w14:paraId="3CF4F29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C0AEED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A793DC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843609E"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c>
          <w:tcPr>
            <w:tcW w:w="302" w:type="dxa"/>
            <w:shd w:val="clear" w:color="auto" w:fill="auto"/>
            <w:noWrap/>
            <w:tcMar>
              <w:left w:w="0" w:type="dxa"/>
              <w:right w:w="0" w:type="dxa"/>
            </w:tcMar>
            <w:vAlign w:val="center"/>
            <w:hideMark/>
          </w:tcPr>
          <w:p w14:paraId="5BDE742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019CA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87DC9F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CB9CAA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EA0E3C1"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43" w:type="dxa"/>
            <w:shd w:val="clear" w:color="auto" w:fill="auto"/>
            <w:noWrap/>
            <w:tcMar>
              <w:left w:w="0" w:type="dxa"/>
              <w:right w:w="0" w:type="dxa"/>
            </w:tcMar>
            <w:vAlign w:val="center"/>
            <w:hideMark/>
          </w:tcPr>
          <w:p w14:paraId="0D4E309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BAAE3A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5EC4C7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53F5AE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A8F6E0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B7C735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061629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4.32</w:t>
            </w:r>
          </w:p>
        </w:tc>
        <w:tc>
          <w:tcPr>
            <w:tcW w:w="302" w:type="dxa"/>
            <w:shd w:val="clear" w:color="auto" w:fill="auto"/>
            <w:noWrap/>
            <w:tcMar>
              <w:left w:w="0" w:type="dxa"/>
              <w:right w:w="0" w:type="dxa"/>
            </w:tcMar>
            <w:vAlign w:val="center"/>
            <w:hideMark/>
          </w:tcPr>
          <w:p w14:paraId="4310051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8A0DD3C"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2E542D6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0.31</w:t>
            </w:r>
          </w:p>
        </w:tc>
        <w:tc>
          <w:tcPr>
            <w:tcW w:w="302" w:type="dxa"/>
            <w:shd w:val="clear" w:color="auto" w:fill="auto"/>
            <w:noWrap/>
            <w:tcMar>
              <w:left w:w="0" w:type="dxa"/>
              <w:right w:w="0" w:type="dxa"/>
            </w:tcMar>
            <w:vAlign w:val="center"/>
            <w:hideMark/>
          </w:tcPr>
          <w:p w14:paraId="6E5D88E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1.88</w:t>
            </w:r>
          </w:p>
        </w:tc>
        <w:tc>
          <w:tcPr>
            <w:tcW w:w="302" w:type="dxa"/>
            <w:shd w:val="clear" w:color="auto" w:fill="auto"/>
            <w:noWrap/>
            <w:tcMar>
              <w:left w:w="0" w:type="dxa"/>
              <w:right w:w="0" w:type="dxa"/>
            </w:tcMar>
            <w:vAlign w:val="center"/>
            <w:hideMark/>
          </w:tcPr>
          <w:p w14:paraId="1559D54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3257795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0D66D5F"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1D2EB7E5"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439" w:type="dxa"/>
            <w:shd w:val="clear" w:color="auto" w:fill="auto"/>
            <w:noWrap/>
            <w:tcMar>
              <w:left w:w="0" w:type="dxa"/>
              <w:right w:w="0" w:type="dxa"/>
            </w:tcMar>
            <w:vAlign w:val="center"/>
            <w:hideMark/>
          </w:tcPr>
          <w:p w14:paraId="245192A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r>
      <w:tr w:rsidR="00FF1B38" w:rsidRPr="002E2EB3" w14:paraId="387B40BF" w14:textId="77777777" w:rsidTr="009276CC">
        <w:trPr>
          <w:trHeight w:val="300"/>
        </w:trPr>
        <w:tc>
          <w:tcPr>
            <w:tcW w:w="545" w:type="dxa"/>
            <w:vMerge/>
            <w:tcMar>
              <w:left w:w="0" w:type="dxa"/>
              <w:right w:w="0" w:type="dxa"/>
            </w:tcMar>
            <w:vAlign w:val="center"/>
            <w:hideMark/>
          </w:tcPr>
          <w:p w14:paraId="183EAF7A" w14:textId="77777777" w:rsidR="00FF1B38" w:rsidRPr="002E2EB3" w:rsidRDefault="00FF1B38" w:rsidP="009276CC">
            <w:pPr>
              <w:spacing w:after="0"/>
              <w:rPr>
                <w:rFonts w:ascii="Arial Narrow" w:hAnsi="Arial Narrow"/>
                <w:color w:val="000000"/>
                <w:sz w:val="20"/>
                <w:lang w:val="en-AU" w:eastAsia="en-AU"/>
              </w:rPr>
            </w:pPr>
          </w:p>
        </w:tc>
        <w:tc>
          <w:tcPr>
            <w:tcW w:w="1649" w:type="dxa"/>
            <w:vMerge/>
            <w:shd w:val="clear" w:color="auto" w:fill="auto"/>
            <w:noWrap/>
            <w:tcMar>
              <w:left w:w="0" w:type="dxa"/>
              <w:right w:w="0" w:type="dxa"/>
            </w:tcMar>
            <w:vAlign w:val="bottom"/>
            <w:hideMark/>
          </w:tcPr>
          <w:p w14:paraId="37DE953E" w14:textId="77777777" w:rsidR="00FF1B38" w:rsidRPr="002E2EB3" w:rsidRDefault="00FF1B38" w:rsidP="009276CC">
            <w:pPr>
              <w:spacing w:after="0"/>
              <w:rPr>
                <w:rFonts w:ascii="Arial Narrow" w:hAnsi="Arial Narrow"/>
                <w:color w:val="000000"/>
                <w:sz w:val="20"/>
                <w:lang w:val="en-AU" w:eastAsia="en-AU"/>
              </w:rPr>
            </w:pPr>
          </w:p>
        </w:tc>
        <w:tc>
          <w:tcPr>
            <w:tcW w:w="438" w:type="dxa"/>
            <w:shd w:val="clear" w:color="auto" w:fill="auto"/>
            <w:noWrap/>
            <w:tcMar>
              <w:left w:w="0" w:type="dxa"/>
              <w:right w:w="0" w:type="dxa"/>
            </w:tcMar>
            <w:vAlign w:val="center"/>
            <w:hideMark/>
          </w:tcPr>
          <w:p w14:paraId="71102EA8" w14:textId="77777777" w:rsidR="00FF1B38" w:rsidRPr="002E2EB3" w:rsidRDefault="00FF1B38" w:rsidP="009276CC">
            <w:pPr>
              <w:spacing w:after="0"/>
              <w:jc w:val="center"/>
              <w:rPr>
                <w:rFonts w:ascii="Arial Narrow" w:hAnsi="Arial Narrow"/>
                <w:color w:val="000000"/>
                <w:sz w:val="20"/>
                <w:lang w:val="en-AU" w:eastAsia="en-AU"/>
              </w:rPr>
            </w:pPr>
            <w:r w:rsidRPr="002E2EB3">
              <w:rPr>
                <w:rFonts w:ascii="Arial Narrow" w:hAnsi="Arial Narrow"/>
                <w:color w:val="000000"/>
                <w:sz w:val="20"/>
                <w:lang w:val="en-AU" w:eastAsia="en-AU"/>
              </w:rPr>
              <w:t>5</w:t>
            </w:r>
          </w:p>
        </w:tc>
        <w:tc>
          <w:tcPr>
            <w:tcW w:w="307" w:type="dxa"/>
            <w:shd w:val="clear" w:color="auto" w:fill="auto"/>
            <w:noWrap/>
            <w:tcMar>
              <w:left w:w="0" w:type="dxa"/>
              <w:right w:w="0" w:type="dxa"/>
            </w:tcMar>
            <w:vAlign w:val="center"/>
            <w:hideMark/>
          </w:tcPr>
          <w:p w14:paraId="14DAD9A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ADC571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1" w:type="dxa"/>
            <w:shd w:val="clear" w:color="auto" w:fill="auto"/>
            <w:noWrap/>
            <w:tcMar>
              <w:left w:w="0" w:type="dxa"/>
              <w:right w:w="0" w:type="dxa"/>
            </w:tcMar>
            <w:vAlign w:val="center"/>
            <w:hideMark/>
          </w:tcPr>
          <w:p w14:paraId="620630D9"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228CDBB6"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1.88</w:t>
            </w:r>
          </w:p>
        </w:tc>
        <w:tc>
          <w:tcPr>
            <w:tcW w:w="301" w:type="dxa"/>
            <w:shd w:val="clear" w:color="auto" w:fill="auto"/>
            <w:noWrap/>
            <w:tcMar>
              <w:left w:w="0" w:type="dxa"/>
              <w:right w:w="0" w:type="dxa"/>
            </w:tcMar>
            <w:vAlign w:val="center"/>
            <w:hideMark/>
          </w:tcPr>
          <w:p w14:paraId="10D597A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1" w:type="dxa"/>
            <w:shd w:val="clear" w:color="auto" w:fill="auto"/>
            <w:noWrap/>
            <w:tcMar>
              <w:left w:w="0" w:type="dxa"/>
              <w:right w:w="0" w:type="dxa"/>
            </w:tcMar>
            <w:vAlign w:val="center"/>
            <w:hideMark/>
          </w:tcPr>
          <w:p w14:paraId="6D27C6E5"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79" w:type="dxa"/>
            <w:shd w:val="clear" w:color="auto" w:fill="auto"/>
            <w:noWrap/>
            <w:tcMar>
              <w:left w:w="0" w:type="dxa"/>
              <w:right w:w="0" w:type="dxa"/>
            </w:tcMar>
            <w:vAlign w:val="center"/>
            <w:hideMark/>
          </w:tcPr>
          <w:p w14:paraId="2A06283E"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9429F7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1BECD3B4"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3.88</w:t>
            </w:r>
          </w:p>
        </w:tc>
        <w:tc>
          <w:tcPr>
            <w:tcW w:w="302" w:type="dxa"/>
            <w:shd w:val="clear" w:color="auto" w:fill="auto"/>
            <w:noWrap/>
            <w:tcMar>
              <w:left w:w="0" w:type="dxa"/>
              <w:right w:w="0" w:type="dxa"/>
            </w:tcMar>
            <w:vAlign w:val="center"/>
            <w:hideMark/>
          </w:tcPr>
          <w:p w14:paraId="678265B2"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0845E8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412BBE28"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02" w:type="dxa"/>
            <w:shd w:val="clear" w:color="auto" w:fill="auto"/>
            <w:noWrap/>
            <w:tcMar>
              <w:left w:w="0" w:type="dxa"/>
              <w:right w:w="0" w:type="dxa"/>
            </w:tcMar>
            <w:vAlign w:val="center"/>
            <w:hideMark/>
          </w:tcPr>
          <w:p w14:paraId="462ADF3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0.81</w:t>
            </w:r>
          </w:p>
        </w:tc>
        <w:tc>
          <w:tcPr>
            <w:tcW w:w="302" w:type="dxa"/>
            <w:shd w:val="clear" w:color="auto" w:fill="auto"/>
            <w:noWrap/>
            <w:tcMar>
              <w:left w:w="0" w:type="dxa"/>
              <w:right w:w="0" w:type="dxa"/>
            </w:tcMar>
            <w:vAlign w:val="center"/>
            <w:hideMark/>
          </w:tcPr>
          <w:p w14:paraId="75C152C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1.00</w:t>
            </w:r>
          </w:p>
        </w:tc>
        <w:tc>
          <w:tcPr>
            <w:tcW w:w="302" w:type="dxa"/>
            <w:shd w:val="clear" w:color="auto" w:fill="auto"/>
            <w:noWrap/>
            <w:tcMar>
              <w:left w:w="0" w:type="dxa"/>
              <w:right w:w="0" w:type="dxa"/>
            </w:tcMar>
            <w:vAlign w:val="center"/>
            <w:hideMark/>
          </w:tcPr>
          <w:p w14:paraId="1490D544"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3523DB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515545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2E5076ED"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0.25</w:t>
            </w:r>
          </w:p>
        </w:tc>
        <w:tc>
          <w:tcPr>
            <w:tcW w:w="343" w:type="dxa"/>
            <w:shd w:val="clear" w:color="auto" w:fill="auto"/>
            <w:noWrap/>
            <w:tcMar>
              <w:left w:w="0" w:type="dxa"/>
              <w:right w:w="0" w:type="dxa"/>
            </w:tcMar>
            <w:vAlign w:val="center"/>
            <w:hideMark/>
          </w:tcPr>
          <w:p w14:paraId="5FEF3138"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6402A5A"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16A5A5F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BDC1A71"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5EF3F9B"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76682680"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0.06</w:t>
            </w:r>
          </w:p>
        </w:tc>
        <w:tc>
          <w:tcPr>
            <w:tcW w:w="302" w:type="dxa"/>
            <w:shd w:val="clear" w:color="auto" w:fill="auto"/>
            <w:noWrap/>
            <w:tcMar>
              <w:left w:w="0" w:type="dxa"/>
              <w:right w:w="0" w:type="dxa"/>
            </w:tcMar>
            <w:vAlign w:val="center"/>
            <w:hideMark/>
          </w:tcPr>
          <w:p w14:paraId="1499ECD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1.81</w:t>
            </w:r>
          </w:p>
        </w:tc>
        <w:tc>
          <w:tcPr>
            <w:tcW w:w="302" w:type="dxa"/>
            <w:shd w:val="clear" w:color="auto" w:fill="auto"/>
            <w:noWrap/>
            <w:tcMar>
              <w:left w:w="0" w:type="dxa"/>
              <w:right w:w="0" w:type="dxa"/>
            </w:tcMar>
            <w:vAlign w:val="center"/>
            <w:hideMark/>
          </w:tcPr>
          <w:p w14:paraId="701EF28D"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6E4C0940"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69" w:type="dxa"/>
            <w:shd w:val="clear" w:color="auto" w:fill="auto"/>
            <w:noWrap/>
            <w:tcMar>
              <w:left w:w="0" w:type="dxa"/>
              <w:right w:w="0" w:type="dxa"/>
            </w:tcMar>
            <w:vAlign w:val="center"/>
            <w:hideMark/>
          </w:tcPr>
          <w:p w14:paraId="760BCA2B"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0.75</w:t>
            </w:r>
          </w:p>
        </w:tc>
        <w:tc>
          <w:tcPr>
            <w:tcW w:w="302" w:type="dxa"/>
            <w:shd w:val="clear" w:color="auto" w:fill="auto"/>
            <w:noWrap/>
            <w:tcMar>
              <w:left w:w="0" w:type="dxa"/>
              <w:right w:w="0" w:type="dxa"/>
            </w:tcMar>
            <w:vAlign w:val="center"/>
            <w:hideMark/>
          </w:tcPr>
          <w:p w14:paraId="3D57BF72"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8.38</w:t>
            </w:r>
          </w:p>
        </w:tc>
        <w:tc>
          <w:tcPr>
            <w:tcW w:w="302" w:type="dxa"/>
            <w:shd w:val="clear" w:color="auto" w:fill="auto"/>
            <w:noWrap/>
            <w:tcMar>
              <w:left w:w="0" w:type="dxa"/>
              <w:right w:w="0" w:type="dxa"/>
            </w:tcMar>
            <w:vAlign w:val="center"/>
            <w:hideMark/>
          </w:tcPr>
          <w:p w14:paraId="6A583A93"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55CC0227"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302" w:type="dxa"/>
            <w:shd w:val="clear" w:color="auto" w:fill="auto"/>
            <w:noWrap/>
            <w:tcMar>
              <w:left w:w="0" w:type="dxa"/>
              <w:right w:w="0" w:type="dxa"/>
            </w:tcMar>
            <w:vAlign w:val="center"/>
            <w:hideMark/>
          </w:tcPr>
          <w:p w14:paraId="0E7B6976" w14:textId="77777777" w:rsidR="00FF1B38" w:rsidRPr="002E2EB3" w:rsidRDefault="00FF1B38" w:rsidP="009276CC">
            <w:pPr>
              <w:spacing w:after="0"/>
              <w:jc w:val="center"/>
              <w:rPr>
                <w:rFonts w:ascii="Arial Narrow" w:hAnsi="Arial Narrow"/>
                <w:color w:val="000000"/>
                <w:sz w:val="14"/>
                <w:szCs w:val="14"/>
                <w:lang w:val="en-AU" w:eastAsia="en-AU"/>
              </w:rPr>
            </w:pPr>
          </w:p>
        </w:tc>
        <w:tc>
          <w:tcPr>
            <w:tcW w:w="405" w:type="dxa"/>
            <w:shd w:val="clear" w:color="auto" w:fill="auto"/>
            <w:noWrap/>
            <w:tcMar>
              <w:left w:w="0" w:type="dxa"/>
              <w:right w:w="0" w:type="dxa"/>
            </w:tcMar>
            <w:vAlign w:val="center"/>
            <w:hideMark/>
          </w:tcPr>
          <w:p w14:paraId="2F899ECC"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1.13</w:t>
            </w:r>
          </w:p>
        </w:tc>
        <w:tc>
          <w:tcPr>
            <w:tcW w:w="439" w:type="dxa"/>
            <w:shd w:val="clear" w:color="auto" w:fill="auto"/>
            <w:noWrap/>
            <w:tcMar>
              <w:left w:w="0" w:type="dxa"/>
              <w:right w:w="0" w:type="dxa"/>
            </w:tcMar>
            <w:vAlign w:val="center"/>
            <w:hideMark/>
          </w:tcPr>
          <w:p w14:paraId="4D9DC429" w14:textId="77777777" w:rsidR="00FF1B38" w:rsidRPr="002E2EB3" w:rsidRDefault="00FF1B38" w:rsidP="009276CC">
            <w:pPr>
              <w:spacing w:after="0"/>
              <w:jc w:val="center"/>
              <w:rPr>
                <w:rFonts w:ascii="Arial Narrow" w:hAnsi="Arial Narrow"/>
                <w:color w:val="000000"/>
                <w:sz w:val="14"/>
                <w:szCs w:val="14"/>
                <w:lang w:val="en-AU" w:eastAsia="en-AU"/>
              </w:rPr>
            </w:pPr>
            <w:r w:rsidRPr="002E2EB3">
              <w:rPr>
                <w:rFonts w:ascii="Arial Narrow" w:hAnsi="Arial Narrow"/>
                <w:color w:val="000000"/>
                <w:sz w:val="14"/>
                <w:szCs w:val="14"/>
                <w:lang w:val="en-AU" w:eastAsia="en-AU"/>
              </w:rPr>
              <w:t>0.19</w:t>
            </w:r>
          </w:p>
        </w:tc>
      </w:tr>
    </w:tbl>
    <w:p w14:paraId="6B6FAFC8" w14:textId="77777777" w:rsidR="00FF1B38" w:rsidRPr="002E2EB3" w:rsidRDefault="00FF1B38" w:rsidP="00FF1B38">
      <w:pPr>
        <w:rPr>
          <w:rFonts w:eastAsia="SimSun"/>
        </w:rPr>
      </w:pPr>
    </w:p>
    <w:p w14:paraId="36B7880A" w14:textId="77777777" w:rsidR="006D5D0D" w:rsidRDefault="00FF1B38" w:rsidP="00A073D4">
      <w:pPr>
        <w:rPr>
          <w:rFonts w:eastAsia="SimSun"/>
        </w:rPr>
      </w:pPr>
      <w:r w:rsidRPr="002E2EB3">
        <w:rPr>
          <w:rFonts w:eastAsia="SimSun"/>
        </w:rPr>
        <w:br w:type="page"/>
      </w:r>
    </w:p>
    <w:p w14:paraId="39EAAF31" w14:textId="77777777" w:rsidR="001249B7" w:rsidRPr="001249B7" w:rsidRDefault="00680FBC" w:rsidP="00680FBC">
      <w:pPr>
        <w:pStyle w:val="Caption"/>
        <w:rPr>
          <w:vanish/>
        </w:rPr>
      </w:pPr>
      <w:bookmarkStart w:id="509" w:name="_Ref460423891"/>
      <w:bookmarkStart w:id="510" w:name="_Toc437424467"/>
      <w:bookmarkStart w:id="511" w:name="_Toc437424591"/>
      <w:bookmarkStart w:id="512" w:name="_Toc437432520"/>
      <w:bookmarkStart w:id="513" w:name="_Toc460491688"/>
      <w:r w:rsidRPr="00680FBC">
        <w:rPr>
          <w:rStyle w:val="Heading7Char"/>
          <w:rFonts w:eastAsia="SimSun"/>
        </w:rPr>
        <w:lastRenderedPageBreak/>
        <w:t xml:space="preserve">Table A </w:t>
      </w:r>
      <w:r w:rsidRPr="00680FBC">
        <w:rPr>
          <w:rStyle w:val="Heading7Char"/>
          <w:rFonts w:eastAsia="SimSun"/>
        </w:rPr>
        <w:fldChar w:fldCharType="begin"/>
      </w:r>
      <w:r w:rsidRPr="00680FBC">
        <w:rPr>
          <w:rStyle w:val="Heading7Char"/>
          <w:rFonts w:eastAsia="SimSun"/>
        </w:rPr>
        <w:instrText xml:space="preserve"> SEQ Table_A \* ARABIC </w:instrText>
      </w:r>
      <w:r w:rsidRPr="00680FBC">
        <w:rPr>
          <w:rStyle w:val="Heading7Char"/>
          <w:rFonts w:eastAsia="SimSun"/>
        </w:rPr>
        <w:fldChar w:fldCharType="separate"/>
      </w:r>
      <w:r w:rsidR="00B61881">
        <w:rPr>
          <w:rStyle w:val="Heading7Char"/>
          <w:rFonts w:eastAsia="SimSun"/>
          <w:noProof/>
        </w:rPr>
        <w:t>6</w:t>
      </w:r>
      <w:r w:rsidRPr="00680FBC">
        <w:rPr>
          <w:rStyle w:val="Heading7Char"/>
          <w:rFonts w:eastAsia="SimSun"/>
        </w:rPr>
        <w:fldChar w:fldCharType="end"/>
      </w:r>
      <w:bookmarkEnd w:id="509"/>
      <w:r w:rsidRPr="00680FBC">
        <w:rPr>
          <w:rStyle w:val="Heading7Char"/>
          <w:rFonts w:eastAsia="SimSun"/>
        </w:rPr>
        <w:t xml:space="preserve">: </w:t>
      </w:r>
      <w:r w:rsidR="001E7922" w:rsidRPr="00680FBC">
        <w:rPr>
          <w:rStyle w:val="Heading7Char"/>
          <w:rFonts w:eastAsia="SimSun"/>
        </w:rPr>
        <w:t xml:space="preserve">Composition of </w:t>
      </w:r>
      <w:r w:rsidR="0033244F" w:rsidRPr="00680FBC">
        <w:rPr>
          <w:rStyle w:val="Heading7Char"/>
          <w:rFonts w:eastAsia="SimSun"/>
        </w:rPr>
        <w:t>s</w:t>
      </w:r>
      <w:r w:rsidR="001E7922" w:rsidRPr="00680FBC">
        <w:rPr>
          <w:rStyle w:val="Heading7Char"/>
          <w:rFonts w:eastAsia="SimSun"/>
        </w:rPr>
        <w:t>oft coral communities</w:t>
      </w:r>
      <w:r w:rsidR="001E7922" w:rsidRPr="001249B7">
        <w:t>.</w:t>
      </w:r>
      <w:bookmarkEnd w:id="510"/>
      <w:bookmarkEnd w:id="511"/>
      <w:bookmarkEnd w:id="512"/>
      <w:bookmarkEnd w:id="513"/>
      <w:r w:rsidR="001E7922" w:rsidRPr="002E2EB3">
        <w:t xml:space="preserve"> </w:t>
      </w:r>
    </w:p>
    <w:p w14:paraId="7B4FB02E" w14:textId="77777777" w:rsidR="001E7922" w:rsidRPr="001249B7" w:rsidRDefault="001E7922" w:rsidP="00E56CF1">
      <w:pPr>
        <w:pStyle w:val="Caption"/>
        <w:rPr>
          <w:rStyle w:val="IntenseReference"/>
          <w:rFonts w:eastAsia="SimSun"/>
        </w:rPr>
      </w:pPr>
      <w:r w:rsidRPr="001249B7">
        <w:rPr>
          <w:rStyle w:val="IntenseReference"/>
          <w:rFonts w:eastAsia="SimSun"/>
        </w:rPr>
        <w:t>Percentage cover of common soft corals families 2015 , presented are genera for which cover exceeded 0.25% on at least one reef, rare or unidentified genera are grouped to ‘Other’.</w:t>
      </w:r>
    </w:p>
    <w:tbl>
      <w:tblPr>
        <w:tblW w:w="1291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Caption w:val="Table A1 6 Composition of Soft coral communities"/>
        <w:tblDescription w:val="Table A1 6 Composition of Soft coral communities. Percentage cover of common soft corals families 2015 , presented are genera for which cover exceeded 0.25% on at least one reef, rare or unidentified genera are grouped to ‘Other’."/>
      </w:tblPr>
      <w:tblGrid>
        <w:gridCol w:w="1050"/>
        <w:gridCol w:w="1652"/>
        <w:gridCol w:w="450"/>
        <w:gridCol w:w="976"/>
        <w:gridCol w:w="976"/>
        <w:gridCol w:w="977"/>
        <w:gridCol w:w="976"/>
        <w:gridCol w:w="977"/>
        <w:gridCol w:w="976"/>
        <w:gridCol w:w="976"/>
        <w:gridCol w:w="977"/>
        <w:gridCol w:w="977"/>
        <w:gridCol w:w="976"/>
      </w:tblGrid>
      <w:tr w:rsidR="00FF1B38" w:rsidRPr="002E2EB3" w14:paraId="4FC1C0AE" w14:textId="77777777" w:rsidTr="00FF1B38">
        <w:trPr>
          <w:cantSplit/>
          <w:trHeight w:hRule="exact" w:val="1750"/>
          <w:tblHeader/>
        </w:trPr>
        <w:tc>
          <w:tcPr>
            <w:tcW w:w="1050" w:type="dxa"/>
            <w:shd w:val="clear" w:color="auto" w:fill="F2F2F2" w:themeFill="background1" w:themeFillShade="F2"/>
            <w:textDirection w:val="btLr"/>
            <w:vAlign w:val="center"/>
          </w:tcPr>
          <w:p w14:paraId="3B26DC8E" w14:textId="77777777" w:rsidR="00FF1B38" w:rsidRPr="002E2EB3" w:rsidRDefault="00FF1B38" w:rsidP="001E7922">
            <w:pPr>
              <w:ind w:left="113" w:right="113"/>
              <w:jc w:val="center"/>
              <w:rPr>
                <w:rFonts w:ascii="Arial Narrow" w:hAnsi="Arial Narrow"/>
                <w:color w:val="000000"/>
                <w:sz w:val="24"/>
                <w:szCs w:val="24"/>
              </w:rPr>
            </w:pPr>
            <w:r w:rsidRPr="002E2EB3">
              <w:rPr>
                <w:rFonts w:ascii="Arial Narrow" w:hAnsi="Arial Narrow"/>
                <w:color w:val="000000"/>
                <w:sz w:val="24"/>
                <w:szCs w:val="24"/>
              </w:rPr>
              <w:t>Sub/Region</w:t>
            </w:r>
          </w:p>
        </w:tc>
        <w:tc>
          <w:tcPr>
            <w:tcW w:w="1652" w:type="dxa"/>
            <w:shd w:val="clear" w:color="auto" w:fill="F2F2F2" w:themeFill="background1" w:themeFillShade="F2"/>
            <w:tcMar>
              <w:left w:w="28" w:type="dxa"/>
              <w:right w:w="28" w:type="dxa"/>
            </w:tcMar>
            <w:vAlign w:val="center"/>
          </w:tcPr>
          <w:p w14:paraId="5CE81990" w14:textId="77777777" w:rsidR="00FF1B38" w:rsidRPr="002E2EB3" w:rsidRDefault="00FF1B38" w:rsidP="001E7922">
            <w:pPr>
              <w:jc w:val="center"/>
              <w:rPr>
                <w:rFonts w:ascii="Arial Narrow" w:hAnsi="Arial Narrow"/>
                <w:color w:val="000000"/>
                <w:sz w:val="18"/>
                <w:szCs w:val="18"/>
              </w:rPr>
            </w:pPr>
          </w:p>
          <w:p w14:paraId="4F298B51" w14:textId="77777777" w:rsidR="00FF1B38" w:rsidRPr="002E2EB3" w:rsidRDefault="00FF1B38" w:rsidP="001E7922">
            <w:pPr>
              <w:jc w:val="center"/>
              <w:rPr>
                <w:rFonts w:ascii="Arial Narrow" w:hAnsi="Arial Narrow"/>
                <w:color w:val="000000"/>
                <w:sz w:val="24"/>
                <w:szCs w:val="24"/>
              </w:rPr>
            </w:pPr>
            <w:r w:rsidRPr="002E2EB3">
              <w:rPr>
                <w:rFonts w:ascii="Arial Narrow" w:hAnsi="Arial Narrow"/>
                <w:color w:val="000000"/>
                <w:sz w:val="24"/>
                <w:szCs w:val="24"/>
              </w:rPr>
              <w:t>Reef</w:t>
            </w:r>
          </w:p>
        </w:tc>
        <w:tc>
          <w:tcPr>
            <w:tcW w:w="450" w:type="dxa"/>
            <w:shd w:val="clear" w:color="auto" w:fill="F2F2F2" w:themeFill="background1" w:themeFillShade="F2"/>
            <w:tcMar>
              <w:left w:w="28" w:type="dxa"/>
              <w:right w:w="28" w:type="dxa"/>
            </w:tcMar>
            <w:textDirection w:val="btLr"/>
            <w:vAlign w:val="center"/>
          </w:tcPr>
          <w:p w14:paraId="07D292BF" w14:textId="77777777" w:rsidR="00FF1B38" w:rsidRPr="002E2EB3"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Depth</w:t>
            </w:r>
          </w:p>
        </w:tc>
        <w:tc>
          <w:tcPr>
            <w:tcW w:w="976" w:type="dxa"/>
            <w:shd w:val="clear" w:color="auto" w:fill="F2F2F2" w:themeFill="background1" w:themeFillShade="F2"/>
            <w:tcMar>
              <w:left w:w="28" w:type="dxa"/>
              <w:right w:w="28" w:type="dxa"/>
            </w:tcMar>
            <w:textDirection w:val="btLr"/>
            <w:vAlign w:val="bottom"/>
          </w:tcPr>
          <w:p w14:paraId="34546794"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Alcyoniidae</w:t>
            </w:r>
          </w:p>
        </w:tc>
        <w:tc>
          <w:tcPr>
            <w:tcW w:w="976" w:type="dxa"/>
            <w:shd w:val="clear" w:color="auto" w:fill="F2F2F2" w:themeFill="background1" w:themeFillShade="F2"/>
            <w:tcMar>
              <w:left w:w="28" w:type="dxa"/>
              <w:right w:w="28" w:type="dxa"/>
            </w:tcMar>
            <w:textDirection w:val="btLr"/>
            <w:vAlign w:val="bottom"/>
          </w:tcPr>
          <w:p w14:paraId="25166977"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Anthothelidae</w:t>
            </w:r>
          </w:p>
        </w:tc>
        <w:tc>
          <w:tcPr>
            <w:tcW w:w="977" w:type="dxa"/>
            <w:shd w:val="clear" w:color="auto" w:fill="F2F2F2" w:themeFill="background1" w:themeFillShade="F2"/>
            <w:tcMar>
              <w:left w:w="28" w:type="dxa"/>
              <w:right w:w="28" w:type="dxa"/>
            </w:tcMar>
            <w:textDirection w:val="btLr"/>
            <w:vAlign w:val="bottom"/>
          </w:tcPr>
          <w:p w14:paraId="67D8C5C2"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Briareidae</w:t>
            </w:r>
          </w:p>
        </w:tc>
        <w:tc>
          <w:tcPr>
            <w:tcW w:w="976" w:type="dxa"/>
            <w:shd w:val="clear" w:color="auto" w:fill="F2F2F2" w:themeFill="background1" w:themeFillShade="F2"/>
            <w:tcMar>
              <w:left w:w="28" w:type="dxa"/>
              <w:right w:w="28" w:type="dxa"/>
            </w:tcMar>
            <w:textDirection w:val="btLr"/>
            <w:vAlign w:val="bottom"/>
          </w:tcPr>
          <w:p w14:paraId="022780EB"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Clavulariinae</w:t>
            </w:r>
          </w:p>
        </w:tc>
        <w:tc>
          <w:tcPr>
            <w:tcW w:w="977" w:type="dxa"/>
            <w:shd w:val="clear" w:color="auto" w:fill="F2F2F2" w:themeFill="background1" w:themeFillShade="F2"/>
            <w:tcMar>
              <w:left w:w="28" w:type="dxa"/>
              <w:right w:w="28" w:type="dxa"/>
            </w:tcMar>
            <w:textDirection w:val="btLr"/>
            <w:vAlign w:val="bottom"/>
          </w:tcPr>
          <w:p w14:paraId="408957E4"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Helioporidae</w:t>
            </w:r>
          </w:p>
        </w:tc>
        <w:tc>
          <w:tcPr>
            <w:tcW w:w="976" w:type="dxa"/>
            <w:shd w:val="clear" w:color="auto" w:fill="F2F2F2" w:themeFill="background1" w:themeFillShade="F2"/>
            <w:tcMar>
              <w:left w:w="28" w:type="dxa"/>
              <w:right w:w="28" w:type="dxa"/>
            </w:tcMar>
            <w:textDirection w:val="btLr"/>
            <w:vAlign w:val="bottom"/>
          </w:tcPr>
          <w:p w14:paraId="6FFD9939"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Isidae</w:t>
            </w:r>
          </w:p>
        </w:tc>
        <w:tc>
          <w:tcPr>
            <w:tcW w:w="976" w:type="dxa"/>
            <w:shd w:val="clear" w:color="auto" w:fill="F2F2F2" w:themeFill="background1" w:themeFillShade="F2"/>
            <w:tcMar>
              <w:left w:w="28" w:type="dxa"/>
              <w:right w:w="28" w:type="dxa"/>
            </w:tcMar>
            <w:textDirection w:val="btLr"/>
            <w:vAlign w:val="bottom"/>
          </w:tcPr>
          <w:p w14:paraId="6EEC16EA"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Nephtheidae</w:t>
            </w:r>
          </w:p>
        </w:tc>
        <w:tc>
          <w:tcPr>
            <w:tcW w:w="977" w:type="dxa"/>
            <w:shd w:val="clear" w:color="auto" w:fill="F2F2F2" w:themeFill="background1" w:themeFillShade="F2"/>
            <w:tcMar>
              <w:left w:w="28" w:type="dxa"/>
              <w:right w:w="28" w:type="dxa"/>
            </w:tcMar>
            <w:textDirection w:val="btLr"/>
            <w:vAlign w:val="bottom"/>
          </w:tcPr>
          <w:p w14:paraId="72380EE8"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Xeniidae</w:t>
            </w:r>
          </w:p>
        </w:tc>
        <w:tc>
          <w:tcPr>
            <w:tcW w:w="977" w:type="dxa"/>
            <w:shd w:val="clear" w:color="auto" w:fill="F2F2F2" w:themeFill="background1" w:themeFillShade="F2"/>
            <w:tcMar>
              <w:left w:w="28" w:type="dxa"/>
              <w:right w:w="28" w:type="dxa"/>
            </w:tcMar>
            <w:textDirection w:val="btLr"/>
            <w:vAlign w:val="bottom"/>
          </w:tcPr>
          <w:p w14:paraId="6BA0DCE1"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Gorgoniidae like</w:t>
            </w:r>
          </w:p>
        </w:tc>
        <w:tc>
          <w:tcPr>
            <w:tcW w:w="976" w:type="dxa"/>
            <w:shd w:val="clear" w:color="auto" w:fill="F2F2F2" w:themeFill="background1" w:themeFillShade="F2"/>
            <w:tcMar>
              <w:left w:w="28" w:type="dxa"/>
              <w:right w:w="28" w:type="dxa"/>
            </w:tcMar>
            <w:textDirection w:val="btLr"/>
            <w:vAlign w:val="bottom"/>
          </w:tcPr>
          <w:p w14:paraId="154694A8"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Other</w:t>
            </w:r>
          </w:p>
        </w:tc>
      </w:tr>
      <w:tr w:rsidR="00FF1B38" w:rsidRPr="002E2EB3" w14:paraId="26911E6F" w14:textId="77777777" w:rsidTr="00FF1B38">
        <w:trPr>
          <w:trHeight w:hRule="exact" w:val="227"/>
        </w:trPr>
        <w:tc>
          <w:tcPr>
            <w:tcW w:w="1050" w:type="dxa"/>
            <w:vMerge w:val="restart"/>
            <w:textDirection w:val="btLr"/>
            <w:vAlign w:val="center"/>
          </w:tcPr>
          <w:p w14:paraId="5709B045" w14:textId="77777777" w:rsidR="00FF1B38"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Barron</w:t>
            </w:r>
          </w:p>
          <w:p w14:paraId="29BC37D6" w14:textId="77777777" w:rsidR="00FF1B38" w:rsidRPr="002E2EB3"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Daintree</w:t>
            </w:r>
          </w:p>
        </w:tc>
        <w:tc>
          <w:tcPr>
            <w:tcW w:w="1652" w:type="dxa"/>
            <w:vMerge w:val="restart"/>
            <w:tcMar>
              <w:left w:w="28" w:type="dxa"/>
              <w:right w:w="28" w:type="dxa"/>
            </w:tcMar>
            <w:vAlign w:val="center"/>
          </w:tcPr>
          <w:p w14:paraId="34B6CE61"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Snapper North</w:t>
            </w:r>
          </w:p>
        </w:tc>
        <w:tc>
          <w:tcPr>
            <w:tcW w:w="450" w:type="dxa"/>
            <w:tcMar>
              <w:left w:w="28" w:type="dxa"/>
              <w:right w:w="28" w:type="dxa"/>
            </w:tcMar>
            <w:vAlign w:val="center"/>
          </w:tcPr>
          <w:p w14:paraId="64183D9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10FEFE2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6" w:type="dxa"/>
            <w:tcMar>
              <w:left w:w="28" w:type="dxa"/>
              <w:right w:w="28" w:type="dxa"/>
            </w:tcMar>
            <w:vAlign w:val="center"/>
          </w:tcPr>
          <w:p w14:paraId="2169F30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89CC52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1.63</w:t>
            </w:r>
          </w:p>
        </w:tc>
        <w:tc>
          <w:tcPr>
            <w:tcW w:w="976" w:type="dxa"/>
            <w:tcMar>
              <w:left w:w="28" w:type="dxa"/>
              <w:right w:w="28" w:type="dxa"/>
            </w:tcMar>
            <w:vAlign w:val="center"/>
          </w:tcPr>
          <w:p w14:paraId="31446E2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1.04</w:t>
            </w:r>
          </w:p>
        </w:tc>
        <w:tc>
          <w:tcPr>
            <w:tcW w:w="977" w:type="dxa"/>
            <w:tcMar>
              <w:left w:w="28" w:type="dxa"/>
              <w:right w:w="28" w:type="dxa"/>
            </w:tcMar>
            <w:vAlign w:val="center"/>
          </w:tcPr>
          <w:p w14:paraId="29432AF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0D4C45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D7CF95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E75B61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4D6D75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10FCF51" w14:textId="77777777" w:rsidR="00FF1B38" w:rsidRPr="008E4651" w:rsidRDefault="00FF1B38" w:rsidP="001E7922">
            <w:pPr>
              <w:jc w:val="center"/>
              <w:rPr>
                <w:rFonts w:ascii="Arial Narrow" w:hAnsi="Arial Narrow"/>
                <w:color w:val="000000"/>
                <w:sz w:val="18"/>
                <w:szCs w:val="18"/>
              </w:rPr>
            </w:pPr>
          </w:p>
        </w:tc>
      </w:tr>
      <w:tr w:rsidR="00FF1B38" w:rsidRPr="002E2EB3" w14:paraId="6BC3D888" w14:textId="77777777" w:rsidTr="00FF1B38">
        <w:trPr>
          <w:trHeight w:hRule="exact" w:val="227"/>
        </w:trPr>
        <w:tc>
          <w:tcPr>
            <w:tcW w:w="1050" w:type="dxa"/>
            <w:vMerge/>
            <w:textDirection w:val="btLr"/>
            <w:vAlign w:val="center"/>
          </w:tcPr>
          <w:p w14:paraId="28495128"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1FBB344A"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6BD1BCA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683FD86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6" w:type="dxa"/>
            <w:tcMar>
              <w:left w:w="28" w:type="dxa"/>
              <w:right w:w="28" w:type="dxa"/>
            </w:tcMar>
            <w:vAlign w:val="center"/>
          </w:tcPr>
          <w:p w14:paraId="745D604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D4439F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0.19</w:t>
            </w:r>
          </w:p>
        </w:tc>
        <w:tc>
          <w:tcPr>
            <w:tcW w:w="976" w:type="dxa"/>
            <w:tcMar>
              <w:left w:w="28" w:type="dxa"/>
              <w:right w:w="28" w:type="dxa"/>
            </w:tcMar>
            <w:vAlign w:val="center"/>
          </w:tcPr>
          <w:p w14:paraId="7D71C52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10A62B8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1E0044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A0FE5EA"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EF4139A"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0.22</w:t>
            </w:r>
          </w:p>
        </w:tc>
        <w:tc>
          <w:tcPr>
            <w:tcW w:w="977" w:type="dxa"/>
            <w:tcMar>
              <w:left w:w="28" w:type="dxa"/>
              <w:right w:w="28" w:type="dxa"/>
            </w:tcMar>
            <w:vAlign w:val="center"/>
          </w:tcPr>
          <w:p w14:paraId="24A0F3B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DB31F47" w14:textId="77777777" w:rsidR="00FF1B38" w:rsidRPr="008E4651" w:rsidRDefault="00FF1B38" w:rsidP="001E7922">
            <w:pPr>
              <w:jc w:val="center"/>
              <w:rPr>
                <w:rFonts w:ascii="Arial Narrow" w:hAnsi="Arial Narrow"/>
                <w:color w:val="000000"/>
                <w:sz w:val="18"/>
                <w:szCs w:val="18"/>
              </w:rPr>
            </w:pPr>
          </w:p>
        </w:tc>
      </w:tr>
      <w:tr w:rsidR="00FF1B38" w:rsidRPr="002E2EB3" w14:paraId="792F8F7C" w14:textId="77777777" w:rsidTr="00FF1B38">
        <w:trPr>
          <w:trHeight w:hRule="exact" w:val="227"/>
        </w:trPr>
        <w:tc>
          <w:tcPr>
            <w:tcW w:w="1050" w:type="dxa"/>
            <w:vMerge/>
            <w:textDirection w:val="btLr"/>
            <w:vAlign w:val="center"/>
          </w:tcPr>
          <w:p w14:paraId="5356CF45"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445A5944"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Snapper South</w:t>
            </w:r>
          </w:p>
        </w:tc>
        <w:tc>
          <w:tcPr>
            <w:tcW w:w="450" w:type="dxa"/>
            <w:tcMar>
              <w:left w:w="28" w:type="dxa"/>
              <w:right w:w="28" w:type="dxa"/>
            </w:tcMar>
            <w:vAlign w:val="center"/>
          </w:tcPr>
          <w:p w14:paraId="591F5F5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2398898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0.37</w:t>
            </w:r>
          </w:p>
        </w:tc>
        <w:tc>
          <w:tcPr>
            <w:tcW w:w="976" w:type="dxa"/>
            <w:tcMar>
              <w:left w:w="28" w:type="dxa"/>
              <w:right w:w="28" w:type="dxa"/>
            </w:tcMar>
            <w:vAlign w:val="center"/>
          </w:tcPr>
          <w:p w14:paraId="2DE1F25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01AC0B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0.79</w:t>
            </w:r>
          </w:p>
        </w:tc>
        <w:tc>
          <w:tcPr>
            <w:tcW w:w="976" w:type="dxa"/>
            <w:tcMar>
              <w:left w:w="28" w:type="dxa"/>
              <w:right w:w="28" w:type="dxa"/>
            </w:tcMar>
            <w:vAlign w:val="center"/>
          </w:tcPr>
          <w:p w14:paraId="2D5FB61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4BD8B3F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2.42</w:t>
            </w:r>
          </w:p>
        </w:tc>
        <w:tc>
          <w:tcPr>
            <w:tcW w:w="976" w:type="dxa"/>
            <w:tcMar>
              <w:left w:w="28" w:type="dxa"/>
              <w:right w:w="28" w:type="dxa"/>
            </w:tcMar>
            <w:vAlign w:val="center"/>
          </w:tcPr>
          <w:p w14:paraId="537D0C5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F4FE20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69F717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DD01E2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42060D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r>
      <w:tr w:rsidR="00FF1B38" w:rsidRPr="002E2EB3" w14:paraId="3D4DE46E" w14:textId="77777777" w:rsidTr="00FF1B38">
        <w:trPr>
          <w:trHeight w:hRule="exact" w:val="227"/>
        </w:trPr>
        <w:tc>
          <w:tcPr>
            <w:tcW w:w="1050" w:type="dxa"/>
            <w:vMerge/>
            <w:textDirection w:val="btLr"/>
            <w:vAlign w:val="center"/>
          </w:tcPr>
          <w:p w14:paraId="30A08C85"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1A3BA98E"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7DE45AE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3C7FC06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6" w:type="dxa"/>
            <w:tcMar>
              <w:left w:w="28" w:type="dxa"/>
              <w:right w:w="28" w:type="dxa"/>
            </w:tcMar>
            <w:vAlign w:val="center"/>
          </w:tcPr>
          <w:p w14:paraId="0C053F0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050DDC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8.13</w:t>
            </w:r>
          </w:p>
        </w:tc>
        <w:tc>
          <w:tcPr>
            <w:tcW w:w="976" w:type="dxa"/>
            <w:tcMar>
              <w:left w:w="28" w:type="dxa"/>
              <w:right w:w="28" w:type="dxa"/>
            </w:tcMar>
            <w:vAlign w:val="center"/>
          </w:tcPr>
          <w:p w14:paraId="7959893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AF0EB7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6.13</w:t>
            </w:r>
          </w:p>
        </w:tc>
        <w:tc>
          <w:tcPr>
            <w:tcW w:w="976" w:type="dxa"/>
            <w:tcMar>
              <w:left w:w="28" w:type="dxa"/>
              <w:right w:w="28" w:type="dxa"/>
            </w:tcMar>
            <w:vAlign w:val="center"/>
          </w:tcPr>
          <w:p w14:paraId="078676A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C8365B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7E3323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20B56E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0.09</w:t>
            </w:r>
          </w:p>
        </w:tc>
        <w:tc>
          <w:tcPr>
            <w:tcW w:w="976" w:type="dxa"/>
            <w:tcMar>
              <w:left w:w="28" w:type="dxa"/>
              <w:right w:w="28" w:type="dxa"/>
            </w:tcMar>
            <w:vAlign w:val="center"/>
          </w:tcPr>
          <w:p w14:paraId="5811C8B6" w14:textId="77777777" w:rsidR="00FF1B38" w:rsidRPr="008E4651" w:rsidRDefault="00FF1B38" w:rsidP="001E7922">
            <w:pPr>
              <w:jc w:val="center"/>
              <w:rPr>
                <w:rFonts w:ascii="Arial Narrow" w:hAnsi="Arial Narrow"/>
                <w:color w:val="000000"/>
                <w:sz w:val="18"/>
                <w:szCs w:val="18"/>
              </w:rPr>
            </w:pPr>
          </w:p>
        </w:tc>
      </w:tr>
      <w:tr w:rsidR="00FF1B38" w:rsidRPr="002E2EB3" w14:paraId="05C321BE" w14:textId="77777777" w:rsidTr="00FF1B38">
        <w:trPr>
          <w:trHeight w:hRule="exact" w:val="227"/>
        </w:trPr>
        <w:tc>
          <w:tcPr>
            <w:tcW w:w="1050" w:type="dxa"/>
            <w:vMerge/>
            <w:textDirection w:val="btLr"/>
            <w:vAlign w:val="center"/>
          </w:tcPr>
          <w:p w14:paraId="70412287" w14:textId="77777777" w:rsidR="00FF1B38" w:rsidRPr="002E2EB3" w:rsidRDefault="00FF1B38" w:rsidP="001E7922">
            <w:pPr>
              <w:ind w:left="113" w:right="113"/>
              <w:jc w:val="center"/>
              <w:rPr>
                <w:rFonts w:ascii="Arial Narrow" w:hAnsi="Arial Narrow"/>
                <w:color w:val="000000"/>
                <w:szCs w:val="22"/>
              </w:rPr>
            </w:pPr>
          </w:p>
        </w:tc>
        <w:tc>
          <w:tcPr>
            <w:tcW w:w="1652" w:type="dxa"/>
            <w:tcMar>
              <w:left w:w="28" w:type="dxa"/>
              <w:right w:w="28" w:type="dxa"/>
            </w:tcMar>
            <w:vAlign w:val="center"/>
          </w:tcPr>
          <w:p w14:paraId="0DD69BB1"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Low Isles</w:t>
            </w:r>
          </w:p>
        </w:tc>
        <w:tc>
          <w:tcPr>
            <w:tcW w:w="450" w:type="dxa"/>
            <w:tcMar>
              <w:left w:w="28" w:type="dxa"/>
              <w:right w:w="28" w:type="dxa"/>
            </w:tcMar>
            <w:vAlign w:val="center"/>
          </w:tcPr>
          <w:p w14:paraId="7D1F988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402AB0C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0.65</w:t>
            </w:r>
          </w:p>
        </w:tc>
        <w:tc>
          <w:tcPr>
            <w:tcW w:w="976" w:type="dxa"/>
            <w:tcMar>
              <w:left w:w="28" w:type="dxa"/>
              <w:right w:w="28" w:type="dxa"/>
            </w:tcMar>
            <w:vAlign w:val="center"/>
          </w:tcPr>
          <w:p w14:paraId="40CDB92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F452A1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9.30</w:t>
            </w:r>
          </w:p>
        </w:tc>
        <w:tc>
          <w:tcPr>
            <w:tcW w:w="976" w:type="dxa"/>
            <w:tcMar>
              <w:left w:w="28" w:type="dxa"/>
              <w:right w:w="28" w:type="dxa"/>
            </w:tcMar>
            <w:vAlign w:val="center"/>
          </w:tcPr>
          <w:p w14:paraId="0B6BB5A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E249B9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0.13</w:t>
            </w:r>
          </w:p>
        </w:tc>
        <w:tc>
          <w:tcPr>
            <w:tcW w:w="976" w:type="dxa"/>
            <w:tcMar>
              <w:left w:w="28" w:type="dxa"/>
              <w:right w:w="28" w:type="dxa"/>
            </w:tcMar>
            <w:vAlign w:val="center"/>
          </w:tcPr>
          <w:p w14:paraId="1D71B41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E17A89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0.00</w:t>
            </w:r>
          </w:p>
        </w:tc>
        <w:tc>
          <w:tcPr>
            <w:tcW w:w="977" w:type="dxa"/>
            <w:tcMar>
              <w:left w:w="28" w:type="dxa"/>
              <w:right w:w="28" w:type="dxa"/>
            </w:tcMar>
            <w:vAlign w:val="center"/>
          </w:tcPr>
          <w:p w14:paraId="5CAB331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0.00</w:t>
            </w:r>
          </w:p>
        </w:tc>
        <w:tc>
          <w:tcPr>
            <w:tcW w:w="977" w:type="dxa"/>
            <w:tcMar>
              <w:left w:w="28" w:type="dxa"/>
              <w:right w:w="28" w:type="dxa"/>
            </w:tcMar>
            <w:vAlign w:val="center"/>
          </w:tcPr>
          <w:p w14:paraId="2ED501AE" w14:textId="77777777" w:rsidR="00FF1B38" w:rsidRPr="008E4651" w:rsidRDefault="00FF1B38" w:rsidP="001E7922">
            <w:pPr>
              <w:jc w:val="center"/>
              <w:rPr>
                <w:rFonts w:ascii="Arial Narrow" w:hAnsi="Arial Narrow"/>
                <w:color w:val="000000"/>
                <w:sz w:val="18"/>
                <w:szCs w:val="18"/>
              </w:rPr>
            </w:pPr>
            <w:r>
              <w:rPr>
                <w:rFonts w:ascii="Arial Narrow" w:hAnsi="Arial Narrow"/>
                <w:color w:val="000000"/>
                <w:sz w:val="18"/>
                <w:szCs w:val="18"/>
              </w:rPr>
              <w:t>0.03</w:t>
            </w:r>
          </w:p>
        </w:tc>
        <w:tc>
          <w:tcPr>
            <w:tcW w:w="976" w:type="dxa"/>
            <w:tcMar>
              <w:left w:w="28" w:type="dxa"/>
              <w:right w:w="28" w:type="dxa"/>
            </w:tcMar>
            <w:vAlign w:val="center"/>
          </w:tcPr>
          <w:p w14:paraId="3CAE4CBF" w14:textId="77777777" w:rsidR="00FF1B38" w:rsidRPr="008E4651" w:rsidRDefault="00FF1B38" w:rsidP="001E7922">
            <w:pPr>
              <w:jc w:val="center"/>
              <w:rPr>
                <w:rFonts w:ascii="Arial Narrow" w:hAnsi="Arial Narrow"/>
                <w:color w:val="000000"/>
                <w:sz w:val="18"/>
                <w:szCs w:val="18"/>
              </w:rPr>
            </w:pPr>
          </w:p>
        </w:tc>
      </w:tr>
      <w:tr w:rsidR="00FF1B38" w:rsidRPr="002E2EB3" w14:paraId="09B4E584" w14:textId="77777777" w:rsidTr="00FF1B38">
        <w:trPr>
          <w:trHeight w:hRule="exact" w:val="227"/>
        </w:trPr>
        <w:tc>
          <w:tcPr>
            <w:tcW w:w="1050" w:type="dxa"/>
            <w:vMerge w:val="restart"/>
            <w:textDirection w:val="btLr"/>
            <w:vAlign w:val="center"/>
          </w:tcPr>
          <w:p w14:paraId="29F22E25" w14:textId="77777777" w:rsidR="00FF1B38" w:rsidRPr="002E2EB3"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Johnstone</w:t>
            </w:r>
            <w:r>
              <w:rPr>
                <w:rFonts w:ascii="Arial Narrow" w:hAnsi="Arial Narrow"/>
                <w:color w:val="000000"/>
                <w:szCs w:val="22"/>
              </w:rPr>
              <w:t>-</w:t>
            </w:r>
            <w:r w:rsidRPr="002E2EB3">
              <w:rPr>
                <w:rFonts w:ascii="Arial Narrow" w:hAnsi="Arial Narrow"/>
                <w:color w:val="000000"/>
                <w:szCs w:val="22"/>
              </w:rPr>
              <w:t xml:space="preserve"> Russel</w:t>
            </w:r>
            <w:r>
              <w:rPr>
                <w:rFonts w:ascii="Arial Narrow" w:hAnsi="Arial Narrow"/>
                <w:color w:val="000000"/>
                <w:szCs w:val="22"/>
              </w:rPr>
              <w:t>-</w:t>
            </w:r>
            <w:r w:rsidRPr="002E2EB3">
              <w:rPr>
                <w:rFonts w:ascii="Arial Narrow" w:hAnsi="Arial Narrow"/>
                <w:color w:val="000000"/>
                <w:szCs w:val="22"/>
              </w:rPr>
              <w:t>Mulgrave</w:t>
            </w:r>
          </w:p>
        </w:tc>
        <w:tc>
          <w:tcPr>
            <w:tcW w:w="1652" w:type="dxa"/>
            <w:tcMar>
              <w:left w:w="28" w:type="dxa"/>
              <w:right w:w="28" w:type="dxa"/>
            </w:tcMar>
            <w:vAlign w:val="center"/>
          </w:tcPr>
          <w:p w14:paraId="4AE11D27"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Green</w:t>
            </w:r>
          </w:p>
        </w:tc>
        <w:tc>
          <w:tcPr>
            <w:tcW w:w="450" w:type="dxa"/>
            <w:tcMar>
              <w:left w:w="28" w:type="dxa"/>
              <w:right w:w="28" w:type="dxa"/>
            </w:tcMar>
            <w:vAlign w:val="center"/>
          </w:tcPr>
          <w:p w14:paraId="3928479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594F77A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0.59</w:t>
            </w:r>
          </w:p>
        </w:tc>
        <w:tc>
          <w:tcPr>
            <w:tcW w:w="976" w:type="dxa"/>
            <w:tcMar>
              <w:left w:w="28" w:type="dxa"/>
              <w:right w:w="28" w:type="dxa"/>
            </w:tcMar>
            <w:vAlign w:val="center"/>
          </w:tcPr>
          <w:p w14:paraId="58AED91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6CA94B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0.23</w:t>
            </w:r>
          </w:p>
        </w:tc>
        <w:tc>
          <w:tcPr>
            <w:tcW w:w="976" w:type="dxa"/>
            <w:tcMar>
              <w:left w:w="28" w:type="dxa"/>
              <w:right w:w="28" w:type="dxa"/>
            </w:tcMar>
            <w:vAlign w:val="center"/>
          </w:tcPr>
          <w:p w14:paraId="64B79F5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367F62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65A856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0.23</w:t>
            </w:r>
          </w:p>
        </w:tc>
        <w:tc>
          <w:tcPr>
            <w:tcW w:w="976" w:type="dxa"/>
            <w:tcMar>
              <w:left w:w="28" w:type="dxa"/>
              <w:right w:w="28" w:type="dxa"/>
            </w:tcMar>
            <w:vAlign w:val="center"/>
          </w:tcPr>
          <w:p w14:paraId="09BC1DB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0.00</w:t>
            </w:r>
          </w:p>
        </w:tc>
        <w:tc>
          <w:tcPr>
            <w:tcW w:w="977" w:type="dxa"/>
            <w:tcMar>
              <w:left w:w="28" w:type="dxa"/>
              <w:right w:w="28" w:type="dxa"/>
            </w:tcMar>
            <w:vAlign w:val="center"/>
          </w:tcPr>
          <w:p w14:paraId="10CD3EA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2CE9CE49" w14:textId="77777777" w:rsidR="00FF1B38" w:rsidRPr="008E4651" w:rsidRDefault="00FF1B38" w:rsidP="001E7922">
            <w:pPr>
              <w:jc w:val="center"/>
              <w:rPr>
                <w:rFonts w:ascii="Arial Narrow" w:hAnsi="Arial Narrow"/>
                <w:color w:val="000000"/>
                <w:sz w:val="18"/>
                <w:szCs w:val="18"/>
              </w:rPr>
            </w:pPr>
            <w:r>
              <w:rPr>
                <w:rFonts w:ascii="Arial Narrow" w:hAnsi="Arial Narrow"/>
                <w:color w:val="000000"/>
                <w:sz w:val="18"/>
                <w:szCs w:val="18"/>
              </w:rPr>
              <w:t>0.03</w:t>
            </w:r>
          </w:p>
        </w:tc>
        <w:tc>
          <w:tcPr>
            <w:tcW w:w="976" w:type="dxa"/>
            <w:tcMar>
              <w:left w:w="28" w:type="dxa"/>
              <w:right w:w="28" w:type="dxa"/>
            </w:tcMar>
            <w:vAlign w:val="center"/>
          </w:tcPr>
          <w:p w14:paraId="209B87C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r>
      <w:tr w:rsidR="00FF1B38" w:rsidRPr="002E2EB3" w14:paraId="00F495F8" w14:textId="77777777" w:rsidTr="00FF1B38">
        <w:trPr>
          <w:trHeight w:hRule="exact" w:val="227"/>
        </w:trPr>
        <w:tc>
          <w:tcPr>
            <w:tcW w:w="1050" w:type="dxa"/>
            <w:vMerge/>
            <w:textDirection w:val="btLr"/>
            <w:vAlign w:val="center"/>
          </w:tcPr>
          <w:p w14:paraId="7BD5B4F8" w14:textId="77777777" w:rsidR="00FF1B38" w:rsidRPr="002E2EB3" w:rsidRDefault="00FF1B38" w:rsidP="001E7922">
            <w:pPr>
              <w:ind w:left="113" w:right="113"/>
              <w:jc w:val="center"/>
              <w:rPr>
                <w:rFonts w:ascii="Arial Narrow" w:hAnsi="Arial Narrow"/>
                <w:color w:val="000000"/>
                <w:szCs w:val="22"/>
              </w:rPr>
            </w:pPr>
          </w:p>
        </w:tc>
        <w:tc>
          <w:tcPr>
            <w:tcW w:w="1652" w:type="dxa"/>
            <w:tcMar>
              <w:left w:w="28" w:type="dxa"/>
              <w:right w:w="28" w:type="dxa"/>
            </w:tcMar>
            <w:vAlign w:val="center"/>
          </w:tcPr>
          <w:p w14:paraId="508C7AE4"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Fitzroy West LTMP</w:t>
            </w:r>
          </w:p>
        </w:tc>
        <w:tc>
          <w:tcPr>
            <w:tcW w:w="450" w:type="dxa"/>
            <w:tcMar>
              <w:left w:w="28" w:type="dxa"/>
              <w:right w:w="28" w:type="dxa"/>
            </w:tcMar>
            <w:vAlign w:val="center"/>
          </w:tcPr>
          <w:p w14:paraId="38534CC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6EB540D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3.20</w:t>
            </w:r>
          </w:p>
        </w:tc>
        <w:tc>
          <w:tcPr>
            <w:tcW w:w="976" w:type="dxa"/>
            <w:tcMar>
              <w:left w:w="28" w:type="dxa"/>
              <w:right w:w="28" w:type="dxa"/>
            </w:tcMar>
            <w:vAlign w:val="center"/>
          </w:tcPr>
          <w:p w14:paraId="3A863E9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B1B2A4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0.47</w:t>
            </w:r>
          </w:p>
        </w:tc>
        <w:tc>
          <w:tcPr>
            <w:tcW w:w="976" w:type="dxa"/>
            <w:tcMar>
              <w:left w:w="28" w:type="dxa"/>
              <w:right w:w="28" w:type="dxa"/>
            </w:tcMar>
            <w:vAlign w:val="center"/>
          </w:tcPr>
          <w:p w14:paraId="6C30B07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2EEAF8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9D1AAD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B939BD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8CDBD7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77E9CFC6" w14:textId="77777777" w:rsidR="00FF1B38" w:rsidRPr="008E4651" w:rsidRDefault="00FF1B38" w:rsidP="001E7922">
            <w:pPr>
              <w:jc w:val="center"/>
              <w:rPr>
                <w:rFonts w:ascii="Arial Narrow" w:hAnsi="Arial Narrow"/>
                <w:color w:val="000000"/>
                <w:sz w:val="18"/>
                <w:szCs w:val="18"/>
              </w:rPr>
            </w:pPr>
            <w:r>
              <w:rPr>
                <w:rFonts w:ascii="Arial Narrow" w:hAnsi="Arial Narrow"/>
                <w:color w:val="000000"/>
                <w:sz w:val="18"/>
                <w:szCs w:val="18"/>
              </w:rPr>
              <w:t>0.03</w:t>
            </w:r>
          </w:p>
        </w:tc>
        <w:tc>
          <w:tcPr>
            <w:tcW w:w="976" w:type="dxa"/>
            <w:tcMar>
              <w:left w:w="28" w:type="dxa"/>
              <w:right w:w="28" w:type="dxa"/>
            </w:tcMar>
            <w:vAlign w:val="center"/>
          </w:tcPr>
          <w:p w14:paraId="5FD4C77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r>
      <w:tr w:rsidR="00FF1B38" w:rsidRPr="002E2EB3" w14:paraId="741BF18A" w14:textId="77777777" w:rsidTr="00FF1B38">
        <w:trPr>
          <w:trHeight w:hRule="exact" w:val="227"/>
        </w:trPr>
        <w:tc>
          <w:tcPr>
            <w:tcW w:w="1050" w:type="dxa"/>
            <w:vMerge/>
            <w:textDirection w:val="btLr"/>
            <w:vAlign w:val="center"/>
          </w:tcPr>
          <w:p w14:paraId="422A02FE"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60C19115"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Fitzroy West</w:t>
            </w:r>
          </w:p>
        </w:tc>
        <w:tc>
          <w:tcPr>
            <w:tcW w:w="450" w:type="dxa"/>
            <w:tcMar>
              <w:left w:w="28" w:type="dxa"/>
              <w:right w:w="28" w:type="dxa"/>
            </w:tcMar>
            <w:vAlign w:val="center"/>
          </w:tcPr>
          <w:p w14:paraId="7CE7AA8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5E858CA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4.32</w:t>
            </w:r>
          </w:p>
        </w:tc>
        <w:tc>
          <w:tcPr>
            <w:tcW w:w="976" w:type="dxa"/>
            <w:tcMar>
              <w:left w:w="28" w:type="dxa"/>
              <w:right w:w="28" w:type="dxa"/>
            </w:tcMar>
            <w:vAlign w:val="center"/>
          </w:tcPr>
          <w:p w14:paraId="4470CDE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69934A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0.25</w:t>
            </w:r>
          </w:p>
        </w:tc>
        <w:tc>
          <w:tcPr>
            <w:tcW w:w="976" w:type="dxa"/>
            <w:tcMar>
              <w:left w:w="28" w:type="dxa"/>
              <w:right w:w="28" w:type="dxa"/>
            </w:tcMar>
            <w:vAlign w:val="center"/>
          </w:tcPr>
          <w:p w14:paraId="2E86851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9ABF48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4D0DBF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B92CB5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98F050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EC070F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7B9F5EA" w14:textId="77777777" w:rsidR="00FF1B38" w:rsidRPr="008E4651" w:rsidRDefault="00FF1B38" w:rsidP="001E7922">
            <w:pPr>
              <w:jc w:val="center"/>
              <w:rPr>
                <w:rFonts w:ascii="Arial Narrow" w:hAnsi="Arial Narrow"/>
                <w:color w:val="000000"/>
                <w:sz w:val="18"/>
                <w:szCs w:val="18"/>
              </w:rPr>
            </w:pPr>
          </w:p>
        </w:tc>
      </w:tr>
      <w:tr w:rsidR="00FF1B38" w:rsidRPr="002E2EB3" w14:paraId="3CE1D351" w14:textId="77777777" w:rsidTr="00FF1B38">
        <w:trPr>
          <w:trHeight w:hRule="exact" w:val="227"/>
        </w:trPr>
        <w:tc>
          <w:tcPr>
            <w:tcW w:w="1050" w:type="dxa"/>
            <w:vMerge/>
            <w:textDirection w:val="btLr"/>
            <w:vAlign w:val="center"/>
          </w:tcPr>
          <w:p w14:paraId="6F0E2BAC"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0DAE5F19"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7582EE1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3AF3CD8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3.55</w:t>
            </w:r>
          </w:p>
        </w:tc>
        <w:tc>
          <w:tcPr>
            <w:tcW w:w="976" w:type="dxa"/>
            <w:tcMar>
              <w:left w:w="28" w:type="dxa"/>
              <w:right w:w="28" w:type="dxa"/>
            </w:tcMar>
            <w:vAlign w:val="center"/>
          </w:tcPr>
          <w:p w14:paraId="3621903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0A72AD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824045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8C6CC2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D92D28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4A26CA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62E97E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4859DC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503C678" w14:textId="77777777" w:rsidR="00FF1B38" w:rsidRPr="008E4651" w:rsidRDefault="00FF1B38" w:rsidP="001E7922">
            <w:pPr>
              <w:jc w:val="center"/>
              <w:rPr>
                <w:rFonts w:ascii="Arial Narrow" w:hAnsi="Arial Narrow"/>
                <w:color w:val="000000"/>
                <w:sz w:val="18"/>
                <w:szCs w:val="18"/>
              </w:rPr>
            </w:pPr>
          </w:p>
        </w:tc>
      </w:tr>
      <w:tr w:rsidR="00FF1B38" w:rsidRPr="002E2EB3" w14:paraId="4B1A78EF" w14:textId="77777777" w:rsidTr="00FF1B38">
        <w:trPr>
          <w:trHeight w:hRule="exact" w:val="227"/>
        </w:trPr>
        <w:tc>
          <w:tcPr>
            <w:tcW w:w="1050" w:type="dxa"/>
            <w:vMerge/>
            <w:textDirection w:val="btLr"/>
            <w:vAlign w:val="center"/>
          </w:tcPr>
          <w:p w14:paraId="3E74AF94"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1D80A2D9"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Fitzroy East</w:t>
            </w:r>
          </w:p>
        </w:tc>
        <w:tc>
          <w:tcPr>
            <w:tcW w:w="450" w:type="dxa"/>
            <w:tcMar>
              <w:left w:w="28" w:type="dxa"/>
              <w:right w:w="28" w:type="dxa"/>
            </w:tcMar>
            <w:vAlign w:val="center"/>
          </w:tcPr>
          <w:p w14:paraId="6AF42FC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34D8DF8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0.24</w:t>
            </w:r>
          </w:p>
        </w:tc>
        <w:tc>
          <w:tcPr>
            <w:tcW w:w="976" w:type="dxa"/>
            <w:tcMar>
              <w:left w:w="28" w:type="dxa"/>
              <w:right w:w="28" w:type="dxa"/>
            </w:tcMar>
            <w:vAlign w:val="center"/>
          </w:tcPr>
          <w:p w14:paraId="7F04CF0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6864EB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0.56</w:t>
            </w:r>
          </w:p>
        </w:tc>
        <w:tc>
          <w:tcPr>
            <w:tcW w:w="976" w:type="dxa"/>
            <w:tcMar>
              <w:left w:w="28" w:type="dxa"/>
              <w:right w:w="28" w:type="dxa"/>
            </w:tcMar>
            <w:vAlign w:val="center"/>
          </w:tcPr>
          <w:p w14:paraId="1986144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0.72</w:t>
            </w:r>
          </w:p>
        </w:tc>
        <w:tc>
          <w:tcPr>
            <w:tcW w:w="977" w:type="dxa"/>
            <w:tcMar>
              <w:left w:w="28" w:type="dxa"/>
              <w:right w:w="28" w:type="dxa"/>
            </w:tcMar>
            <w:vAlign w:val="center"/>
          </w:tcPr>
          <w:p w14:paraId="47C3B26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99F89A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871D2D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0.05</w:t>
            </w:r>
          </w:p>
        </w:tc>
        <w:tc>
          <w:tcPr>
            <w:tcW w:w="977" w:type="dxa"/>
            <w:tcMar>
              <w:left w:w="28" w:type="dxa"/>
              <w:right w:w="28" w:type="dxa"/>
            </w:tcMar>
            <w:vAlign w:val="center"/>
          </w:tcPr>
          <w:p w14:paraId="01B375C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CB91E3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4C816AB" w14:textId="77777777" w:rsidR="00FF1B38" w:rsidRPr="008E4651" w:rsidRDefault="00FF1B38" w:rsidP="001E7922">
            <w:pPr>
              <w:jc w:val="center"/>
              <w:rPr>
                <w:rFonts w:ascii="Arial Narrow" w:hAnsi="Arial Narrow"/>
                <w:color w:val="000000"/>
                <w:sz w:val="18"/>
                <w:szCs w:val="18"/>
              </w:rPr>
            </w:pPr>
          </w:p>
        </w:tc>
      </w:tr>
      <w:tr w:rsidR="00FF1B38" w:rsidRPr="002E2EB3" w14:paraId="2B985C1F" w14:textId="77777777" w:rsidTr="00FF1B38">
        <w:trPr>
          <w:trHeight w:hRule="exact" w:val="227"/>
        </w:trPr>
        <w:tc>
          <w:tcPr>
            <w:tcW w:w="1050" w:type="dxa"/>
            <w:vMerge/>
            <w:textDirection w:val="btLr"/>
            <w:vAlign w:val="center"/>
          </w:tcPr>
          <w:p w14:paraId="519E485B"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404ABB9A"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0E0BD60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771F285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0.53</w:t>
            </w:r>
          </w:p>
        </w:tc>
        <w:tc>
          <w:tcPr>
            <w:tcW w:w="976" w:type="dxa"/>
            <w:tcMar>
              <w:left w:w="28" w:type="dxa"/>
              <w:right w:w="28" w:type="dxa"/>
            </w:tcMar>
            <w:vAlign w:val="center"/>
          </w:tcPr>
          <w:p w14:paraId="015B118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DBC615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4.38</w:t>
            </w:r>
          </w:p>
        </w:tc>
        <w:tc>
          <w:tcPr>
            <w:tcW w:w="976" w:type="dxa"/>
            <w:tcMar>
              <w:left w:w="28" w:type="dxa"/>
              <w:right w:w="28" w:type="dxa"/>
            </w:tcMar>
            <w:vAlign w:val="center"/>
          </w:tcPr>
          <w:p w14:paraId="5EEF967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0.78</w:t>
            </w:r>
          </w:p>
        </w:tc>
        <w:tc>
          <w:tcPr>
            <w:tcW w:w="977" w:type="dxa"/>
            <w:tcMar>
              <w:left w:w="28" w:type="dxa"/>
              <w:right w:w="28" w:type="dxa"/>
            </w:tcMar>
            <w:vAlign w:val="center"/>
          </w:tcPr>
          <w:p w14:paraId="286BE6E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E85E65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1E34B5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07CDFC0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449A37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80FA778" w14:textId="77777777" w:rsidR="00FF1B38" w:rsidRPr="008E4651" w:rsidRDefault="00FF1B38" w:rsidP="001E7922">
            <w:pPr>
              <w:jc w:val="center"/>
              <w:rPr>
                <w:rFonts w:ascii="Arial Narrow" w:hAnsi="Arial Narrow"/>
                <w:color w:val="000000"/>
                <w:sz w:val="18"/>
                <w:szCs w:val="18"/>
              </w:rPr>
            </w:pPr>
          </w:p>
        </w:tc>
      </w:tr>
      <w:tr w:rsidR="00FF1B38" w:rsidRPr="002E2EB3" w14:paraId="4AC7C64F" w14:textId="77777777" w:rsidTr="00FF1B38">
        <w:trPr>
          <w:trHeight w:hRule="exact" w:val="227"/>
        </w:trPr>
        <w:tc>
          <w:tcPr>
            <w:tcW w:w="1050" w:type="dxa"/>
            <w:vMerge/>
            <w:textDirection w:val="btLr"/>
            <w:vAlign w:val="center"/>
          </w:tcPr>
          <w:p w14:paraId="0F12E6AF"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63287DBF"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High East</w:t>
            </w:r>
          </w:p>
        </w:tc>
        <w:tc>
          <w:tcPr>
            <w:tcW w:w="450" w:type="dxa"/>
            <w:tcMar>
              <w:left w:w="28" w:type="dxa"/>
              <w:right w:w="28" w:type="dxa"/>
            </w:tcMar>
            <w:vAlign w:val="center"/>
          </w:tcPr>
          <w:p w14:paraId="236CEEB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250FA72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0.76</w:t>
            </w:r>
          </w:p>
        </w:tc>
        <w:tc>
          <w:tcPr>
            <w:tcW w:w="976" w:type="dxa"/>
            <w:tcMar>
              <w:left w:w="28" w:type="dxa"/>
              <w:right w:w="28" w:type="dxa"/>
            </w:tcMar>
            <w:vAlign w:val="center"/>
          </w:tcPr>
          <w:p w14:paraId="648C122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CA1489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7.19</w:t>
            </w:r>
          </w:p>
        </w:tc>
        <w:tc>
          <w:tcPr>
            <w:tcW w:w="976" w:type="dxa"/>
            <w:tcMar>
              <w:left w:w="28" w:type="dxa"/>
              <w:right w:w="28" w:type="dxa"/>
            </w:tcMar>
            <w:vAlign w:val="center"/>
          </w:tcPr>
          <w:p w14:paraId="026AD4A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0.16</w:t>
            </w:r>
          </w:p>
        </w:tc>
        <w:tc>
          <w:tcPr>
            <w:tcW w:w="977" w:type="dxa"/>
            <w:tcMar>
              <w:left w:w="28" w:type="dxa"/>
              <w:right w:w="28" w:type="dxa"/>
            </w:tcMar>
            <w:vAlign w:val="center"/>
          </w:tcPr>
          <w:p w14:paraId="576DA23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3F5597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6755B1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2F34FBD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EAE499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F48E6B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r>
      <w:tr w:rsidR="00FF1B38" w:rsidRPr="002E2EB3" w14:paraId="6C349892" w14:textId="77777777" w:rsidTr="00FF1B38">
        <w:trPr>
          <w:trHeight w:hRule="exact" w:val="227"/>
        </w:trPr>
        <w:tc>
          <w:tcPr>
            <w:tcW w:w="1050" w:type="dxa"/>
            <w:vMerge/>
            <w:textDirection w:val="btLr"/>
            <w:vAlign w:val="center"/>
          </w:tcPr>
          <w:p w14:paraId="6D0F97A4"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0A3971B5"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58CBDB6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1FAE116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6" w:type="dxa"/>
            <w:tcMar>
              <w:left w:w="28" w:type="dxa"/>
              <w:right w:w="28" w:type="dxa"/>
            </w:tcMar>
            <w:vAlign w:val="center"/>
          </w:tcPr>
          <w:p w14:paraId="73DDB13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AE3A7C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8.94</w:t>
            </w:r>
          </w:p>
        </w:tc>
        <w:tc>
          <w:tcPr>
            <w:tcW w:w="976" w:type="dxa"/>
            <w:tcMar>
              <w:left w:w="28" w:type="dxa"/>
              <w:right w:w="28" w:type="dxa"/>
            </w:tcMar>
            <w:vAlign w:val="center"/>
          </w:tcPr>
          <w:p w14:paraId="2AA8444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44F259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B62D41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9708C2A"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DBE1E7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11A3BB1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14C03A4" w14:textId="77777777" w:rsidR="00FF1B38" w:rsidRPr="008E4651" w:rsidRDefault="00FF1B38" w:rsidP="001E7922">
            <w:pPr>
              <w:jc w:val="center"/>
              <w:rPr>
                <w:rFonts w:ascii="Arial Narrow" w:hAnsi="Arial Narrow"/>
                <w:color w:val="000000"/>
                <w:sz w:val="18"/>
                <w:szCs w:val="18"/>
              </w:rPr>
            </w:pPr>
          </w:p>
        </w:tc>
      </w:tr>
      <w:tr w:rsidR="00FF1B38" w:rsidRPr="002E2EB3" w14:paraId="16E6A432" w14:textId="77777777" w:rsidTr="00FF1B38">
        <w:trPr>
          <w:trHeight w:hRule="exact" w:val="227"/>
        </w:trPr>
        <w:tc>
          <w:tcPr>
            <w:tcW w:w="1050" w:type="dxa"/>
            <w:vMerge/>
            <w:textDirection w:val="btLr"/>
            <w:vAlign w:val="center"/>
          </w:tcPr>
          <w:p w14:paraId="38CE0BC1"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53A5C88C"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High West</w:t>
            </w:r>
          </w:p>
        </w:tc>
        <w:tc>
          <w:tcPr>
            <w:tcW w:w="450" w:type="dxa"/>
            <w:tcMar>
              <w:left w:w="28" w:type="dxa"/>
              <w:right w:w="28" w:type="dxa"/>
            </w:tcMar>
            <w:vAlign w:val="center"/>
          </w:tcPr>
          <w:p w14:paraId="1A0B901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48A42F3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0.33</w:t>
            </w:r>
          </w:p>
        </w:tc>
        <w:tc>
          <w:tcPr>
            <w:tcW w:w="976" w:type="dxa"/>
            <w:tcMar>
              <w:left w:w="28" w:type="dxa"/>
              <w:right w:w="28" w:type="dxa"/>
            </w:tcMar>
            <w:vAlign w:val="center"/>
          </w:tcPr>
          <w:p w14:paraId="5DB3BE1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390A79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F7B066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DB18B7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3.00</w:t>
            </w:r>
          </w:p>
        </w:tc>
        <w:tc>
          <w:tcPr>
            <w:tcW w:w="976" w:type="dxa"/>
            <w:tcMar>
              <w:left w:w="28" w:type="dxa"/>
              <w:right w:w="28" w:type="dxa"/>
            </w:tcMar>
            <w:vAlign w:val="center"/>
          </w:tcPr>
          <w:p w14:paraId="7F410DC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DBB780A"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BF9208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F61AF7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1961D16" w14:textId="77777777" w:rsidR="00FF1B38" w:rsidRPr="008E4651" w:rsidRDefault="00FF1B38" w:rsidP="001E7922">
            <w:pPr>
              <w:jc w:val="center"/>
              <w:rPr>
                <w:rFonts w:ascii="Arial Narrow" w:hAnsi="Arial Narrow"/>
                <w:color w:val="000000"/>
                <w:sz w:val="18"/>
                <w:szCs w:val="18"/>
              </w:rPr>
            </w:pPr>
          </w:p>
        </w:tc>
      </w:tr>
      <w:tr w:rsidR="00FF1B38" w:rsidRPr="002E2EB3" w14:paraId="7F0E47D7" w14:textId="77777777" w:rsidTr="00FF1B38">
        <w:trPr>
          <w:trHeight w:hRule="exact" w:val="227"/>
        </w:trPr>
        <w:tc>
          <w:tcPr>
            <w:tcW w:w="1050" w:type="dxa"/>
            <w:vMerge/>
            <w:textDirection w:val="btLr"/>
            <w:vAlign w:val="center"/>
          </w:tcPr>
          <w:p w14:paraId="2935C56B"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0EE356A4"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427F90F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32E9473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0.22</w:t>
            </w:r>
          </w:p>
        </w:tc>
        <w:tc>
          <w:tcPr>
            <w:tcW w:w="976" w:type="dxa"/>
            <w:tcMar>
              <w:left w:w="28" w:type="dxa"/>
              <w:right w:w="28" w:type="dxa"/>
            </w:tcMar>
            <w:vAlign w:val="center"/>
          </w:tcPr>
          <w:p w14:paraId="3A5D1F7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18D951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0.75</w:t>
            </w:r>
          </w:p>
        </w:tc>
        <w:tc>
          <w:tcPr>
            <w:tcW w:w="976" w:type="dxa"/>
            <w:tcMar>
              <w:left w:w="28" w:type="dxa"/>
              <w:right w:w="28" w:type="dxa"/>
            </w:tcMar>
            <w:vAlign w:val="center"/>
          </w:tcPr>
          <w:p w14:paraId="4F9E54C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827F91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0.63</w:t>
            </w:r>
          </w:p>
        </w:tc>
        <w:tc>
          <w:tcPr>
            <w:tcW w:w="976" w:type="dxa"/>
            <w:tcMar>
              <w:left w:w="28" w:type="dxa"/>
              <w:right w:w="28" w:type="dxa"/>
            </w:tcMar>
            <w:vAlign w:val="center"/>
          </w:tcPr>
          <w:p w14:paraId="008BBF2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C31D05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E11FC1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300A79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B2AABD2" w14:textId="77777777" w:rsidR="00FF1B38" w:rsidRPr="008E4651" w:rsidRDefault="00FF1B38" w:rsidP="001E7922">
            <w:pPr>
              <w:jc w:val="center"/>
              <w:rPr>
                <w:rFonts w:ascii="Arial Narrow" w:hAnsi="Arial Narrow"/>
                <w:color w:val="000000"/>
                <w:sz w:val="18"/>
                <w:szCs w:val="18"/>
              </w:rPr>
            </w:pPr>
          </w:p>
        </w:tc>
      </w:tr>
      <w:tr w:rsidR="00FF1B38" w:rsidRPr="002E2EB3" w14:paraId="4556978E" w14:textId="77777777" w:rsidTr="00FF1B38">
        <w:trPr>
          <w:trHeight w:hRule="exact" w:val="227"/>
        </w:trPr>
        <w:tc>
          <w:tcPr>
            <w:tcW w:w="1050" w:type="dxa"/>
            <w:vMerge/>
            <w:textDirection w:val="btLr"/>
            <w:vAlign w:val="center"/>
          </w:tcPr>
          <w:p w14:paraId="61E6F7EB"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74C1D31A"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Franklands East</w:t>
            </w:r>
          </w:p>
        </w:tc>
        <w:tc>
          <w:tcPr>
            <w:tcW w:w="450" w:type="dxa"/>
            <w:tcMar>
              <w:left w:w="28" w:type="dxa"/>
              <w:right w:w="28" w:type="dxa"/>
            </w:tcMar>
            <w:vAlign w:val="center"/>
          </w:tcPr>
          <w:p w14:paraId="4ACC796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2159CF5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0.12</w:t>
            </w:r>
          </w:p>
        </w:tc>
        <w:tc>
          <w:tcPr>
            <w:tcW w:w="976" w:type="dxa"/>
            <w:tcMar>
              <w:left w:w="28" w:type="dxa"/>
              <w:right w:w="28" w:type="dxa"/>
            </w:tcMar>
            <w:vAlign w:val="center"/>
          </w:tcPr>
          <w:p w14:paraId="0D74FB0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BCFFA8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0.19</w:t>
            </w:r>
          </w:p>
        </w:tc>
        <w:tc>
          <w:tcPr>
            <w:tcW w:w="976" w:type="dxa"/>
            <w:tcMar>
              <w:left w:w="28" w:type="dxa"/>
              <w:right w:w="28" w:type="dxa"/>
            </w:tcMar>
            <w:vAlign w:val="center"/>
          </w:tcPr>
          <w:p w14:paraId="54CA56C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170967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6" w:type="dxa"/>
            <w:tcMar>
              <w:left w:w="28" w:type="dxa"/>
              <w:right w:w="28" w:type="dxa"/>
            </w:tcMar>
            <w:vAlign w:val="center"/>
          </w:tcPr>
          <w:p w14:paraId="0749429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08BD83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FF3B05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32C1EAE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45E6BB3" w14:textId="77777777" w:rsidR="00FF1B38" w:rsidRPr="008E4651" w:rsidRDefault="00FF1B38" w:rsidP="001E7922">
            <w:pPr>
              <w:jc w:val="center"/>
              <w:rPr>
                <w:rFonts w:ascii="Arial Narrow" w:hAnsi="Arial Narrow"/>
                <w:color w:val="000000"/>
                <w:sz w:val="18"/>
                <w:szCs w:val="18"/>
              </w:rPr>
            </w:pPr>
          </w:p>
        </w:tc>
      </w:tr>
      <w:tr w:rsidR="00FF1B38" w:rsidRPr="002E2EB3" w14:paraId="087A9708" w14:textId="77777777" w:rsidTr="00FF1B38">
        <w:trPr>
          <w:trHeight w:hRule="exact" w:val="227"/>
        </w:trPr>
        <w:tc>
          <w:tcPr>
            <w:tcW w:w="1050" w:type="dxa"/>
            <w:vMerge/>
            <w:textDirection w:val="btLr"/>
            <w:vAlign w:val="center"/>
          </w:tcPr>
          <w:p w14:paraId="26010126"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0F95CB20"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009E469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53060E8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0.45</w:t>
            </w:r>
          </w:p>
        </w:tc>
        <w:tc>
          <w:tcPr>
            <w:tcW w:w="976" w:type="dxa"/>
            <w:tcMar>
              <w:left w:w="28" w:type="dxa"/>
              <w:right w:w="28" w:type="dxa"/>
            </w:tcMar>
            <w:vAlign w:val="center"/>
          </w:tcPr>
          <w:p w14:paraId="2A673EF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5E6347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0.44</w:t>
            </w:r>
          </w:p>
        </w:tc>
        <w:tc>
          <w:tcPr>
            <w:tcW w:w="976" w:type="dxa"/>
            <w:tcMar>
              <w:left w:w="28" w:type="dxa"/>
              <w:right w:w="28" w:type="dxa"/>
            </w:tcMar>
            <w:vAlign w:val="center"/>
          </w:tcPr>
          <w:p w14:paraId="7B7854D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25B5CC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602F94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B21574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91F2E9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C4C30B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1F6146D" w14:textId="77777777" w:rsidR="00FF1B38" w:rsidRPr="008E4651" w:rsidRDefault="00FF1B38" w:rsidP="001E7922">
            <w:pPr>
              <w:jc w:val="center"/>
              <w:rPr>
                <w:rFonts w:ascii="Arial Narrow" w:hAnsi="Arial Narrow"/>
                <w:color w:val="000000"/>
                <w:sz w:val="18"/>
                <w:szCs w:val="18"/>
              </w:rPr>
            </w:pPr>
          </w:p>
        </w:tc>
      </w:tr>
      <w:tr w:rsidR="00FF1B38" w:rsidRPr="002E2EB3" w14:paraId="4666AAAF" w14:textId="77777777" w:rsidTr="00FF1B38">
        <w:trPr>
          <w:trHeight w:hRule="exact" w:val="227"/>
        </w:trPr>
        <w:tc>
          <w:tcPr>
            <w:tcW w:w="1050" w:type="dxa"/>
            <w:vMerge/>
            <w:textDirection w:val="btLr"/>
            <w:vAlign w:val="center"/>
          </w:tcPr>
          <w:p w14:paraId="6200C414"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526F199E"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Franklands West</w:t>
            </w:r>
          </w:p>
        </w:tc>
        <w:tc>
          <w:tcPr>
            <w:tcW w:w="450" w:type="dxa"/>
            <w:tcMar>
              <w:left w:w="28" w:type="dxa"/>
              <w:right w:w="28" w:type="dxa"/>
            </w:tcMar>
            <w:vAlign w:val="center"/>
          </w:tcPr>
          <w:p w14:paraId="0B36A0E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49C6D9D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1.33</w:t>
            </w:r>
          </w:p>
        </w:tc>
        <w:tc>
          <w:tcPr>
            <w:tcW w:w="976" w:type="dxa"/>
            <w:tcMar>
              <w:left w:w="28" w:type="dxa"/>
              <w:right w:w="28" w:type="dxa"/>
            </w:tcMar>
            <w:vAlign w:val="center"/>
          </w:tcPr>
          <w:p w14:paraId="6C9EE6FD"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7105D5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9DA908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6.31</w:t>
            </w:r>
          </w:p>
        </w:tc>
        <w:tc>
          <w:tcPr>
            <w:tcW w:w="977" w:type="dxa"/>
            <w:tcMar>
              <w:left w:w="28" w:type="dxa"/>
              <w:right w:w="28" w:type="dxa"/>
            </w:tcMar>
            <w:vAlign w:val="center"/>
          </w:tcPr>
          <w:p w14:paraId="10E7596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6" w:type="dxa"/>
            <w:tcMar>
              <w:left w:w="28" w:type="dxa"/>
              <w:right w:w="28" w:type="dxa"/>
            </w:tcMar>
            <w:vAlign w:val="center"/>
          </w:tcPr>
          <w:p w14:paraId="165E379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786530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72CD4F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DF3E1C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028558C" w14:textId="77777777" w:rsidR="00FF1B38" w:rsidRPr="008E4651" w:rsidRDefault="00FF1B38" w:rsidP="001E7922">
            <w:pPr>
              <w:jc w:val="center"/>
              <w:rPr>
                <w:rFonts w:ascii="Arial Narrow" w:hAnsi="Arial Narrow"/>
                <w:color w:val="000000"/>
                <w:sz w:val="18"/>
                <w:szCs w:val="18"/>
              </w:rPr>
            </w:pPr>
          </w:p>
        </w:tc>
      </w:tr>
      <w:tr w:rsidR="00FF1B38" w:rsidRPr="002E2EB3" w14:paraId="7F165DB1" w14:textId="77777777" w:rsidTr="00FF1B38">
        <w:trPr>
          <w:trHeight w:hRule="exact" w:val="227"/>
        </w:trPr>
        <w:tc>
          <w:tcPr>
            <w:tcW w:w="1050" w:type="dxa"/>
            <w:vMerge/>
            <w:textDirection w:val="btLr"/>
            <w:vAlign w:val="center"/>
          </w:tcPr>
          <w:p w14:paraId="6BAED8B5"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2DBC8F7E"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35D9927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76D3BF5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0.19</w:t>
            </w:r>
          </w:p>
        </w:tc>
        <w:tc>
          <w:tcPr>
            <w:tcW w:w="976" w:type="dxa"/>
            <w:tcMar>
              <w:left w:w="28" w:type="dxa"/>
              <w:right w:w="28" w:type="dxa"/>
            </w:tcMar>
            <w:vAlign w:val="center"/>
          </w:tcPr>
          <w:p w14:paraId="3460084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329808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A33950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7" w:type="dxa"/>
            <w:tcMar>
              <w:left w:w="28" w:type="dxa"/>
              <w:right w:w="28" w:type="dxa"/>
            </w:tcMar>
            <w:vAlign w:val="center"/>
          </w:tcPr>
          <w:p w14:paraId="37E80D6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C57BBB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CC8CF9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ECFCC16"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4D53CB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387E2D9" w14:textId="77777777" w:rsidR="00FF1B38" w:rsidRPr="008E4651" w:rsidRDefault="00FF1B38" w:rsidP="001E7922">
            <w:pPr>
              <w:jc w:val="center"/>
              <w:rPr>
                <w:rFonts w:ascii="Arial Narrow" w:hAnsi="Arial Narrow"/>
                <w:color w:val="000000"/>
                <w:sz w:val="18"/>
                <w:szCs w:val="18"/>
              </w:rPr>
            </w:pPr>
          </w:p>
        </w:tc>
      </w:tr>
      <w:tr w:rsidR="00FF1B38" w:rsidRPr="002E2EB3" w14:paraId="481F5930" w14:textId="77777777" w:rsidTr="00FF1B38">
        <w:trPr>
          <w:trHeight w:hRule="exact" w:val="227"/>
        </w:trPr>
        <w:tc>
          <w:tcPr>
            <w:tcW w:w="1050" w:type="dxa"/>
            <w:vMerge w:val="restart"/>
            <w:textDirection w:val="btLr"/>
            <w:vAlign w:val="center"/>
          </w:tcPr>
          <w:p w14:paraId="18155EB7" w14:textId="77777777" w:rsidR="00FF1B38" w:rsidRPr="002E2EB3"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Herbert</w:t>
            </w:r>
            <w:r>
              <w:rPr>
                <w:rFonts w:ascii="Arial Narrow" w:hAnsi="Arial Narrow"/>
                <w:color w:val="000000"/>
                <w:szCs w:val="22"/>
              </w:rPr>
              <w:t>-</w:t>
            </w:r>
            <w:r w:rsidRPr="002E2EB3">
              <w:rPr>
                <w:rFonts w:ascii="Arial Narrow" w:hAnsi="Arial Narrow"/>
                <w:color w:val="000000"/>
                <w:szCs w:val="22"/>
              </w:rPr>
              <w:t>Tully</w:t>
            </w:r>
          </w:p>
        </w:tc>
        <w:tc>
          <w:tcPr>
            <w:tcW w:w="1652" w:type="dxa"/>
            <w:vMerge w:val="restart"/>
            <w:tcMar>
              <w:left w:w="28" w:type="dxa"/>
              <w:right w:w="28" w:type="dxa"/>
            </w:tcMar>
            <w:vAlign w:val="center"/>
          </w:tcPr>
          <w:p w14:paraId="06DF5F70"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Barnards</w:t>
            </w:r>
          </w:p>
        </w:tc>
        <w:tc>
          <w:tcPr>
            <w:tcW w:w="450" w:type="dxa"/>
            <w:tcMar>
              <w:left w:w="28" w:type="dxa"/>
              <w:right w:w="28" w:type="dxa"/>
            </w:tcMar>
            <w:vAlign w:val="center"/>
          </w:tcPr>
          <w:p w14:paraId="425CEDB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0217FE1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6" w:type="dxa"/>
            <w:tcMar>
              <w:left w:w="28" w:type="dxa"/>
              <w:right w:w="28" w:type="dxa"/>
            </w:tcMar>
            <w:vAlign w:val="center"/>
          </w:tcPr>
          <w:p w14:paraId="6D7A865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080082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0.25</w:t>
            </w:r>
          </w:p>
        </w:tc>
        <w:tc>
          <w:tcPr>
            <w:tcW w:w="976" w:type="dxa"/>
            <w:tcMar>
              <w:left w:w="28" w:type="dxa"/>
              <w:right w:w="28" w:type="dxa"/>
            </w:tcMar>
            <w:vAlign w:val="center"/>
          </w:tcPr>
          <w:p w14:paraId="1AC6980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FC299F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79A2BC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08EDD0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3C1CD6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CF0BD8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AA2F1B4" w14:textId="77777777" w:rsidR="00FF1B38" w:rsidRPr="008E4651" w:rsidRDefault="00FF1B38" w:rsidP="001E7922">
            <w:pPr>
              <w:jc w:val="center"/>
              <w:rPr>
                <w:rFonts w:ascii="Arial Narrow" w:hAnsi="Arial Narrow"/>
                <w:color w:val="000000"/>
                <w:sz w:val="18"/>
                <w:szCs w:val="18"/>
              </w:rPr>
            </w:pPr>
          </w:p>
        </w:tc>
      </w:tr>
      <w:tr w:rsidR="00FF1B38" w:rsidRPr="002E2EB3" w14:paraId="34DAE272" w14:textId="77777777" w:rsidTr="00FF1B38">
        <w:trPr>
          <w:trHeight w:hRule="exact" w:val="227"/>
        </w:trPr>
        <w:tc>
          <w:tcPr>
            <w:tcW w:w="1050" w:type="dxa"/>
            <w:vMerge/>
            <w:textDirection w:val="btLr"/>
            <w:vAlign w:val="center"/>
          </w:tcPr>
          <w:p w14:paraId="75AD5542"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15ACC87B"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2093C1C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5F7D670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0.08</w:t>
            </w:r>
          </w:p>
        </w:tc>
        <w:tc>
          <w:tcPr>
            <w:tcW w:w="976" w:type="dxa"/>
            <w:tcMar>
              <w:left w:w="28" w:type="dxa"/>
              <w:right w:w="28" w:type="dxa"/>
            </w:tcMar>
            <w:vAlign w:val="center"/>
          </w:tcPr>
          <w:p w14:paraId="68E7384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9681FB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1.63</w:t>
            </w:r>
          </w:p>
        </w:tc>
        <w:tc>
          <w:tcPr>
            <w:tcW w:w="976" w:type="dxa"/>
            <w:tcMar>
              <w:left w:w="28" w:type="dxa"/>
              <w:right w:w="28" w:type="dxa"/>
            </w:tcMar>
            <w:vAlign w:val="center"/>
          </w:tcPr>
          <w:p w14:paraId="7A949FD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2C4F37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8BC051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01C821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0B8CAA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0.08</w:t>
            </w:r>
          </w:p>
        </w:tc>
        <w:tc>
          <w:tcPr>
            <w:tcW w:w="977" w:type="dxa"/>
            <w:tcMar>
              <w:left w:w="28" w:type="dxa"/>
              <w:right w:w="28" w:type="dxa"/>
            </w:tcMar>
            <w:vAlign w:val="center"/>
          </w:tcPr>
          <w:p w14:paraId="1C428DE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04BBE9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0.25</w:t>
            </w:r>
          </w:p>
        </w:tc>
      </w:tr>
      <w:tr w:rsidR="00FF1B38" w:rsidRPr="002E2EB3" w14:paraId="51F28659" w14:textId="77777777" w:rsidTr="00FF1B38">
        <w:trPr>
          <w:trHeight w:hRule="exact" w:val="227"/>
        </w:trPr>
        <w:tc>
          <w:tcPr>
            <w:tcW w:w="1050" w:type="dxa"/>
            <w:vMerge/>
            <w:textDirection w:val="btLr"/>
            <w:vAlign w:val="center"/>
          </w:tcPr>
          <w:p w14:paraId="4C2E0F79"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1E14698E"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King</w:t>
            </w:r>
          </w:p>
        </w:tc>
        <w:tc>
          <w:tcPr>
            <w:tcW w:w="450" w:type="dxa"/>
            <w:tcMar>
              <w:left w:w="28" w:type="dxa"/>
              <w:right w:w="28" w:type="dxa"/>
            </w:tcMar>
            <w:vAlign w:val="center"/>
          </w:tcPr>
          <w:p w14:paraId="102222D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089F32B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E68D76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71BF36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6560C6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E270F5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B84EF8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5E5BCE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98BA50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D460A1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2FD7EB5" w14:textId="77777777" w:rsidR="00FF1B38" w:rsidRPr="008E4651" w:rsidRDefault="00FF1B38" w:rsidP="001E7922">
            <w:pPr>
              <w:jc w:val="center"/>
              <w:rPr>
                <w:rFonts w:ascii="Arial Narrow" w:hAnsi="Arial Narrow"/>
                <w:color w:val="000000"/>
                <w:sz w:val="18"/>
                <w:szCs w:val="18"/>
              </w:rPr>
            </w:pPr>
          </w:p>
        </w:tc>
      </w:tr>
      <w:tr w:rsidR="00FF1B38" w:rsidRPr="002E2EB3" w14:paraId="68F7466D" w14:textId="77777777" w:rsidTr="00FF1B38">
        <w:trPr>
          <w:trHeight w:hRule="exact" w:val="227"/>
        </w:trPr>
        <w:tc>
          <w:tcPr>
            <w:tcW w:w="1050" w:type="dxa"/>
            <w:vMerge/>
            <w:textDirection w:val="btLr"/>
            <w:vAlign w:val="center"/>
          </w:tcPr>
          <w:p w14:paraId="6018DEB2"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352445C1"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4B94D6F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2807205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0.22</w:t>
            </w:r>
          </w:p>
        </w:tc>
        <w:tc>
          <w:tcPr>
            <w:tcW w:w="976" w:type="dxa"/>
            <w:tcMar>
              <w:left w:w="28" w:type="dxa"/>
              <w:right w:w="28" w:type="dxa"/>
            </w:tcMar>
            <w:vAlign w:val="center"/>
          </w:tcPr>
          <w:p w14:paraId="346F767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33200E5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6" w:type="dxa"/>
            <w:tcMar>
              <w:left w:w="28" w:type="dxa"/>
              <w:right w:w="28" w:type="dxa"/>
            </w:tcMar>
            <w:vAlign w:val="center"/>
          </w:tcPr>
          <w:p w14:paraId="6FD3F7E6"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1DA24E5"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8C6463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980DB2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2F64A7A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4380CA3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EDABFA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0.13</w:t>
            </w:r>
          </w:p>
        </w:tc>
      </w:tr>
      <w:tr w:rsidR="00FF1B38" w:rsidRPr="002E2EB3" w14:paraId="57FD8579" w14:textId="77777777" w:rsidTr="00FF1B38">
        <w:trPr>
          <w:trHeight w:hRule="exact" w:val="227"/>
        </w:trPr>
        <w:tc>
          <w:tcPr>
            <w:tcW w:w="1050" w:type="dxa"/>
            <w:vMerge/>
            <w:textDirection w:val="btLr"/>
            <w:vAlign w:val="center"/>
          </w:tcPr>
          <w:p w14:paraId="7155BEDA"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0187A9AF"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Dunk North</w:t>
            </w:r>
          </w:p>
        </w:tc>
        <w:tc>
          <w:tcPr>
            <w:tcW w:w="450" w:type="dxa"/>
            <w:tcMar>
              <w:left w:w="28" w:type="dxa"/>
              <w:right w:w="28" w:type="dxa"/>
            </w:tcMar>
            <w:vAlign w:val="center"/>
          </w:tcPr>
          <w:p w14:paraId="4C85550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321C893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6" w:type="dxa"/>
            <w:tcMar>
              <w:left w:w="28" w:type="dxa"/>
              <w:right w:w="28" w:type="dxa"/>
            </w:tcMar>
            <w:vAlign w:val="center"/>
          </w:tcPr>
          <w:p w14:paraId="0BC9292D"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F3D522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E86765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0.09</w:t>
            </w:r>
          </w:p>
        </w:tc>
        <w:tc>
          <w:tcPr>
            <w:tcW w:w="977" w:type="dxa"/>
            <w:tcMar>
              <w:left w:w="28" w:type="dxa"/>
              <w:right w:w="28" w:type="dxa"/>
            </w:tcMar>
            <w:vAlign w:val="center"/>
          </w:tcPr>
          <w:p w14:paraId="7776DA5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5A2592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042ED3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0293D5E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7C813D0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51028E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r>
      <w:tr w:rsidR="00FF1B38" w:rsidRPr="002E2EB3" w14:paraId="7E8621CF" w14:textId="77777777" w:rsidTr="00FF1B38">
        <w:trPr>
          <w:trHeight w:hRule="exact" w:val="227"/>
        </w:trPr>
        <w:tc>
          <w:tcPr>
            <w:tcW w:w="1050" w:type="dxa"/>
            <w:vMerge/>
            <w:textDirection w:val="btLr"/>
            <w:vAlign w:val="center"/>
          </w:tcPr>
          <w:p w14:paraId="33F65A36"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0CEF88A3"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5C597F7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707C2FE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6" w:type="dxa"/>
            <w:tcMar>
              <w:left w:w="28" w:type="dxa"/>
              <w:right w:w="28" w:type="dxa"/>
            </w:tcMar>
            <w:vAlign w:val="center"/>
          </w:tcPr>
          <w:p w14:paraId="6745AC4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6EFA64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6" w:type="dxa"/>
            <w:tcMar>
              <w:left w:w="28" w:type="dxa"/>
              <w:right w:w="28" w:type="dxa"/>
            </w:tcMar>
            <w:vAlign w:val="center"/>
          </w:tcPr>
          <w:p w14:paraId="62CA638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95A2B5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33C3EA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93D6FE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0.05</w:t>
            </w:r>
          </w:p>
        </w:tc>
        <w:tc>
          <w:tcPr>
            <w:tcW w:w="977" w:type="dxa"/>
            <w:tcMar>
              <w:left w:w="28" w:type="dxa"/>
              <w:right w:w="28" w:type="dxa"/>
            </w:tcMar>
            <w:vAlign w:val="center"/>
          </w:tcPr>
          <w:p w14:paraId="64FAD0D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0.04</w:t>
            </w:r>
          </w:p>
        </w:tc>
        <w:tc>
          <w:tcPr>
            <w:tcW w:w="977" w:type="dxa"/>
            <w:tcMar>
              <w:left w:w="28" w:type="dxa"/>
              <w:right w:w="28" w:type="dxa"/>
            </w:tcMar>
            <w:vAlign w:val="center"/>
          </w:tcPr>
          <w:p w14:paraId="052A1BA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6" w:type="dxa"/>
            <w:tcMar>
              <w:left w:w="28" w:type="dxa"/>
              <w:right w:w="28" w:type="dxa"/>
            </w:tcMar>
            <w:vAlign w:val="center"/>
          </w:tcPr>
          <w:p w14:paraId="3B747A57" w14:textId="77777777" w:rsidR="00FF1B38" w:rsidRPr="008E4651" w:rsidRDefault="00FF1B38" w:rsidP="001E7922">
            <w:pPr>
              <w:jc w:val="center"/>
              <w:rPr>
                <w:rFonts w:ascii="Arial Narrow" w:hAnsi="Arial Narrow"/>
                <w:color w:val="000000"/>
                <w:sz w:val="18"/>
                <w:szCs w:val="18"/>
              </w:rPr>
            </w:pPr>
          </w:p>
        </w:tc>
      </w:tr>
      <w:tr w:rsidR="00FF1B38" w:rsidRPr="002E2EB3" w14:paraId="47543782" w14:textId="77777777" w:rsidTr="00FF1B38">
        <w:trPr>
          <w:trHeight w:hRule="exact" w:val="227"/>
        </w:trPr>
        <w:tc>
          <w:tcPr>
            <w:tcW w:w="1050" w:type="dxa"/>
            <w:vMerge/>
            <w:textDirection w:val="btLr"/>
            <w:vAlign w:val="center"/>
          </w:tcPr>
          <w:p w14:paraId="7ACC09F7"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00A74E08"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Dunk South</w:t>
            </w:r>
          </w:p>
        </w:tc>
        <w:tc>
          <w:tcPr>
            <w:tcW w:w="450" w:type="dxa"/>
            <w:tcMar>
              <w:left w:w="28" w:type="dxa"/>
              <w:right w:w="28" w:type="dxa"/>
            </w:tcMar>
            <w:vAlign w:val="center"/>
          </w:tcPr>
          <w:p w14:paraId="2D6941C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3A0D43F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6" w:type="dxa"/>
            <w:tcMar>
              <w:left w:w="28" w:type="dxa"/>
              <w:right w:w="28" w:type="dxa"/>
            </w:tcMar>
            <w:vAlign w:val="center"/>
          </w:tcPr>
          <w:p w14:paraId="29F5237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C5DC44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0.44</w:t>
            </w:r>
          </w:p>
        </w:tc>
        <w:tc>
          <w:tcPr>
            <w:tcW w:w="976" w:type="dxa"/>
            <w:tcMar>
              <w:left w:w="28" w:type="dxa"/>
              <w:right w:w="28" w:type="dxa"/>
            </w:tcMar>
            <w:vAlign w:val="center"/>
          </w:tcPr>
          <w:p w14:paraId="7440896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0.09</w:t>
            </w:r>
          </w:p>
        </w:tc>
        <w:tc>
          <w:tcPr>
            <w:tcW w:w="977" w:type="dxa"/>
            <w:tcMar>
              <w:left w:w="28" w:type="dxa"/>
              <w:right w:w="28" w:type="dxa"/>
            </w:tcMar>
            <w:vAlign w:val="center"/>
          </w:tcPr>
          <w:p w14:paraId="6AE4F11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C00E45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9444B8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C131C6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434FCC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FD2069B" w14:textId="77777777" w:rsidR="00FF1B38" w:rsidRPr="008E4651" w:rsidRDefault="00FF1B38" w:rsidP="001E7922">
            <w:pPr>
              <w:jc w:val="center"/>
              <w:rPr>
                <w:rFonts w:ascii="Arial Narrow" w:hAnsi="Arial Narrow"/>
                <w:color w:val="000000"/>
                <w:sz w:val="18"/>
                <w:szCs w:val="18"/>
              </w:rPr>
            </w:pPr>
          </w:p>
        </w:tc>
      </w:tr>
      <w:tr w:rsidR="00FF1B38" w:rsidRPr="002E2EB3" w14:paraId="67C193F6" w14:textId="77777777" w:rsidTr="00FF1B38">
        <w:trPr>
          <w:trHeight w:hRule="exact" w:val="227"/>
        </w:trPr>
        <w:tc>
          <w:tcPr>
            <w:tcW w:w="1050" w:type="dxa"/>
            <w:vMerge/>
            <w:textDirection w:val="btLr"/>
            <w:vAlign w:val="center"/>
          </w:tcPr>
          <w:p w14:paraId="04E24FD8"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791DCE3C"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077DB98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7D44237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6" w:type="dxa"/>
            <w:tcMar>
              <w:left w:w="28" w:type="dxa"/>
              <w:right w:w="28" w:type="dxa"/>
            </w:tcMar>
            <w:vAlign w:val="center"/>
          </w:tcPr>
          <w:p w14:paraId="3A11BD36"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5949BF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2.19</w:t>
            </w:r>
          </w:p>
        </w:tc>
        <w:tc>
          <w:tcPr>
            <w:tcW w:w="976" w:type="dxa"/>
            <w:tcMar>
              <w:left w:w="28" w:type="dxa"/>
              <w:right w:w="28" w:type="dxa"/>
            </w:tcMar>
            <w:vAlign w:val="center"/>
          </w:tcPr>
          <w:p w14:paraId="412FC99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155798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6" w:type="dxa"/>
            <w:tcMar>
              <w:left w:w="28" w:type="dxa"/>
              <w:right w:w="28" w:type="dxa"/>
            </w:tcMar>
            <w:vAlign w:val="center"/>
          </w:tcPr>
          <w:p w14:paraId="2724EBF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E7C4E9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1E0197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D3D30C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F847678" w14:textId="77777777" w:rsidR="00FF1B38" w:rsidRPr="008E4651" w:rsidRDefault="00FF1B38" w:rsidP="001E7922">
            <w:pPr>
              <w:jc w:val="center"/>
              <w:rPr>
                <w:rFonts w:ascii="Arial Narrow" w:hAnsi="Arial Narrow"/>
                <w:color w:val="000000"/>
                <w:sz w:val="18"/>
                <w:szCs w:val="18"/>
              </w:rPr>
            </w:pPr>
          </w:p>
        </w:tc>
      </w:tr>
      <w:tr w:rsidR="00FF1B38" w:rsidRPr="002E2EB3" w14:paraId="4828CAD3" w14:textId="77777777" w:rsidTr="00FF1B38">
        <w:trPr>
          <w:trHeight w:hRule="exact" w:val="227"/>
        </w:trPr>
        <w:tc>
          <w:tcPr>
            <w:tcW w:w="1050" w:type="dxa"/>
            <w:vMerge/>
            <w:textDirection w:val="btLr"/>
            <w:vAlign w:val="center"/>
          </w:tcPr>
          <w:p w14:paraId="08563151"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6DAEA7F2"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Bedarra</w:t>
            </w:r>
          </w:p>
        </w:tc>
        <w:tc>
          <w:tcPr>
            <w:tcW w:w="450" w:type="dxa"/>
            <w:tcMar>
              <w:left w:w="28" w:type="dxa"/>
              <w:right w:w="28" w:type="dxa"/>
            </w:tcMar>
            <w:vAlign w:val="center"/>
          </w:tcPr>
          <w:p w14:paraId="606DDF9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72281E5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820D21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E277D5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C01328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4FD161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C44C26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4E39C2D"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AEB363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C8D0F2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A8B96E6" w14:textId="77777777" w:rsidR="00FF1B38" w:rsidRPr="008E4651" w:rsidRDefault="00FF1B38" w:rsidP="001E7922">
            <w:pPr>
              <w:jc w:val="center"/>
              <w:rPr>
                <w:rFonts w:ascii="Arial Narrow" w:hAnsi="Arial Narrow"/>
                <w:color w:val="000000"/>
                <w:sz w:val="18"/>
                <w:szCs w:val="18"/>
              </w:rPr>
            </w:pPr>
          </w:p>
        </w:tc>
      </w:tr>
      <w:tr w:rsidR="00FF1B38" w:rsidRPr="002E2EB3" w14:paraId="5DF2D364" w14:textId="77777777" w:rsidTr="00FF1B38">
        <w:trPr>
          <w:trHeight w:hRule="exact" w:val="227"/>
        </w:trPr>
        <w:tc>
          <w:tcPr>
            <w:tcW w:w="1050" w:type="dxa"/>
            <w:vMerge/>
            <w:tcBorders>
              <w:bottom w:val="single" w:sz="4" w:space="0" w:color="auto"/>
            </w:tcBorders>
            <w:textDirection w:val="btLr"/>
            <w:vAlign w:val="center"/>
          </w:tcPr>
          <w:p w14:paraId="5FF9CF40" w14:textId="77777777" w:rsidR="00FF1B38" w:rsidRPr="002E2EB3" w:rsidRDefault="00FF1B38" w:rsidP="001E7922">
            <w:pPr>
              <w:ind w:left="113" w:right="113"/>
              <w:jc w:val="center"/>
              <w:rPr>
                <w:rFonts w:ascii="Arial Narrow" w:hAnsi="Arial Narrow"/>
                <w:color w:val="000000"/>
                <w:szCs w:val="22"/>
              </w:rPr>
            </w:pPr>
          </w:p>
        </w:tc>
        <w:tc>
          <w:tcPr>
            <w:tcW w:w="1652" w:type="dxa"/>
            <w:vMerge/>
            <w:tcBorders>
              <w:bottom w:val="single" w:sz="4" w:space="0" w:color="auto"/>
            </w:tcBorders>
            <w:tcMar>
              <w:left w:w="28" w:type="dxa"/>
              <w:right w:w="28" w:type="dxa"/>
            </w:tcMar>
            <w:vAlign w:val="center"/>
          </w:tcPr>
          <w:p w14:paraId="0D90B8D9" w14:textId="77777777" w:rsidR="00FF1B38" w:rsidRPr="002E2EB3" w:rsidRDefault="00FF1B38" w:rsidP="001E7922">
            <w:pPr>
              <w:jc w:val="center"/>
              <w:rPr>
                <w:rFonts w:ascii="Arial Narrow" w:hAnsi="Arial Narrow"/>
                <w:b/>
                <w:color w:val="000000"/>
                <w:sz w:val="18"/>
                <w:szCs w:val="18"/>
              </w:rPr>
            </w:pPr>
          </w:p>
        </w:tc>
        <w:tc>
          <w:tcPr>
            <w:tcW w:w="450" w:type="dxa"/>
            <w:tcBorders>
              <w:bottom w:val="single" w:sz="4" w:space="0" w:color="auto"/>
            </w:tcBorders>
            <w:tcMar>
              <w:left w:w="28" w:type="dxa"/>
              <w:right w:w="28" w:type="dxa"/>
            </w:tcMar>
            <w:vAlign w:val="center"/>
          </w:tcPr>
          <w:p w14:paraId="0410143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Borders>
              <w:bottom w:val="single" w:sz="4" w:space="0" w:color="auto"/>
            </w:tcBorders>
            <w:tcMar>
              <w:left w:w="28" w:type="dxa"/>
              <w:right w:w="28" w:type="dxa"/>
            </w:tcMar>
            <w:vAlign w:val="center"/>
          </w:tcPr>
          <w:p w14:paraId="77E3F1A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0.08</w:t>
            </w:r>
          </w:p>
        </w:tc>
        <w:tc>
          <w:tcPr>
            <w:tcW w:w="976" w:type="dxa"/>
            <w:tcBorders>
              <w:bottom w:val="single" w:sz="4" w:space="0" w:color="auto"/>
            </w:tcBorders>
            <w:tcMar>
              <w:left w:w="28" w:type="dxa"/>
              <w:right w:w="28" w:type="dxa"/>
            </w:tcMar>
            <w:vAlign w:val="center"/>
          </w:tcPr>
          <w:p w14:paraId="7EBA303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7" w:type="dxa"/>
            <w:tcBorders>
              <w:bottom w:val="single" w:sz="4" w:space="0" w:color="auto"/>
            </w:tcBorders>
            <w:tcMar>
              <w:left w:w="28" w:type="dxa"/>
              <w:right w:w="28" w:type="dxa"/>
            </w:tcMar>
            <w:vAlign w:val="center"/>
          </w:tcPr>
          <w:p w14:paraId="47D88FC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1.50</w:t>
            </w:r>
          </w:p>
        </w:tc>
        <w:tc>
          <w:tcPr>
            <w:tcW w:w="976" w:type="dxa"/>
            <w:tcBorders>
              <w:bottom w:val="single" w:sz="4" w:space="0" w:color="auto"/>
            </w:tcBorders>
            <w:tcMar>
              <w:left w:w="28" w:type="dxa"/>
              <w:right w:w="28" w:type="dxa"/>
            </w:tcMar>
            <w:vAlign w:val="center"/>
          </w:tcPr>
          <w:p w14:paraId="5A100753" w14:textId="77777777" w:rsidR="00FF1B38" w:rsidRPr="008E4651" w:rsidRDefault="00FF1B38" w:rsidP="001E7922">
            <w:pPr>
              <w:jc w:val="center"/>
              <w:rPr>
                <w:rFonts w:ascii="Arial Narrow" w:hAnsi="Arial Narrow"/>
                <w:color w:val="000000"/>
                <w:sz w:val="18"/>
                <w:szCs w:val="18"/>
              </w:rPr>
            </w:pPr>
          </w:p>
        </w:tc>
        <w:tc>
          <w:tcPr>
            <w:tcW w:w="977" w:type="dxa"/>
            <w:tcBorders>
              <w:bottom w:val="single" w:sz="4" w:space="0" w:color="auto"/>
            </w:tcBorders>
            <w:tcMar>
              <w:left w:w="28" w:type="dxa"/>
              <w:right w:w="28" w:type="dxa"/>
            </w:tcMar>
            <w:vAlign w:val="center"/>
          </w:tcPr>
          <w:p w14:paraId="33F5F30A" w14:textId="77777777" w:rsidR="00FF1B38" w:rsidRPr="008E4651" w:rsidRDefault="00FF1B38" w:rsidP="001E7922">
            <w:pPr>
              <w:jc w:val="center"/>
              <w:rPr>
                <w:rFonts w:ascii="Arial Narrow" w:hAnsi="Arial Narrow"/>
                <w:color w:val="000000"/>
                <w:sz w:val="18"/>
                <w:szCs w:val="18"/>
              </w:rPr>
            </w:pPr>
          </w:p>
        </w:tc>
        <w:tc>
          <w:tcPr>
            <w:tcW w:w="976" w:type="dxa"/>
            <w:tcBorders>
              <w:bottom w:val="single" w:sz="4" w:space="0" w:color="auto"/>
            </w:tcBorders>
            <w:tcMar>
              <w:left w:w="28" w:type="dxa"/>
              <w:right w:w="28" w:type="dxa"/>
            </w:tcMar>
            <w:vAlign w:val="center"/>
          </w:tcPr>
          <w:p w14:paraId="7D799215" w14:textId="77777777" w:rsidR="00FF1B38" w:rsidRPr="008E4651" w:rsidRDefault="00FF1B38" w:rsidP="001E7922">
            <w:pPr>
              <w:jc w:val="center"/>
              <w:rPr>
                <w:rFonts w:ascii="Arial Narrow" w:hAnsi="Arial Narrow"/>
                <w:color w:val="000000"/>
                <w:sz w:val="18"/>
                <w:szCs w:val="18"/>
              </w:rPr>
            </w:pPr>
          </w:p>
        </w:tc>
        <w:tc>
          <w:tcPr>
            <w:tcW w:w="976" w:type="dxa"/>
            <w:tcBorders>
              <w:bottom w:val="single" w:sz="4" w:space="0" w:color="auto"/>
            </w:tcBorders>
            <w:tcMar>
              <w:left w:w="28" w:type="dxa"/>
              <w:right w:w="28" w:type="dxa"/>
            </w:tcMar>
            <w:vAlign w:val="center"/>
          </w:tcPr>
          <w:p w14:paraId="3BE62C76" w14:textId="77777777" w:rsidR="00FF1B38" w:rsidRPr="008E4651" w:rsidRDefault="00FF1B38" w:rsidP="001E7922">
            <w:pPr>
              <w:jc w:val="center"/>
              <w:rPr>
                <w:rFonts w:ascii="Arial Narrow" w:hAnsi="Arial Narrow"/>
                <w:color w:val="000000"/>
                <w:sz w:val="18"/>
                <w:szCs w:val="18"/>
              </w:rPr>
            </w:pPr>
          </w:p>
        </w:tc>
        <w:tc>
          <w:tcPr>
            <w:tcW w:w="977" w:type="dxa"/>
            <w:tcBorders>
              <w:bottom w:val="single" w:sz="4" w:space="0" w:color="auto"/>
            </w:tcBorders>
            <w:tcMar>
              <w:left w:w="28" w:type="dxa"/>
              <w:right w:w="28" w:type="dxa"/>
            </w:tcMar>
            <w:vAlign w:val="center"/>
          </w:tcPr>
          <w:p w14:paraId="08447606" w14:textId="77777777" w:rsidR="00FF1B38" w:rsidRPr="008E4651" w:rsidRDefault="00FF1B38" w:rsidP="001E7922">
            <w:pPr>
              <w:jc w:val="center"/>
              <w:rPr>
                <w:rFonts w:ascii="Arial Narrow" w:hAnsi="Arial Narrow"/>
                <w:color w:val="000000"/>
                <w:sz w:val="18"/>
                <w:szCs w:val="18"/>
              </w:rPr>
            </w:pPr>
          </w:p>
        </w:tc>
        <w:tc>
          <w:tcPr>
            <w:tcW w:w="977" w:type="dxa"/>
            <w:tcBorders>
              <w:bottom w:val="single" w:sz="4" w:space="0" w:color="auto"/>
            </w:tcBorders>
            <w:tcMar>
              <w:left w:w="28" w:type="dxa"/>
              <w:right w:w="28" w:type="dxa"/>
            </w:tcMar>
            <w:vAlign w:val="center"/>
          </w:tcPr>
          <w:p w14:paraId="45707EC6" w14:textId="77777777" w:rsidR="00FF1B38" w:rsidRPr="008E4651" w:rsidRDefault="00FF1B38" w:rsidP="001E7922">
            <w:pPr>
              <w:jc w:val="center"/>
              <w:rPr>
                <w:rFonts w:ascii="Arial Narrow" w:hAnsi="Arial Narrow"/>
                <w:color w:val="000000"/>
                <w:sz w:val="18"/>
                <w:szCs w:val="18"/>
              </w:rPr>
            </w:pPr>
            <w:r>
              <w:rPr>
                <w:rFonts w:ascii="Arial Narrow" w:hAnsi="Arial Narrow"/>
                <w:color w:val="000000"/>
                <w:sz w:val="18"/>
                <w:szCs w:val="18"/>
              </w:rPr>
              <w:t>0.13</w:t>
            </w:r>
          </w:p>
        </w:tc>
        <w:tc>
          <w:tcPr>
            <w:tcW w:w="976" w:type="dxa"/>
            <w:tcBorders>
              <w:bottom w:val="single" w:sz="4" w:space="0" w:color="auto"/>
            </w:tcBorders>
            <w:tcMar>
              <w:left w:w="28" w:type="dxa"/>
              <w:right w:w="28" w:type="dxa"/>
            </w:tcMar>
            <w:vAlign w:val="center"/>
          </w:tcPr>
          <w:p w14:paraId="07BC4D6C" w14:textId="77777777" w:rsidR="00FF1B38" w:rsidRPr="008E4651" w:rsidRDefault="00FF1B38" w:rsidP="001E7922">
            <w:pPr>
              <w:jc w:val="center"/>
              <w:rPr>
                <w:rFonts w:ascii="Arial Narrow" w:hAnsi="Arial Narrow"/>
                <w:color w:val="000000"/>
                <w:sz w:val="18"/>
                <w:szCs w:val="18"/>
              </w:rPr>
            </w:pPr>
          </w:p>
        </w:tc>
      </w:tr>
    </w:tbl>
    <w:p w14:paraId="47A49525" w14:textId="77777777" w:rsidR="00284F17" w:rsidRDefault="00284F17" w:rsidP="001E7922">
      <w:pPr>
        <w:rPr>
          <w:rFonts w:ascii="Arial Narrow" w:hAnsi="Arial Narrow"/>
          <w:sz w:val="20"/>
        </w:rPr>
      </w:pPr>
    </w:p>
    <w:p w14:paraId="0FFA82E9" w14:textId="77777777" w:rsidR="001E7922" w:rsidRPr="002E2EB3" w:rsidRDefault="001E7922" w:rsidP="001E7922">
      <w:pPr>
        <w:rPr>
          <w:rFonts w:ascii="Arial Narrow" w:hAnsi="Arial Narrow"/>
          <w:sz w:val="20"/>
        </w:rPr>
      </w:pPr>
      <w:r w:rsidRPr="002E2EB3">
        <w:rPr>
          <w:rFonts w:ascii="Arial Narrow" w:hAnsi="Arial Narrow"/>
          <w:sz w:val="20"/>
        </w:rPr>
        <w:t xml:space="preserve">  Table </w:t>
      </w:r>
      <w:proofErr w:type="gramStart"/>
      <w:r w:rsidRPr="002E2EB3">
        <w:rPr>
          <w:rFonts w:ascii="Arial Narrow" w:hAnsi="Arial Narrow"/>
          <w:sz w:val="20"/>
        </w:rPr>
        <w:t>A</w:t>
      </w:r>
      <w:proofErr w:type="gramEnd"/>
      <w:r w:rsidR="0096504D">
        <w:rPr>
          <w:rFonts w:ascii="Arial Narrow" w:hAnsi="Arial Narrow"/>
          <w:sz w:val="20"/>
        </w:rPr>
        <w:t xml:space="preserve"> </w:t>
      </w:r>
      <w:r w:rsidR="0033244F">
        <w:rPr>
          <w:rFonts w:ascii="Arial Narrow" w:hAnsi="Arial Narrow"/>
          <w:sz w:val="20"/>
        </w:rPr>
        <w:t>6 continued</w:t>
      </w:r>
    </w:p>
    <w:tbl>
      <w:tblPr>
        <w:tblW w:w="1291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Caption w:val="  Table A1-6 cont."/>
        <w:tblDescription w:val="  Table A1-6 cont."/>
      </w:tblPr>
      <w:tblGrid>
        <w:gridCol w:w="1050"/>
        <w:gridCol w:w="1652"/>
        <w:gridCol w:w="450"/>
        <w:gridCol w:w="976"/>
        <w:gridCol w:w="976"/>
        <w:gridCol w:w="977"/>
        <w:gridCol w:w="976"/>
        <w:gridCol w:w="977"/>
        <w:gridCol w:w="976"/>
        <w:gridCol w:w="976"/>
        <w:gridCol w:w="977"/>
        <w:gridCol w:w="977"/>
        <w:gridCol w:w="976"/>
      </w:tblGrid>
      <w:tr w:rsidR="00FF1B38" w:rsidRPr="002E2EB3" w14:paraId="7C7EB010" w14:textId="77777777" w:rsidTr="00FF1B38">
        <w:trPr>
          <w:cantSplit/>
          <w:trHeight w:hRule="exact" w:val="1467"/>
          <w:tblHeader/>
        </w:trPr>
        <w:tc>
          <w:tcPr>
            <w:tcW w:w="1050" w:type="dxa"/>
            <w:shd w:val="clear" w:color="auto" w:fill="F2F2F2" w:themeFill="background1" w:themeFillShade="F2"/>
            <w:textDirection w:val="btLr"/>
            <w:vAlign w:val="center"/>
          </w:tcPr>
          <w:p w14:paraId="187CEFA7" w14:textId="77777777" w:rsidR="00FF1B38" w:rsidRPr="002E2EB3" w:rsidRDefault="00FF1B38" w:rsidP="001E7922">
            <w:pPr>
              <w:ind w:left="113" w:right="113"/>
              <w:jc w:val="center"/>
              <w:rPr>
                <w:rFonts w:ascii="Arial Narrow" w:hAnsi="Arial Narrow"/>
                <w:color w:val="000000"/>
                <w:sz w:val="24"/>
                <w:szCs w:val="24"/>
              </w:rPr>
            </w:pPr>
            <w:r w:rsidRPr="002E2EB3">
              <w:rPr>
                <w:rFonts w:ascii="Arial Narrow" w:hAnsi="Arial Narrow"/>
                <w:color w:val="000000"/>
                <w:sz w:val="24"/>
                <w:szCs w:val="24"/>
              </w:rPr>
              <w:lastRenderedPageBreak/>
              <w:t>Sub/Region</w:t>
            </w:r>
          </w:p>
        </w:tc>
        <w:tc>
          <w:tcPr>
            <w:tcW w:w="1652" w:type="dxa"/>
            <w:shd w:val="clear" w:color="auto" w:fill="F2F2F2" w:themeFill="background1" w:themeFillShade="F2"/>
            <w:tcMar>
              <w:left w:w="28" w:type="dxa"/>
              <w:right w:w="28" w:type="dxa"/>
            </w:tcMar>
            <w:vAlign w:val="center"/>
          </w:tcPr>
          <w:p w14:paraId="0C028654" w14:textId="77777777" w:rsidR="00FF1B38" w:rsidRPr="002E2EB3" w:rsidRDefault="00FF1B38" w:rsidP="001E7922">
            <w:pPr>
              <w:jc w:val="center"/>
              <w:rPr>
                <w:rFonts w:ascii="Arial Narrow" w:hAnsi="Arial Narrow"/>
                <w:color w:val="000000"/>
                <w:sz w:val="18"/>
                <w:szCs w:val="18"/>
              </w:rPr>
            </w:pPr>
          </w:p>
          <w:p w14:paraId="57E801E1" w14:textId="77777777" w:rsidR="00FF1B38" w:rsidRPr="002E2EB3" w:rsidRDefault="00FF1B38" w:rsidP="001E7922">
            <w:pPr>
              <w:jc w:val="center"/>
              <w:rPr>
                <w:rFonts w:ascii="Arial Narrow" w:hAnsi="Arial Narrow"/>
                <w:color w:val="000000"/>
                <w:sz w:val="24"/>
                <w:szCs w:val="24"/>
              </w:rPr>
            </w:pPr>
            <w:r w:rsidRPr="002E2EB3">
              <w:rPr>
                <w:rFonts w:ascii="Arial Narrow" w:hAnsi="Arial Narrow"/>
                <w:color w:val="000000"/>
                <w:sz w:val="24"/>
                <w:szCs w:val="24"/>
              </w:rPr>
              <w:t>Reef</w:t>
            </w:r>
          </w:p>
        </w:tc>
        <w:tc>
          <w:tcPr>
            <w:tcW w:w="450" w:type="dxa"/>
            <w:shd w:val="clear" w:color="auto" w:fill="F2F2F2" w:themeFill="background1" w:themeFillShade="F2"/>
            <w:tcMar>
              <w:left w:w="28" w:type="dxa"/>
              <w:right w:w="28" w:type="dxa"/>
            </w:tcMar>
            <w:textDirection w:val="btLr"/>
            <w:vAlign w:val="center"/>
          </w:tcPr>
          <w:p w14:paraId="7A9D0BDF" w14:textId="77777777" w:rsidR="00FF1B38" w:rsidRPr="002E2EB3"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Depth</w:t>
            </w:r>
          </w:p>
        </w:tc>
        <w:tc>
          <w:tcPr>
            <w:tcW w:w="976" w:type="dxa"/>
            <w:shd w:val="clear" w:color="auto" w:fill="F2F2F2" w:themeFill="background1" w:themeFillShade="F2"/>
            <w:tcMar>
              <w:left w:w="28" w:type="dxa"/>
              <w:right w:w="28" w:type="dxa"/>
            </w:tcMar>
            <w:textDirection w:val="btLr"/>
            <w:vAlign w:val="bottom"/>
          </w:tcPr>
          <w:p w14:paraId="75DD62DE"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Alcyoniidae</w:t>
            </w:r>
          </w:p>
        </w:tc>
        <w:tc>
          <w:tcPr>
            <w:tcW w:w="976" w:type="dxa"/>
            <w:shd w:val="clear" w:color="auto" w:fill="F2F2F2" w:themeFill="background1" w:themeFillShade="F2"/>
            <w:tcMar>
              <w:left w:w="28" w:type="dxa"/>
              <w:right w:w="28" w:type="dxa"/>
            </w:tcMar>
            <w:textDirection w:val="btLr"/>
            <w:vAlign w:val="bottom"/>
          </w:tcPr>
          <w:p w14:paraId="4926DE67"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Anthothelidae</w:t>
            </w:r>
          </w:p>
        </w:tc>
        <w:tc>
          <w:tcPr>
            <w:tcW w:w="977" w:type="dxa"/>
            <w:shd w:val="clear" w:color="auto" w:fill="F2F2F2" w:themeFill="background1" w:themeFillShade="F2"/>
            <w:tcMar>
              <w:left w:w="28" w:type="dxa"/>
              <w:right w:w="28" w:type="dxa"/>
            </w:tcMar>
            <w:textDirection w:val="btLr"/>
            <w:vAlign w:val="bottom"/>
          </w:tcPr>
          <w:p w14:paraId="732EE3B7"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Briareidae</w:t>
            </w:r>
          </w:p>
        </w:tc>
        <w:tc>
          <w:tcPr>
            <w:tcW w:w="976" w:type="dxa"/>
            <w:shd w:val="clear" w:color="auto" w:fill="F2F2F2" w:themeFill="background1" w:themeFillShade="F2"/>
            <w:tcMar>
              <w:left w:w="28" w:type="dxa"/>
              <w:right w:w="28" w:type="dxa"/>
            </w:tcMar>
            <w:textDirection w:val="btLr"/>
            <w:vAlign w:val="bottom"/>
          </w:tcPr>
          <w:p w14:paraId="68E2DC90"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Clavulariinae</w:t>
            </w:r>
          </w:p>
        </w:tc>
        <w:tc>
          <w:tcPr>
            <w:tcW w:w="977" w:type="dxa"/>
            <w:shd w:val="clear" w:color="auto" w:fill="F2F2F2" w:themeFill="background1" w:themeFillShade="F2"/>
            <w:tcMar>
              <w:left w:w="28" w:type="dxa"/>
              <w:right w:w="28" w:type="dxa"/>
            </w:tcMar>
            <w:textDirection w:val="btLr"/>
            <w:vAlign w:val="bottom"/>
          </w:tcPr>
          <w:p w14:paraId="62346E88"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Helioporidae</w:t>
            </w:r>
          </w:p>
        </w:tc>
        <w:tc>
          <w:tcPr>
            <w:tcW w:w="976" w:type="dxa"/>
            <w:shd w:val="clear" w:color="auto" w:fill="F2F2F2" w:themeFill="background1" w:themeFillShade="F2"/>
            <w:tcMar>
              <w:left w:w="28" w:type="dxa"/>
              <w:right w:w="28" w:type="dxa"/>
            </w:tcMar>
            <w:textDirection w:val="btLr"/>
            <w:vAlign w:val="bottom"/>
          </w:tcPr>
          <w:p w14:paraId="108138AB"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Isidae</w:t>
            </w:r>
          </w:p>
        </w:tc>
        <w:tc>
          <w:tcPr>
            <w:tcW w:w="976" w:type="dxa"/>
            <w:shd w:val="clear" w:color="auto" w:fill="F2F2F2" w:themeFill="background1" w:themeFillShade="F2"/>
            <w:tcMar>
              <w:left w:w="28" w:type="dxa"/>
              <w:right w:w="28" w:type="dxa"/>
            </w:tcMar>
            <w:textDirection w:val="btLr"/>
            <w:vAlign w:val="bottom"/>
          </w:tcPr>
          <w:p w14:paraId="4867A2C1"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Nephtheidae</w:t>
            </w:r>
          </w:p>
        </w:tc>
        <w:tc>
          <w:tcPr>
            <w:tcW w:w="977" w:type="dxa"/>
            <w:shd w:val="clear" w:color="auto" w:fill="F2F2F2" w:themeFill="background1" w:themeFillShade="F2"/>
            <w:tcMar>
              <w:left w:w="28" w:type="dxa"/>
              <w:right w:w="28" w:type="dxa"/>
            </w:tcMar>
            <w:textDirection w:val="btLr"/>
            <w:vAlign w:val="bottom"/>
          </w:tcPr>
          <w:p w14:paraId="4ADBAD84"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Xeniidae</w:t>
            </w:r>
          </w:p>
        </w:tc>
        <w:tc>
          <w:tcPr>
            <w:tcW w:w="977" w:type="dxa"/>
            <w:shd w:val="clear" w:color="auto" w:fill="F2F2F2" w:themeFill="background1" w:themeFillShade="F2"/>
            <w:tcMar>
              <w:left w:w="28" w:type="dxa"/>
              <w:right w:w="28" w:type="dxa"/>
            </w:tcMar>
            <w:textDirection w:val="btLr"/>
            <w:vAlign w:val="bottom"/>
          </w:tcPr>
          <w:p w14:paraId="689C6DE7"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Gorgoniidae like</w:t>
            </w:r>
          </w:p>
        </w:tc>
        <w:tc>
          <w:tcPr>
            <w:tcW w:w="976" w:type="dxa"/>
            <w:shd w:val="clear" w:color="auto" w:fill="F2F2F2" w:themeFill="background1" w:themeFillShade="F2"/>
            <w:tcMar>
              <w:left w:w="28" w:type="dxa"/>
              <w:right w:w="28" w:type="dxa"/>
            </w:tcMar>
            <w:textDirection w:val="btLr"/>
            <w:vAlign w:val="bottom"/>
          </w:tcPr>
          <w:p w14:paraId="543125A9"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Other</w:t>
            </w:r>
          </w:p>
        </w:tc>
      </w:tr>
      <w:tr w:rsidR="00FF1B38" w:rsidRPr="002E2EB3" w14:paraId="56706658" w14:textId="77777777" w:rsidTr="00FF1B38">
        <w:trPr>
          <w:trHeight w:hRule="exact" w:val="227"/>
        </w:trPr>
        <w:tc>
          <w:tcPr>
            <w:tcW w:w="1050" w:type="dxa"/>
            <w:vMerge w:val="restart"/>
            <w:textDirection w:val="btLr"/>
            <w:vAlign w:val="center"/>
          </w:tcPr>
          <w:p w14:paraId="233556B1" w14:textId="77777777" w:rsidR="00FF1B38" w:rsidRPr="002E2EB3"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Burdekin</w:t>
            </w:r>
          </w:p>
        </w:tc>
        <w:tc>
          <w:tcPr>
            <w:tcW w:w="1652" w:type="dxa"/>
            <w:vMerge w:val="restart"/>
            <w:tcMar>
              <w:left w:w="28" w:type="dxa"/>
              <w:right w:w="28" w:type="dxa"/>
            </w:tcMar>
            <w:vAlign w:val="center"/>
          </w:tcPr>
          <w:p w14:paraId="504B87F6"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Palms West</w:t>
            </w:r>
          </w:p>
        </w:tc>
        <w:tc>
          <w:tcPr>
            <w:tcW w:w="450" w:type="dxa"/>
            <w:tcMar>
              <w:left w:w="28" w:type="dxa"/>
              <w:right w:w="28" w:type="dxa"/>
            </w:tcMar>
            <w:vAlign w:val="center"/>
          </w:tcPr>
          <w:p w14:paraId="7CABC30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6465DB8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2.23</w:t>
            </w:r>
          </w:p>
        </w:tc>
        <w:tc>
          <w:tcPr>
            <w:tcW w:w="976" w:type="dxa"/>
            <w:tcMar>
              <w:left w:w="28" w:type="dxa"/>
              <w:right w:w="28" w:type="dxa"/>
            </w:tcMar>
            <w:vAlign w:val="center"/>
          </w:tcPr>
          <w:p w14:paraId="32A2B65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73AC0B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0.25</w:t>
            </w:r>
          </w:p>
        </w:tc>
        <w:tc>
          <w:tcPr>
            <w:tcW w:w="976" w:type="dxa"/>
            <w:tcMar>
              <w:left w:w="28" w:type="dxa"/>
              <w:right w:w="28" w:type="dxa"/>
            </w:tcMar>
            <w:vAlign w:val="center"/>
          </w:tcPr>
          <w:p w14:paraId="1400D9E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0.34</w:t>
            </w:r>
          </w:p>
        </w:tc>
        <w:tc>
          <w:tcPr>
            <w:tcW w:w="977" w:type="dxa"/>
            <w:tcMar>
              <w:left w:w="28" w:type="dxa"/>
              <w:right w:w="28" w:type="dxa"/>
            </w:tcMar>
            <w:vAlign w:val="center"/>
          </w:tcPr>
          <w:p w14:paraId="7FB4DC3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872287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E8827E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0.40</w:t>
            </w:r>
          </w:p>
        </w:tc>
        <w:tc>
          <w:tcPr>
            <w:tcW w:w="977" w:type="dxa"/>
            <w:tcMar>
              <w:left w:w="28" w:type="dxa"/>
              <w:right w:w="28" w:type="dxa"/>
            </w:tcMar>
            <w:vAlign w:val="center"/>
          </w:tcPr>
          <w:p w14:paraId="386F1F8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1A1A809A" w14:textId="77777777" w:rsidR="00FF1B38" w:rsidRPr="008E4651" w:rsidRDefault="00FF1B38" w:rsidP="001E7922">
            <w:pPr>
              <w:jc w:val="center"/>
              <w:rPr>
                <w:rFonts w:ascii="Arial Narrow" w:hAnsi="Arial Narrow"/>
                <w:color w:val="000000"/>
                <w:sz w:val="18"/>
                <w:szCs w:val="18"/>
              </w:rPr>
            </w:pPr>
            <w:r>
              <w:rPr>
                <w:rFonts w:ascii="Arial Narrow" w:hAnsi="Arial Narrow"/>
                <w:color w:val="000000"/>
                <w:sz w:val="18"/>
                <w:szCs w:val="18"/>
              </w:rPr>
              <w:t>0.44</w:t>
            </w:r>
          </w:p>
        </w:tc>
        <w:tc>
          <w:tcPr>
            <w:tcW w:w="976" w:type="dxa"/>
            <w:tcMar>
              <w:left w:w="28" w:type="dxa"/>
              <w:right w:w="28" w:type="dxa"/>
            </w:tcMar>
            <w:vAlign w:val="center"/>
          </w:tcPr>
          <w:p w14:paraId="05C44AA6" w14:textId="77777777" w:rsidR="00FF1B38" w:rsidRPr="008E4651" w:rsidRDefault="00FF1B38" w:rsidP="001E7922">
            <w:pPr>
              <w:jc w:val="center"/>
              <w:rPr>
                <w:rFonts w:ascii="Arial Narrow" w:hAnsi="Arial Narrow"/>
                <w:color w:val="000000"/>
                <w:sz w:val="18"/>
                <w:szCs w:val="18"/>
              </w:rPr>
            </w:pPr>
          </w:p>
        </w:tc>
      </w:tr>
      <w:tr w:rsidR="00FF1B38" w:rsidRPr="002E2EB3" w14:paraId="47FF4C11" w14:textId="77777777" w:rsidTr="00FF1B38">
        <w:trPr>
          <w:trHeight w:hRule="exact" w:val="227"/>
        </w:trPr>
        <w:tc>
          <w:tcPr>
            <w:tcW w:w="1050" w:type="dxa"/>
            <w:vMerge/>
            <w:textDirection w:val="btLr"/>
            <w:vAlign w:val="center"/>
          </w:tcPr>
          <w:p w14:paraId="311325F8"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46A4796E"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2ED33EB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791AA0F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2.70</w:t>
            </w:r>
          </w:p>
        </w:tc>
        <w:tc>
          <w:tcPr>
            <w:tcW w:w="976" w:type="dxa"/>
            <w:tcMar>
              <w:left w:w="28" w:type="dxa"/>
              <w:right w:w="28" w:type="dxa"/>
            </w:tcMar>
            <w:vAlign w:val="center"/>
          </w:tcPr>
          <w:p w14:paraId="0D9E087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2B668F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4.88</w:t>
            </w:r>
          </w:p>
        </w:tc>
        <w:tc>
          <w:tcPr>
            <w:tcW w:w="976" w:type="dxa"/>
            <w:tcMar>
              <w:left w:w="28" w:type="dxa"/>
              <w:right w:w="28" w:type="dxa"/>
            </w:tcMar>
            <w:vAlign w:val="center"/>
          </w:tcPr>
          <w:p w14:paraId="2AE568A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0.31</w:t>
            </w:r>
          </w:p>
        </w:tc>
        <w:tc>
          <w:tcPr>
            <w:tcW w:w="977" w:type="dxa"/>
            <w:tcMar>
              <w:left w:w="28" w:type="dxa"/>
              <w:right w:w="28" w:type="dxa"/>
            </w:tcMar>
            <w:vAlign w:val="center"/>
          </w:tcPr>
          <w:p w14:paraId="3DECACD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BB0246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F714AE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0.21</w:t>
            </w:r>
          </w:p>
        </w:tc>
        <w:tc>
          <w:tcPr>
            <w:tcW w:w="977" w:type="dxa"/>
            <w:tcMar>
              <w:left w:w="28" w:type="dxa"/>
              <w:right w:w="28" w:type="dxa"/>
            </w:tcMar>
            <w:vAlign w:val="center"/>
          </w:tcPr>
          <w:p w14:paraId="68533E5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C8B288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6" w:type="dxa"/>
            <w:tcMar>
              <w:left w:w="28" w:type="dxa"/>
              <w:right w:w="28" w:type="dxa"/>
            </w:tcMar>
            <w:vAlign w:val="center"/>
          </w:tcPr>
          <w:p w14:paraId="619FBC15" w14:textId="77777777" w:rsidR="00FF1B38" w:rsidRPr="008E4651" w:rsidRDefault="00FF1B38" w:rsidP="001E7922">
            <w:pPr>
              <w:jc w:val="center"/>
              <w:rPr>
                <w:rFonts w:ascii="Arial Narrow" w:hAnsi="Arial Narrow"/>
                <w:color w:val="000000"/>
                <w:sz w:val="18"/>
                <w:szCs w:val="18"/>
              </w:rPr>
            </w:pPr>
          </w:p>
        </w:tc>
      </w:tr>
      <w:tr w:rsidR="00FF1B38" w:rsidRPr="002E2EB3" w14:paraId="38EFFAA9" w14:textId="77777777" w:rsidTr="00FF1B38">
        <w:trPr>
          <w:trHeight w:hRule="exact" w:val="227"/>
        </w:trPr>
        <w:tc>
          <w:tcPr>
            <w:tcW w:w="1050" w:type="dxa"/>
            <w:vMerge/>
            <w:textDirection w:val="btLr"/>
            <w:vAlign w:val="center"/>
          </w:tcPr>
          <w:p w14:paraId="28160B3C"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70B9B537"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Palms East</w:t>
            </w:r>
          </w:p>
        </w:tc>
        <w:tc>
          <w:tcPr>
            <w:tcW w:w="450" w:type="dxa"/>
            <w:tcMar>
              <w:left w:w="28" w:type="dxa"/>
              <w:right w:w="28" w:type="dxa"/>
            </w:tcMar>
            <w:vAlign w:val="center"/>
          </w:tcPr>
          <w:p w14:paraId="1F69F69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3F24EE9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0.17</w:t>
            </w:r>
          </w:p>
        </w:tc>
        <w:tc>
          <w:tcPr>
            <w:tcW w:w="976" w:type="dxa"/>
            <w:tcMar>
              <w:left w:w="28" w:type="dxa"/>
              <w:right w:w="28" w:type="dxa"/>
            </w:tcMar>
            <w:vAlign w:val="center"/>
          </w:tcPr>
          <w:p w14:paraId="06E30A5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F10E83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6A8CDA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4E5A94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99BD21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9D6EF1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59FAE3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9EBFBF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D2D9668" w14:textId="77777777" w:rsidR="00FF1B38" w:rsidRPr="008E4651" w:rsidRDefault="00FF1B38" w:rsidP="001E7922">
            <w:pPr>
              <w:jc w:val="center"/>
              <w:rPr>
                <w:rFonts w:ascii="Arial Narrow" w:hAnsi="Arial Narrow"/>
                <w:color w:val="000000"/>
                <w:sz w:val="18"/>
                <w:szCs w:val="18"/>
              </w:rPr>
            </w:pPr>
          </w:p>
        </w:tc>
      </w:tr>
      <w:tr w:rsidR="00FF1B38" w:rsidRPr="002E2EB3" w14:paraId="41CF244C" w14:textId="77777777" w:rsidTr="00FF1B38">
        <w:trPr>
          <w:trHeight w:hRule="exact" w:val="227"/>
        </w:trPr>
        <w:tc>
          <w:tcPr>
            <w:tcW w:w="1050" w:type="dxa"/>
            <w:vMerge/>
            <w:textDirection w:val="btLr"/>
            <w:vAlign w:val="center"/>
          </w:tcPr>
          <w:p w14:paraId="696FE7EE"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05217AB1"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706C9AF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1182A8B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0.10</w:t>
            </w:r>
          </w:p>
        </w:tc>
        <w:tc>
          <w:tcPr>
            <w:tcW w:w="976" w:type="dxa"/>
            <w:tcMar>
              <w:left w:w="28" w:type="dxa"/>
              <w:right w:w="28" w:type="dxa"/>
            </w:tcMar>
            <w:vAlign w:val="center"/>
          </w:tcPr>
          <w:p w14:paraId="5C8F2F0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C0AE78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960AEF6"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D24DE8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A79754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094D9E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978DDE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CE565A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7794169" w14:textId="77777777" w:rsidR="00FF1B38" w:rsidRPr="008E4651" w:rsidRDefault="00FF1B38" w:rsidP="001E7922">
            <w:pPr>
              <w:jc w:val="center"/>
              <w:rPr>
                <w:rFonts w:ascii="Arial Narrow" w:hAnsi="Arial Narrow"/>
                <w:color w:val="000000"/>
                <w:sz w:val="18"/>
                <w:szCs w:val="18"/>
              </w:rPr>
            </w:pPr>
          </w:p>
        </w:tc>
      </w:tr>
      <w:tr w:rsidR="00FF1B38" w:rsidRPr="002E2EB3" w14:paraId="19D15CB3" w14:textId="77777777" w:rsidTr="00FF1B38">
        <w:trPr>
          <w:trHeight w:hRule="exact" w:val="227"/>
        </w:trPr>
        <w:tc>
          <w:tcPr>
            <w:tcW w:w="1050" w:type="dxa"/>
            <w:vMerge/>
            <w:textDirection w:val="btLr"/>
            <w:vAlign w:val="center"/>
          </w:tcPr>
          <w:p w14:paraId="42B05891"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02428E2B"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Lady Elliot</w:t>
            </w:r>
          </w:p>
        </w:tc>
        <w:tc>
          <w:tcPr>
            <w:tcW w:w="450" w:type="dxa"/>
            <w:tcMar>
              <w:left w:w="28" w:type="dxa"/>
              <w:right w:w="28" w:type="dxa"/>
            </w:tcMar>
            <w:vAlign w:val="center"/>
          </w:tcPr>
          <w:p w14:paraId="4E54B2C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225B6E1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6" w:type="dxa"/>
            <w:tcMar>
              <w:left w:w="28" w:type="dxa"/>
              <w:right w:w="28" w:type="dxa"/>
            </w:tcMar>
            <w:vAlign w:val="center"/>
          </w:tcPr>
          <w:p w14:paraId="289C15A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6F71CE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11BB79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F5EB2C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EFD92D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0F67F4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B7D530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1E63E8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8F8BF5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0.13</w:t>
            </w:r>
          </w:p>
        </w:tc>
      </w:tr>
      <w:tr w:rsidR="00FF1B38" w:rsidRPr="002E2EB3" w14:paraId="5246ED12" w14:textId="77777777" w:rsidTr="00FF1B38">
        <w:trPr>
          <w:trHeight w:hRule="exact" w:val="227"/>
        </w:trPr>
        <w:tc>
          <w:tcPr>
            <w:tcW w:w="1050" w:type="dxa"/>
            <w:vMerge/>
            <w:textDirection w:val="btLr"/>
            <w:vAlign w:val="center"/>
          </w:tcPr>
          <w:p w14:paraId="0FDE0EAE"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54E5DFE8"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11CBB80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4F608C5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6" w:type="dxa"/>
            <w:tcMar>
              <w:left w:w="28" w:type="dxa"/>
              <w:right w:w="28" w:type="dxa"/>
            </w:tcMar>
            <w:vAlign w:val="center"/>
          </w:tcPr>
          <w:p w14:paraId="45F583C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6CC774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D07C0E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D80DC2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38A836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3E0124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62B3F4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426A9A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A47745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r>
      <w:tr w:rsidR="00FF1B38" w:rsidRPr="002E2EB3" w14:paraId="7EFB9091" w14:textId="77777777" w:rsidTr="00FF1B38">
        <w:trPr>
          <w:trHeight w:hRule="exact" w:val="227"/>
        </w:trPr>
        <w:tc>
          <w:tcPr>
            <w:tcW w:w="1050" w:type="dxa"/>
            <w:vMerge/>
            <w:textDirection w:val="btLr"/>
            <w:vAlign w:val="center"/>
          </w:tcPr>
          <w:p w14:paraId="06019F9D"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0754F5DF"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Pandora</w:t>
            </w:r>
          </w:p>
        </w:tc>
        <w:tc>
          <w:tcPr>
            <w:tcW w:w="450" w:type="dxa"/>
            <w:tcMar>
              <w:left w:w="28" w:type="dxa"/>
              <w:right w:w="28" w:type="dxa"/>
            </w:tcMar>
            <w:vAlign w:val="center"/>
          </w:tcPr>
          <w:p w14:paraId="6169297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1A681EE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6" w:type="dxa"/>
            <w:tcMar>
              <w:left w:w="28" w:type="dxa"/>
              <w:right w:w="28" w:type="dxa"/>
            </w:tcMar>
            <w:vAlign w:val="center"/>
          </w:tcPr>
          <w:p w14:paraId="2775927A"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4812C0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A8232D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FE4AA4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265800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AEC2C96"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1772CE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40212B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E94D6A7" w14:textId="77777777" w:rsidR="00FF1B38" w:rsidRPr="008E4651" w:rsidRDefault="00FF1B38" w:rsidP="001E7922">
            <w:pPr>
              <w:jc w:val="center"/>
              <w:rPr>
                <w:rFonts w:ascii="Arial Narrow" w:hAnsi="Arial Narrow"/>
                <w:color w:val="000000"/>
                <w:sz w:val="18"/>
                <w:szCs w:val="18"/>
              </w:rPr>
            </w:pPr>
          </w:p>
        </w:tc>
      </w:tr>
      <w:tr w:rsidR="00FF1B38" w:rsidRPr="002E2EB3" w14:paraId="3AAA3F1C" w14:textId="77777777" w:rsidTr="00FF1B38">
        <w:trPr>
          <w:trHeight w:hRule="exact" w:val="227"/>
        </w:trPr>
        <w:tc>
          <w:tcPr>
            <w:tcW w:w="1050" w:type="dxa"/>
            <w:vMerge/>
            <w:textDirection w:val="btLr"/>
            <w:vAlign w:val="center"/>
          </w:tcPr>
          <w:p w14:paraId="13E60AF5"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7B3F0B47"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3CA09E6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78EA8A5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8CA4E8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4325A2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AB9088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7" w:type="dxa"/>
            <w:tcMar>
              <w:left w:w="28" w:type="dxa"/>
              <w:right w:w="28" w:type="dxa"/>
            </w:tcMar>
            <w:vAlign w:val="center"/>
          </w:tcPr>
          <w:p w14:paraId="2788B04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1E08005"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C9C17E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B4EF6AD"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F5A364B" w14:textId="77777777" w:rsidR="00FF1B38" w:rsidRPr="008E4651" w:rsidRDefault="00FF1B38" w:rsidP="001E7922">
            <w:pPr>
              <w:jc w:val="center"/>
              <w:rPr>
                <w:rFonts w:ascii="Arial Narrow" w:hAnsi="Arial Narrow"/>
                <w:color w:val="000000"/>
                <w:sz w:val="18"/>
                <w:szCs w:val="18"/>
              </w:rPr>
            </w:pPr>
            <w:r>
              <w:rPr>
                <w:rFonts w:ascii="Arial Narrow" w:hAnsi="Arial Narrow"/>
                <w:color w:val="000000"/>
                <w:sz w:val="18"/>
                <w:szCs w:val="18"/>
              </w:rPr>
              <w:t>0.06</w:t>
            </w:r>
          </w:p>
        </w:tc>
        <w:tc>
          <w:tcPr>
            <w:tcW w:w="976" w:type="dxa"/>
            <w:tcMar>
              <w:left w:w="28" w:type="dxa"/>
              <w:right w:w="28" w:type="dxa"/>
            </w:tcMar>
            <w:vAlign w:val="center"/>
          </w:tcPr>
          <w:p w14:paraId="52E1C75E" w14:textId="77777777" w:rsidR="00FF1B38" w:rsidRPr="008E4651" w:rsidRDefault="00FF1B38" w:rsidP="001E7922">
            <w:pPr>
              <w:jc w:val="center"/>
              <w:rPr>
                <w:rFonts w:ascii="Arial Narrow" w:hAnsi="Arial Narrow"/>
                <w:color w:val="000000"/>
                <w:sz w:val="18"/>
                <w:szCs w:val="18"/>
              </w:rPr>
            </w:pPr>
          </w:p>
        </w:tc>
      </w:tr>
      <w:tr w:rsidR="00FF1B38" w:rsidRPr="002E2EB3" w14:paraId="7B07D36F" w14:textId="77777777" w:rsidTr="00FF1B38">
        <w:trPr>
          <w:trHeight w:hRule="exact" w:val="227"/>
        </w:trPr>
        <w:tc>
          <w:tcPr>
            <w:tcW w:w="1050" w:type="dxa"/>
            <w:vMerge/>
            <w:textDirection w:val="btLr"/>
            <w:vAlign w:val="center"/>
          </w:tcPr>
          <w:p w14:paraId="3043E678" w14:textId="77777777" w:rsidR="00FF1B38" w:rsidRPr="002E2EB3" w:rsidRDefault="00FF1B38" w:rsidP="001E7922">
            <w:pPr>
              <w:ind w:left="113" w:right="113"/>
              <w:jc w:val="center"/>
              <w:rPr>
                <w:rFonts w:ascii="Arial Narrow" w:hAnsi="Arial Narrow"/>
                <w:color w:val="000000"/>
                <w:szCs w:val="22"/>
              </w:rPr>
            </w:pPr>
          </w:p>
        </w:tc>
        <w:tc>
          <w:tcPr>
            <w:tcW w:w="1652" w:type="dxa"/>
            <w:tcMar>
              <w:left w:w="28" w:type="dxa"/>
              <w:right w:w="28" w:type="dxa"/>
            </w:tcMar>
            <w:vAlign w:val="center"/>
          </w:tcPr>
          <w:p w14:paraId="37ED6681"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Pandora North</w:t>
            </w:r>
          </w:p>
        </w:tc>
        <w:tc>
          <w:tcPr>
            <w:tcW w:w="450" w:type="dxa"/>
            <w:tcMar>
              <w:left w:w="28" w:type="dxa"/>
              <w:right w:w="28" w:type="dxa"/>
            </w:tcMar>
            <w:vAlign w:val="center"/>
          </w:tcPr>
          <w:p w14:paraId="298245B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05B8878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0.12</w:t>
            </w:r>
          </w:p>
        </w:tc>
        <w:tc>
          <w:tcPr>
            <w:tcW w:w="976" w:type="dxa"/>
            <w:vAlign w:val="center"/>
          </w:tcPr>
          <w:p w14:paraId="1334BD16" w14:textId="77777777" w:rsidR="00FF1B38" w:rsidRPr="008E4651" w:rsidRDefault="00FF1B38" w:rsidP="001E7922">
            <w:pPr>
              <w:jc w:val="center"/>
              <w:rPr>
                <w:rFonts w:ascii="Arial Narrow" w:hAnsi="Arial Narrow"/>
                <w:color w:val="000000"/>
                <w:sz w:val="18"/>
                <w:szCs w:val="18"/>
              </w:rPr>
            </w:pPr>
          </w:p>
        </w:tc>
        <w:tc>
          <w:tcPr>
            <w:tcW w:w="977" w:type="dxa"/>
            <w:vAlign w:val="center"/>
          </w:tcPr>
          <w:p w14:paraId="6946A37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5.00</w:t>
            </w:r>
          </w:p>
        </w:tc>
        <w:tc>
          <w:tcPr>
            <w:tcW w:w="976" w:type="dxa"/>
            <w:vAlign w:val="center"/>
          </w:tcPr>
          <w:p w14:paraId="55F93DE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1.67</w:t>
            </w:r>
          </w:p>
        </w:tc>
        <w:tc>
          <w:tcPr>
            <w:tcW w:w="977" w:type="dxa"/>
            <w:vAlign w:val="center"/>
          </w:tcPr>
          <w:p w14:paraId="55C9B46B" w14:textId="77777777" w:rsidR="00FF1B38" w:rsidRPr="008E4651" w:rsidRDefault="00FF1B38" w:rsidP="001E7922">
            <w:pPr>
              <w:jc w:val="center"/>
              <w:rPr>
                <w:rFonts w:ascii="Arial Narrow" w:hAnsi="Arial Narrow"/>
                <w:color w:val="000000"/>
                <w:sz w:val="18"/>
                <w:szCs w:val="18"/>
              </w:rPr>
            </w:pPr>
          </w:p>
        </w:tc>
        <w:tc>
          <w:tcPr>
            <w:tcW w:w="976" w:type="dxa"/>
            <w:vAlign w:val="center"/>
          </w:tcPr>
          <w:p w14:paraId="361B485C" w14:textId="77777777" w:rsidR="00FF1B38" w:rsidRPr="008E4651" w:rsidRDefault="00FF1B38" w:rsidP="001E7922">
            <w:pPr>
              <w:jc w:val="center"/>
              <w:rPr>
                <w:rFonts w:ascii="Arial Narrow" w:hAnsi="Arial Narrow"/>
                <w:color w:val="000000"/>
                <w:sz w:val="18"/>
                <w:szCs w:val="18"/>
              </w:rPr>
            </w:pPr>
          </w:p>
        </w:tc>
        <w:tc>
          <w:tcPr>
            <w:tcW w:w="976" w:type="dxa"/>
            <w:vAlign w:val="center"/>
          </w:tcPr>
          <w:p w14:paraId="4FB3C2F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vAlign w:val="center"/>
          </w:tcPr>
          <w:p w14:paraId="3E4A895E" w14:textId="77777777" w:rsidR="00FF1B38" w:rsidRPr="008E4651" w:rsidRDefault="00FF1B38" w:rsidP="001E7922">
            <w:pPr>
              <w:jc w:val="center"/>
              <w:rPr>
                <w:rFonts w:ascii="Arial Narrow" w:hAnsi="Arial Narrow"/>
                <w:color w:val="000000"/>
                <w:sz w:val="18"/>
                <w:szCs w:val="18"/>
              </w:rPr>
            </w:pPr>
          </w:p>
        </w:tc>
        <w:tc>
          <w:tcPr>
            <w:tcW w:w="977" w:type="dxa"/>
            <w:vAlign w:val="center"/>
          </w:tcPr>
          <w:p w14:paraId="4C84B19E" w14:textId="77777777" w:rsidR="00FF1B38" w:rsidRPr="008E4651" w:rsidRDefault="00FF1B38" w:rsidP="001E7922">
            <w:pPr>
              <w:jc w:val="center"/>
              <w:rPr>
                <w:rFonts w:ascii="Arial Narrow" w:hAnsi="Arial Narrow"/>
                <w:color w:val="000000"/>
                <w:sz w:val="18"/>
                <w:szCs w:val="18"/>
              </w:rPr>
            </w:pPr>
            <w:r>
              <w:rPr>
                <w:rFonts w:ascii="Arial Narrow" w:hAnsi="Arial Narrow"/>
                <w:color w:val="000000"/>
                <w:sz w:val="18"/>
                <w:szCs w:val="18"/>
              </w:rPr>
              <w:t>0.13</w:t>
            </w:r>
          </w:p>
        </w:tc>
        <w:tc>
          <w:tcPr>
            <w:tcW w:w="976" w:type="dxa"/>
            <w:vAlign w:val="center"/>
          </w:tcPr>
          <w:p w14:paraId="199EC56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r>
      <w:tr w:rsidR="00FF1B38" w:rsidRPr="002E2EB3" w14:paraId="2FD0378C" w14:textId="77777777" w:rsidTr="00FF1B38">
        <w:trPr>
          <w:trHeight w:hRule="exact" w:val="227"/>
        </w:trPr>
        <w:tc>
          <w:tcPr>
            <w:tcW w:w="1050" w:type="dxa"/>
            <w:vMerge/>
            <w:textDirection w:val="btLr"/>
            <w:vAlign w:val="center"/>
          </w:tcPr>
          <w:p w14:paraId="7647536A"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295800B8"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Havannah</w:t>
            </w:r>
          </w:p>
        </w:tc>
        <w:tc>
          <w:tcPr>
            <w:tcW w:w="450" w:type="dxa"/>
            <w:tcMar>
              <w:left w:w="28" w:type="dxa"/>
              <w:right w:w="28" w:type="dxa"/>
            </w:tcMar>
            <w:vAlign w:val="center"/>
          </w:tcPr>
          <w:p w14:paraId="30206C6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66EAC7C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0.15</w:t>
            </w:r>
          </w:p>
        </w:tc>
        <w:tc>
          <w:tcPr>
            <w:tcW w:w="976" w:type="dxa"/>
            <w:tcMar>
              <w:left w:w="28" w:type="dxa"/>
              <w:right w:w="28" w:type="dxa"/>
            </w:tcMar>
            <w:vAlign w:val="center"/>
          </w:tcPr>
          <w:p w14:paraId="57FE6DB6" w14:textId="77777777" w:rsidR="00FF1B38" w:rsidRPr="008E4651" w:rsidRDefault="00FF1B38" w:rsidP="001E7922">
            <w:pPr>
              <w:jc w:val="center"/>
              <w:rPr>
                <w:rFonts w:ascii="Arial Narrow" w:hAnsi="Arial Narrow"/>
                <w:color w:val="000000"/>
                <w:sz w:val="18"/>
                <w:szCs w:val="18"/>
              </w:rPr>
            </w:pPr>
          </w:p>
        </w:tc>
        <w:tc>
          <w:tcPr>
            <w:tcW w:w="977" w:type="dxa"/>
            <w:vAlign w:val="center"/>
          </w:tcPr>
          <w:p w14:paraId="56C3D23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2.44</w:t>
            </w:r>
          </w:p>
        </w:tc>
        <w:tc>
          <w:tcPr>
            <w:tcW w:w="976" w:type="dxa"/>
            <w:vAlign w:val="center"/>
          </w:tcPr>
          <w:p w14:paraId="31641518" w14:textId="77777777" w:rsidR="00FF1B38" w:rsidRPr="008E4651" w:rsidRDefault="00FF1B38" w:rsidP="001E7922">
            <w:pPr>
              <w:jc w:val="center"/>
              <w:rPr>
                <w:rFonts w:ascii="Arial Narrow" w:hAnsi="Arial Narrow"/>
                <w:color w:val="000000"/>
                <w:sz w:val="18"/>
                <w:szCs w:val="18"/>
              </w:rPr>
            </w:pPr>
          </w:p>
        </w:tc>
        <w:tc>
          <w:tcPr>
            <w:tcW w:w="977" w:type="dxa"/>
            <w:vAlign w:val="center"/>
          </w:tcPr>
          <w:p w14:paraId="678A0B63" w14:textId="77777777" w:rsidR="00FF1B38" w:rsidRPr="008E4651" w:rsidRDefault="00FF1B38" w:rsidP="001E7922">
            <w:pPr>
              <w:jc w:val="center"/>
              <w:rPr>
                <w:rFonts w:ascii="Arial Narrow" w:hAnsi="Arial Narrow"/>
                <w:color w:val="000000"/>
                <w:sz w:val="18"/>
                <w:szCs w:val="18"/>
              </w:rPr>
            </w:pPr>
          </w:p>
        </w:tc>
        <w:tc>
          <w:tcPr>
            <w:tcW w:w="976" w:type="dxa"/>
            <w:vAlign w:val="center"/>
          </w:tcPr>
          <w:p w14:paraId="35E3D4B8" w14:textId="77777777" w:rsidR="00FF1B38" w:rsidRPr="008E4651" w:rsidRDefault="00FF1B38" w:rsidP="001E7922">
            <w:pPr>
              <w:jc w:val="center"/>
              <w:rPr>
                <w:rFonts w:ascii="Arial Narrow" w:hAnsi="Arial Narrow"/>
                <w:color w:val="000000"/>
                <w:sz w:val="18"/>
                <w:szCs w:val="18"/>
              </w:rPr>
            </w:pPr>
          </w:p>
        </w:tc>
        <w:tc>
          <w:tcPr>
            <w:tcW w:w="976" w:type="dxa"/>
            <w:vAlign w:val="center"/>
          </w:tcPr>
          <w:p w14:paraId="00646513" w14:textId="77777777" w:rsidR="00FF1B38" w:rsidRPr="008E4651" w:rsidRDefault="00FF1B38" w:rsidP="001E7922">
            <w:pPr>
              <w:jc w:val="center"/>
              <w:rPr>
                <w:rFonts w:ascii="Arial Narrow" w:hAnsi="Arial Narrow"/>
                <w:color w:val="000000"/>
                <w:sz w:val="18"/>
                <w:szCs w:val="18"/>
              </w:rPr>
            </w:pPr>
          </w:p>
        </w:tc>
        <w:tc>
          <w:tcPr>
            <w:tcW w:w="977" w:type="dxa"/>
            <w:vAlign w:val="center"/>
          </w:tcPr>
          <w:p w14:paraId="26862F4B" w14:textId="77777777" w:rsidR="00FF1B38" w:rsidRPr="008E4651" w:rsidRDefault="00FF1B38" w:rsidP="001E7922">
            <w:pPr>
              <w:jc w:val="center"/>
              <w:rPr>
                <w:rFonts w:ascii="Arial Narrow" w:hAnsi="Arial Narrow"/>
                <w:color w:val="000000"/>
                <w:sz w:val="18"/>
                <w:szCs w:val="18"/>
              </w:rPr>
            </w:pPr>
          </w:p>
        </w:tc>
        <w:tc>
          <w:tcPr>
            <w:tcW w:w="977" w:type="dxa"/>
            <w:vAlign w:val="center"/>
          </w:tcPr>
          <w:p w14:paraId="04D11C3B" w14:textId="77777777" w:rsidR="00FF1B38" w:rsidRPr="008E4651" w:rsidRDefault="00FF1B38" w:rsidP="001E7922">
            <w:pPr>
              <w:jc w:val="center"/>
              <w:rPr>
                <w:rFonts w:ascii="Arial Narrow" w:hAnsi="Arial Narrow"/>
                <w:color w:val="000000"/>
                <w:sz w:val="18"/>
                <w:szCs w:val="18"/>
              </w:rPr>
            </w:pPr>
          </w:p>
        </w:tc>
        <w:tc>
          <w:tcPr>
            <w:tcW w:w="976" w:type="dxa"/>
            <w:vAlign w:val="center"/>
          </w:tcPr>
          <w:p w14:paraId="6534A5F9" w14:textId="77777777" w:rsidR="00FF1B38" w:rsidRPr="008E4651" w:rsidRDefault="00FF1B38" w:rsidP="001E7922">
            <w:pPr>
              <w:jc w:val="center"/>
              <w:rPr>
                <w:rFonts w:ascii="Arial Narrow" w:hAnsi="Arial Narrow"/>
                <w:color w:val="000000"/>
                <w:sz w:val="18"/>
                <w:szCs w:val="18"/>
              </w:rPr>
            </w:pPr>
          </w:p>
        </w:tc>
      </w:tr>
      <w:tr w:rsidR="00FF1B38" w:rsidRPr="002E2EB3" w14:paraId="3BA6207C" w14:textId="77777777" w:rsidTr="00FF1B38">
        <w:trPr>
          <w:trHeight w:hRule="exact" w:val="227"/>
        </w:trPr>
        <w:tc>
          <w:tcPr>
            <w:tcW w:w="1050" w:type="dxa"/>
            <w:vMerge/>
            <w:textDirection w:val="btLr"/>
            <w:vAlign w:val="center"/>
          </w:tcPr>
          <w:p w14:paraId="61EFB386"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43C70853"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4597408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569355D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0.08</w:t>
            </w:r>
          </w:p>
        </w:tc>
        <w:tc>
          <w:tcPr>
            <w:tcW w:w="976" w:type="dxa"/>
            <w:tcMar>
              <w:left w:w="28" w:type="dxa"/>
              <w:right w:w="28" w:type="dxa"/>
            </w:tcMar>
            <w:vAlign w:val="center"/>
          </w:tcPr>
          <w:p w14:paraId="6D51921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D5E6CE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5.88</w:t>
            </w:r>
          </w:p>
        </w:tc>
        <w:tc>
          <w:tcPr>
            <w:tcW w:w="976" w:type="dxa"/>
            <w:tcMar>
              <w:left w:w="28" w:type="dxa"/>
              <w:right w:w="28" w:type="dxa"/>
            </w:tcMar>
            <w:vAlign w:val="center"/>
          </w:tcPr>
          <w:p w14:paraId="5A8486C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93438D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3749BA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B84BE9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E91A8E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508DF1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0641C8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r>
      <w:tr w:rsidR="00FF1B38" w:rsidRPr="002E2EB3" w14:paraId="400D2EC3" w14:textId="77777777" w:rsidTr="00FF1B38">
        <w:trPr>
          <w:trHeight w:hRule="exact" w:val="227"/>
        </w:trPr>
        <w:tc>
          <w:tcPr>
            <w:tcW w:w="1050" w:type="dxa"/>
            <w:vMerge/>
            <w:textDirection w:val="btLr"/>
            <w:vAlign w:val="center"/>
          </w:tcPr>
          <w:p w14:paraId="6F39018C" w14:textId="77777777" w:rsidR="00FF1B38" w:rsidRPr="002E2EB3" w:rsidRDefault="00FF1B38" w:rsidP="001E7922">
            <w:pPr>
              <w:ind w:left="113" w:right="113"/>
              <w:jc w:val="center"/>
              <w:rPr>
                <w:rFonts w:ascii="Arial Narrow" w:hAnsi="Arial Narrow"/>
                <w:color w:val="000000"/>
                <w:szCs w:val="22"/>
              </w:rPr>
            </w:pPr>
          </w:p>
        </w:tc>
        <w:tc>
          <w:tcPr>
            <w:tcW w:w="1652" w:type="dxa"/>
            <w:tcMar>
              <w:left w:w="28" w:type="dxa"/>
              <w:right w:w="28" w:type="dxa"/>
            </w:tcMar>
            <w:vAlign w:val="center"/>
          </w:tcPr>
          <w:p w14:paraId="78FD4327"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Havannah North</w:t>
            </w:r>
          </w:p>
        </w:tc>
        <w:tc>
          <w:tcPr>
            <w:tcW w:w="450" w:type="dxa"/>
            <w:tcMar>
              <w:left w:w="28" w:type="dxa"/>
              <w:right w:w="28" w:type="dxa"/>
            </w:tcMar>
            <w:vAlign w:val="center"/>
          </w:tcPr>
          <w:p w14:paraId="2706339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33F51A0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0.04</w:t>
            </w:r>
          </w:p>
        </w:tc>
        <w:tc>
          <w:tcPr>
            <w:tcW w:w="976" w:type="dxa"/>
            <w:tcMar>
              <w:left w:w="28" w:type="dxa"/>
              <w:right w:w="28" w:type="dxa"/>
            </w:tcMar>
            <w:vAlign w:val="center"/>
          </w:tcPr>
          <w:p w14:paraId="5CF3EB36"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49355B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1.03</w:t>
            </w:r>
          </w:p>
        </w:tc>
        <w:tc>
          <w:tcPr>
            <w:tcW w:w="976" w:type="dxa"/>
            <w:tcMar>
              <w:left w:w="28" w:type="dxa"/>
              <w:right w:w="28" w:type="dxa"/>
            </w:tcMar>
            <w:vAlign w:val="center"/>
          </w:tcPr>
          <w:p w14:paraId="734BA11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37710E1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736242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315D4E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79612AA"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356CEB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44401F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r>
      <w:tr w:rsidR="00FF1B38" w:rsidRPr="002E2EB3" w14:paraId="143ECF95" w14:textId="77777777" w:rsidTr="00FF1B38">
        <w:trPr>
          <w:trHeight w:hRule="exact" w:val="227"/>
        </w:trPr>
        <w:tc>
          <w:tcPr>
            <w:tcW w:w="1050" w:type="dxa"/>
            <w:vMerge/>
            <w:textDirection w:val="btLr"/>
            <w:vAlign w:val="center"/>
          </w:tcPr>
          <w:p w14:paraId="54C7BF3D"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0E005D2E"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Magnetic</w:t>
            </w:r>
          </w:p>
        </w:tc>
        <w:tc>
          <w:tcPr>
            <w:tcW w:w="450" w:type="dxa"/>
            <w:tcMar>
              <w:left w:w="28" w:type="dxa"/>
              <w:right w:w="28" w:type="dxa"/>
            </w:tcMar>
            <w:vAlign w:val="center"/>
          </w:tcPr>
          <w:p w14:paraId="3F03754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02B69D7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2C3264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39F97E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6" w:type="dxa"/>
            <w:tcMar>
              <w:left w:w="28" w:type="dxa"/>
              <w:right w:w="28" w:type="dxa"/>
            </w:tcMar>
            <w:vAlign w:val="center"/>
          </w:tcPr>
          <w:p w14:paraId="1C9284C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BFCB1A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838ABC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1222BF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6FE3BB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24594C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26A54AB" w14:textId="77777777" w:rsidR="00FF1B38" w:rsidRPr="008E4651" w:rsidRDefault="00FF1B38" w:rsidP="001E7922">
            <w:pPr>
              <w:jc w:val="center"/>
              <w:rPr>
                <w:rFonts w:ascii="Arial Narrow" w:hAnsi="Arial Narrow"/>
                <w:color w:val="000000"/>
                <w:sz w:val="18"/>
                <w:szCs w:val="18"/>
              </w:rPr>
            </w:pPr>
          </w:p>
        </w:tc>
      </w:tr>
      <w:tr w:rsidR="00FF1B38" w:rsidRPr="002E2EB3" w14:paraId="55B14EFA" w14:textId="77777777" w:rsidTr="00FF1B38">
        <w:trPr>
          <w:trHeight w:hRule="exact" w:val="227"/>
        </w:trPr>
        <w:tc>
          <w:tcPr>
            <w:tcW w:w="1050" w:type="dxa"/>
            <w:vMerge/>
            <w:textDirection w:val="btLr"/>
            <w:vAlign w:val="center"/>
          </w:tcPr>
          <w:p w14:paraId="48AE4817"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611086B3"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520C73E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42C6DD2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0.10</w:t>
            </w:r>
          </w:p>
        </w:tc>
        <w:tc>
          <w:tcPr>
            <w:tcW w:w="976" w:type="dxa"/>
            <w:tcMar>
              <w:left w:w="28" w:type="dxa"/>
              <w:right w:w="28" w:type="dxa"/>
            </w:tcMar>
            <w:vAlign w:val="center"/>
          </w:tcPr>
          <w:p w14:paraId="621DF2A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7" w:type="dxa"/>
            <w:tcMar>
              <w:left w:w="28" w:type="dxa"/>
              <w:right w:w="28" w:type="dxa"/>
            </w:tcMar>
            <w:vAlign w:val="center"/>
          </w:tcPr>
          <w:p w14:paraId="31F315A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0.31</w:t>
            </w:r>
          </w:p>
        </w:tc>
        <w:tc>
          <w:tcPr>
            <w:tcW w:w="976" w:type="dxa"/>
            <w:tcMar>
              <w:left w:w="28" w:type="dxa"/>
              <w:right w:w="28" w:type="dxa"/>
            </w:tcMar>
            <w:vAlign w:val="center"/>
          </w:tcPr>
          <w:p w14:paraId="5592CD2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BD6674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B44FB8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071C00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6DFEA7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4732939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6" w:type="dxa"/>
            <w:tcMar>
              <w:left w:w="28" w:type="dxa"/>
              <w:right w:w="28" w:type="dxa"/>
            </w:tcMar>
            <w:vAlign w:val="center"/>
          </w:tcPr>
          <w:p w14:paraId="7A562408" w14:textId="77777777" w:rsidR="00FF1B38" w:rsidRPr="008E4651" w:rsidRDefault="00FF1B38" w:rsidP="001E7922">
            <w:pPr>
              <w:jc w:val="center"/>
              <w:rPr>
                <w:rFonts w:ascii="Arial Narrow" w:hAnsi="Arial Narrow"/>
                <w:color w:val="000000"/>
                <w:sz w:val="18"/>
                <w:szCs w:val="18"/>
              </w:rPr>
            </w:pPr>
          </w:p>
        </w:tc>
      </w:tr>
      <w:tr w:rsidR="00FF1B38" w:rsidRPr="002E2EB3" w14:paraId="6648E8FC" w14:textId="77777777" w:rsidTr="00FF1B38">
        <w:trPr>
          <w:trHeight w:hRule="exact" w:val="227"/>
        </w:trPr>
        <w:tc>
          <w:tcPr>
            <w:tcW w:w="1050" w:type="dxa"/>
            <w:vMerge/>
            <w:textDirection w:val="btLr"/>
            <w:vAlign w:val="center"/>
          </w:tcPr>
          <w:p w14:paraId="0E2FA145" w14:textId="77777777" w:rsidR="00FF1B38" w:rsidRPr="002E2EB3" w:rsidRDefault="00FF1B38" w:rsidP="001E7922">
            <w:pPr>
              <w:ind w:left="113" w:right="113"/>
              <w:jc w:val="center"/>
              <w:rPr>
                <w:rFonts w:ascii="Arial Narrow" w:hAnsi="Arial Narrow"/>
                <w:color w:val="000000"/>
                <w:szCs w:val="22"/>
              </w:rPr>
            </w:pPr>
          </w:p>
        </w:tc>
        <w:tc>
          <w:tcPr>
            <w:tcW w:w="1652" w:type="dxa"/>
            <w:tcMar>
              <w:left w:w="28" w:type="dxa"/>
              <w:right w:w="28" w:type="dxa"/>
            </w:tcMar>
            <w:vAlign w:val="center"/>
          </w:tcPr>
          <w:p w14:paraId="544A7C60"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Middle Rf</w:t>
            </w:r>
          </w:p>
          <w:p w14:paraId="48926470"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3323F64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05ACCB1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0.43</w:t>
            </w:r>
          </w:p>
        </w:tc>
        <w:tc>
          <w:tcPr>
            <w:tcW w:w="976" w:type="dxa"/>
            <w:tcMar>
              <w:left w:w="28" w:type="dxa"/>
              <w:right w:w="28" w:type="dxa"/>
            </w:tcMar>
            <w:vAlign w:val="center"/>
          </w:tcPr>
          <w:p w14:paraId="50F88A3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9DA93A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15E5DC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C418B45"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9888AF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648143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363C421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0BFF562" w14:textId="77777777" w:rsidR="00FF1B38" w:rsidRPr="008E4651" w:rsidRDefault="00FF1B38" w:rsidP="001E7922">
            <w:pPr>
              <w:jc w:val="center"/>
              <w:rPr>
                <w:rFonts w:ascii="Arial Narrow" w:hAnsi="Arial Narrow"/>
                <w:color w:val="000000"/>
                <w:sz w:val="18"/>
                <w:szCs w:val="18"/>
              </w:rPr>
            </w:pPr>
            <w:r>
              <w:rPr>
                <w:rFonts w:ascii="Arial Narrow" w:hAnsi="Arial Narrow"/>
                <w:color w:val="000000"/>
                <w:sz w:val="18"/>
                <w:szCs w:val="18"/>
              </w:rPr>
              <w:t>1.</w:t>
            </w:r>
            <w:r w:rsidRPr="008E4651">
              <w:rPr>
                <w:rFonts w:ascii="Arial Narrow" w:hAnsi="Arial Narrow"/>
                <w:color w:val="000000"/>
                <w:sz w:val="18"/>
                <w:szCs w:val="18"/>
              </w:rPr>
              <w:t>2</w:t>
            </w:r>
            <w:r>
              <w:rPr>
                <w:rFonts w:ascii="Arial Narrow" w:hAnsi="Arial Narrow"/>
                <w:color w:val="000000"/>
                <w:sz w:val="18"/>
                <w:szCs w:val="18"/>
              </w:rPr>
              <w:t>3</w:t>
            </w:r>
          </w:p>
        </w:tc>
        <w:tc>
          <w:tcPr>
            <w:tcW w:w="976" w:type="dxa"/>
            <w:tcMar>
              <w:left w:w="28" w:type="dxa"/>
              <w:right w:w="28" w:type="dxa"/>
            </w:tcMar>
            <w:vAlign w:val="center"/>
          </w:tcPr>
          <w:p w14:paraId="1F35995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0.37</w:t>
            </w:r>
          </w:p>
        </w:tc>
      </w:tr>
      <w:tr w:rsidR="00FF1B38" w:rsidRPr="002E2EB3" w14:paraId="1A55B8E3" w14:textId="77777777" w:rsidTr="00FF1B38">
        <w:trPr>
          <w:trHeight w:hRule="exact" w:val="227"/>
        </w:trPr>
        <w:tc>
          <w:tcPr>
            <w:tcW w:w="1050" w:type="dxa"/>
            <w:vMerge w:val="restart"/>
            <w:textDirection w:val="btLr"/>
            <w:vAlign w:val="center"/>
          </w:tcPr>
          <w:p w14:paraId="161EFCD7" w14:textId="77777777" w:rsidR="00FF1B38" w:rsidRPr="002E2EB3"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Mackay Whitsunday</w:t>
            </w:r>
          </w:p>
        </w:tc>
        <w:tc>
          <w:tcPr>
            <w:tcW w:w="1652" w:type="dxa"/>
            <w:tcMar>
              <w:left w:w="28" w:type="dxa"/>
              <w:right w:w="28" w:type="dxa"/>
            </w:tcMar>
            <w:vAlign w:val="center"/>
          </w:tcPr>
          <w:p w14:paraId="3DD69028"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Hayman</w:t>
            </w:r>
          </w:p>
        </w:tc>
        <w:tc>
          <w:tcPr>
            <w:tcW w:w="450" w:type="dxa"/>
            <w:tcMar>
              <w:left w:w="28" w:type="dxa"/>
              <w:right w:w="28" w:type="dxa"/>
            </w:tcMar>
            <w:vAlign w:val="center"/>
          </w:tcPr>
          <w:p w14:paraId="6B65366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24E41E0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1.16</w:t>
            </w:r>
          </w:p>
        </w:tc>
        <w:tc>
          <w:tcPr>
            <w:tcW w:w="976" w:type="dxa"/>
            <w:tcMar>
              <w:left w:w="28" w:type="dxa"/>
              <w:right w:w="28" w:type="dxa"/>
            </w:tcMar>
            <w:vAlign w:val="center"/>
          </w:tcPr>
          <w:p w14:paraId="5E5FBC1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9BFB33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1.63</w:t>
            </w:r>
          </w:p>
        </w:tc>
        <w:tc>
          <w:tcPr>
            <w:tcW w:w="976" w:type="dxa"/>
            <w:tcMar>
              <w:left w:w="28" w:type="dxa"/>
              <w:right w:w="28" w:type="dxa"/>
            </w:tcMar>
            <w:vAlign w:val="center"/>
          </w:tcPr>
          <w:p w14:paraId="6A4C3926"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93948A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5A55DC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40B61B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7" w:type="dxa"/>
            <w:tcMar>
              <w:left w:w="28" w:type="dxa"/>
              <w:right w:w="28" w:type="dxa"/>
            </w:tcMar>
            <w:vAlign w:val="center"/>
          </w:tcPr>
          <w:p w14:paraId="23B0EC8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56E7CE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AB9F0C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0.07</w:t>
            </w:r>
          </w:p>
        </w:tc>
      </w:tr>
      <w:tr w:rsidR="00FF1B38" w:rsidRPr="002E2EB3" w14:paraId="4C07C9A6" w14:textId="77777777" w:rsidTr="00FF1B38">
        <w:trPr>
          <w:trHeight w:hRule="exact" w:val="227"/>
        </w:trPr>
        <w:tc>
          <w:tcPr>
            <w:tcW w:w="1050" w:type="dxa"/>
            <w:vMerge/>
            <w:textDirection w:val="btLr"/>
            <w:vAlign w:val="center"/>
          </w:tcPr>
          <w:p w14:paraId="65A2ACB6" w14:textId="77777777" w:rsidR="00FF1B38" w:rsidRPr="002E2EB3" w:rsidRDefault="00FF1B38" w:rsidP="001E7922">
            <w:pPr>
              <w:ind w:left="113" w:right="113"/>
              <w:jc w:val="center"/>
              <w:rPr>
                <w:rFonts w:ascii="Arial Narrow" w:hAnsi="Arial Narrow"/>
                <w:color w:val="000000"/>
                <w:szCs w:val="22"/>
              </w:rPr>
            </w:pPr>
          </w:p>
        </w:tc>
        <w:tc>
          <w:tcPr>
            <w:tcW w:w="1652" w:type="dxa"/>
            <w:tcMar>
              <w:left w:w="28" w:type="dxa"/>
              <w:right w:w="28" w:type="dxa"/>
            </w:tcMar>
            <w:vAlign w:val="center"/>
          </w:tcPr>
          <w:p w14:paraId="2CC8B090"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Langford</w:t>
            </w:r>
          </w:p>
          <w:p w14:paraId="2A2A541D"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34E9A12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01D8D72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2.00</w:t>
            </w:r>
          </w:p>
        </w:tc>
        <w:tc>
          <w:tcPr>
            <w:tcW w:w="976" w:type="dxa"/>
            <w:tcMar>
              <w:left w:w="28" w:type="dxa"/>
              <w:right w:w="28" w:type="dxa"/>
            </w:tcMar>
            <w:vAlign w:val="center"/>
          </w:tcPr>
          <w:p w14:paraId="76C28F3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0FC221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0.43</w:t>
            </w:r>
          </w:p>
        </w:tc>
        <w:tc>
          <w:tcPr>
            <w:tcW w:w="976" w:type="dxa"/>
            <w:tcMar>
              <w:left w:w="28" w:type="dxa"/>
              <w:right w:w="28" w:type="dxa"/>
            </w:tcMar>
            <w:vAlign w:val="center"/>
          </w:tcPr>
          <w:p w14:paraId="03B4D4A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B4ECDA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934685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A93C84A"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0.04</w:t>
            </w:r>
          </w:p>
        </w:tc>
        <w:tc>
          <w:tcPr>
            <w:tcW w:w="977" w:type="dxa"/>
            <w:tcMar>
              <w:left w:w="28" w:type="dxa"/>
              <w:right w:w="28" w:type="dxa"/>
            </w:tcMar>
            <w:vAlign w:val="center"/>
          </w:tcPr>
          <w:p w14:paraId="7277B44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0.00</w:t>
            </w:r>
          </w:p>
        </w:tc>
        <w:tc>
          <w:tcPr>
            <w:tcW w:w="977" w:type="dxa"/>
            <w:tcMar>
              <w:left w:w="28" w:type="dxa"/>
              <w:right w:w="28" w:type="dxa"/>
            </w:tcMar>
            <w:vAlign w:val="center"/>
          </w:tcPr>
          <w:p w14:paraId="754C934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5BB430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0.13</w:t>
            </w:r>
          </w:p>
        </w:tc>
      </w:tr>
      <w:tr w:rsidR="00FF1B38" w:rsidRPr="002E2EB3" w14:paraId="4A0C19FA" w14:textId="77777777" w:rsidTr="00FF1B38">
        <w:trPr>
          <w:trHeight w:hRule="exact" w:val="227"/>
        </w:trPr>
        <w:tc>
          <w:tcPr>
            <w:tcW w:w="1050" w:type="dxa"/>
            <w:vMerge/>
            <w:textDirection w:val="btLr"/>
            <w:vAlign w:val="center"/>
          </w:tcPr>
          <w:p w14:paraId="61CFB82C"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78D96C23"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Double Cone</w:t>
            </w:r>
          </w:p>
        </w:tc>
        <w:tc>
          <w:tcPr>
            <w:tcW w:w="450" w:type="dxa"/>
            <w:tcMar>
              <w:left w:w="28" w:type="dxa"/>
              <w:right w:w="28" w:type="dxa"/>
            </w:tcMar>
            <w:vAlign w:val="center"/>
          </w:tcPr>
          <w:p w14:paraId="48167A1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2156BC7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1.16</w:t>
            </w:r>
          </w:p>
        </w:tc>
        <w:tc>
          <w:tcPr>
            <w:tcW w:w="976" w:type="dxa"/>
            <w:tcMar>
              <w:left w:w="28" w:type="dxa"/>
              <w:right w:w="28" w:type="dxa"/>
            </w:tcMar>
            <w:vAlign w:val="center"/>
          </w:tcPr>
          <w:p w14:paraId="1789019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E0EC7F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4.63</w:t>
            </w:r>
          </w:p>
        </w:tc>
        <w:tc>
          <w:tcPr>
            <w:tcW w:w="976" w:type="dxa"/>
            <w:tcMar>
              <w:left w:w="28" w:type="dxa"/>
              <w:right w:w="28" w:type="dxa"/>
            </w:tcMar>
            <w:vAlign w:val="center"/>
          </w:tcPr>
          <w:p w14:paraId="1819F47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6C5749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016B77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28A598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0997A7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AFB183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DDBF32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r>
      <w:tr w:rsidR="00FF1B38" w:rsidRPr="002E2EB3" w14:paraId="561E0EBF" w14:textId="77777777" w:rsidTr="00FF1B38">
        <w:trPr>
          <w:trHeight w:hRule="exact" w:val="227"/>
        </w:trPr>
        <w:tc>
          <w:tcPr>
            <w:tcW w:w="1050" w:type="dxa"/>
            <w:vMerge/>
            <w:textDirection w:val="btLr"/>
            <w:vAlign w:val="center"/>
          </w:tcPr>
          <w:p w14:paraId="4D4D5A7F"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2B958956"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22C281D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1AFC91B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0.21</w:t>
            </w:r>
          </w:p>
        </w:tc>
        <w:tc>
          <w:tcPr>
            <w:tcW w:w="976" w:type="dxa"/>
            <w:tcMar>
              <w:left w:w="28" w:type="dxa"/>
              <w:right w:w="28" w:type="dxa"/>
            </w:tcMar>
            <w:vAlign w:val="center"/>
          </w:tcPr>
          <w:p w14:paraId="666DF2B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23043D6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2.06</w:t>
            </w:r>
          </w:p>
        </w:tc>
        <w:tc>
          <w:tcPr>
            <w:tcW w:w="976" w:type="dxa"/>
            <w:tcMar>
              <w:left w:w="28" w:type="dxa"/>
              <w:right w:w="28" w:type="dxa"/>
            </w:tcMar>
            <w:vAlign w:val="center"/>
          </w:tcPr>
          <w:p w14:paraId="74B46EB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90905B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A2D8BE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05D2D3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519D044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FB9FB7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CF03494" w14:textId="77777777" w:rsidR="00FF1B38" w:rsidRPr="008E4651" w:rsidRDefault="00FF1B38" w:rsidP="001E7922">
            <w:pPr>
              <w:jc w:val="center"/>
              <w:rPr>
                <w:rFonts w:ascii="Arial Narrow" w:hAnsi="Arial Narrow"/>
                <w:color w:val="000000"/>
                <w:sz w:val="18"/>
                <w:szCs w:val="18"/>
              </w:rPr>
            </w:pPr>
          </w:p>
        </w:tc>
      </w:tr>
      <w:tr w:rsidR="00FF1B38" w:rsidRPr="002E2EB3" w14:paraId="0791190D" w14:textId="77777777" w:rsidTr="00FF1B38">
        <w:trPr>
          <w:trHeight w:hRule="exact" w:val="227"/>
        </w:trPr>
        <w:tc>
          <w:tcPr>
            <w:tcW w:w="1050" w:type="dxa"/>
            <w:vMerge/>
            <w:textDirection w:val="btLr"/>
            <w:vAlign w:val="center"/>
          </w:tcPr>
          <w:p w14:paraId="5A288E53"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60E8F74B"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Hook</w:t>
            </w:r>
          </w:p>
        </w:tc>
        <w:tc>
          <w:tcPr>
            <w:tcW w:w="450" w:type="dxa"/>
            <w:tcMar>
              <w:left w:w="28" w:type="dxa"/>
              <w:right w:w="28" w:type="dxa"/>
            </w:tcMar>
            <w:vAlign w:val="center"/>
          </w:tcPr>
          <w:p w14:paraId="6463DCB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6617954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2.51</w:t>
            </w:r>
          </w:p>
        </w:tc>
        <w:tc>
          <w:tcPr>
            <w:tcW w:w="976" w:type="dxa"/>
            <w:tcMar>
              <w:left w:w="28" w:type="dxa"/>
              <w:right w:w="28" w:type="dxa"/>
            </w:tcMar>
            <w:vAlign w:val="center"/>
          </w:tcPr>
          <w:p w14:paraId="31C77A9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CB802D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1.82</w:t>
            </w:r>
          </w:p>
        </w:tc>
        <w:tc>
          <w:tcPr>
            <w:tcW w:w="976" w:type="dxa"/>
            <w:tcMar>
              <w:left w:w="28" w:type="dxa"/>
              <w:right w:w="28" w:type="dxa"/>
            </w:tcMar>
            <w:vAlign w:val="center"/>
          </w:tcPr>
          <w:p w14:paraId="4A51230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5BAB81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7350255"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7A71E4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141EB8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8F664E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F8AB6B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r>
      <w:tr w:rsidR="00FF1B38" w:rsidRPr="002E2EB3" w14:paraId="22270ED0" w14:textId="77777777" w:rsidTr="00FF1B38">
        <w:trPr>
          <w:trHeight w:hRule="exact" w:val="227"/>
        </w:trPr>
        <w:tc>
          <w:tcPr>
            <w:tcW w:w="1050" w:type="dxa"/>
            <w:vMerge/>
            <w:textDirection w:val="btLr"/>
            <w:vAlign w:val="center"/>
          </w:tcPr>
          <w:p w14:paraId="647AB79A"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52E26B68"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533F542A"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3F8CB1D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1.44</w:t>
            </w:r>
          </w:p>
        </w:tc>
        <w:tc>
          <w:tcPr>
            <w:tcW w:w="976" w:type="dxa"/>
            <w:tcMar>
              <w:left w:w="28" w:type="dxa"/>
              <w:right w:w="28" w:type="dxa"/>
            </w:tcMar>
            <w:vAlign w:val="center"/>
          </w:tcPr>
          <w:p w14:paraId="139046A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20F22BB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1.25</w:t>
            </w:r>
          </w:p>
        </w:tc>
        <w:tc>
          <w:tcPr>
            <w:tcW w:w="976" w:type="dxa"/>
            <w:tcMar>
              <w:left w:w="28" w:type="dxa"/>
              <w:right w:w="28" w:type="dxa"/>
            </w:tcMar>
            <w:vAlign w:val="center"/>
          </w:tcPr>
          <w:p w14:paraId="0583B8D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955D94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D7D713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06CADC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5452CB7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7543B7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57B3181" w14:textId="77777777" w:rsidR="00FF1B38" w:rsidRPr="008E4651" w:rsidRDefault="00FF1B38" w:rsidP="001E7922">
            <w:pPr>
              <w:jc w:val="center"/>
              <w:rPr>
                <w:rFonts w:ascii="Arial Narrow" w:hAnsi="Arial Narrow"/>
                <w:color w:val="000000"/>
                <w:sz w:val="18"/>
                <w:szCs w:val="18"/>
              </w:rPr>
            </w:pPr>
          </w:p>
        </w:tc>
      </w:tr>
      <w:tr w:rsidR="00FF1B38" w:rsidRPr="002E2EB3" w14:paraId="4D671BA7" w14:textId="77777777" w:rsidTr="00FF1B38">
        <w:trPr>
          <w:trHeight w:hRule="exact" w:val="227"/>
        </w:trPr>
        <w:tc>
          <w:tcPr>
            <w:tcW w:w="1050" w:type="dxa"/>
            <w:vMerge/>
            <w:textDirection w:val="btLr"/>
            <w:vAlign w:val="center"/>
          </w:tcPr>
          <w:p w14:paraId="4F6FF915" w14:textId="77777777" w:rsidR="00FF1B38" w:rsidRPr="002E2EB3" w:rsidRDefault="00FF1B38" w:rsidP="001E7922">
            <w:pPr>
              <w:ind w:left="113" w:right="113"/>
              <w:jc w:val="center"/>
              <w:rPr>
                <w:rFonts w:ascii="Arial Narrow" w:hAnsi="Arial Narrow"/>
                <w:color w:val="000000"/>
                <w:szCs w:val="22"/>
              </w:rPr>
            </w:pPr>
          </w:p>
        </w:tc>
        <w:tc>
          <w:tcPr>
            <w:tcW w:w="1652" w:type="dxa"/>
            <w:tcMar>
              <w:left w:w="28" w:type="dxa"/>
              <w:right w:w="28" w:type="dxa"/>
            </w:tcMar>
            <w:vAlign w:val="center"/>
          </w:tcPr>
          <w:p w14:paraId="15B38B53"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Border</w:t>
            </w:r>
          </w:p>
        </w:tc>
        <w:tc>
          <w:tcPr>
            <w:tcW w:w="450" w:type="dxa"/>
            <w:tcMar>
              <w:left w:w="28" w:type="dxa"/>
              <w:right w:w="28" w:type="dxa"/>
            </w:tcMar>
            <w:vAlign w:val="center"/>
          </w:tcPr>
          <w:p w14:paraId="23F4A9D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7C23BFB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2.86</w:t>
            </w:r>
          </w:p>
        </w:tc>
        <w:tc>
          <w:tcPr>
            <w:tcW w:w="976" w:type="dxa"/>
            <w:tcMar>
              <w:left w:w="28" w:type="dxa"/>
              <w:right w:w="28" w:type="dxa"/>
            </w:tcMar>
            <w:vAlign w:val="center"/>
          </w:tcPr>
          <w:p w14:paraId="027FCFC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C53444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0.30</w:t>
            </w:r>
          </w:p>
        </w:tc>
        <w:tc>
          <w:tcPr>
            <w:tcW w:w="976" w:type="dxa"/>
            <w:tcMar>
              <w:left w:w="28" w:type="dxa"/>
              <w:right w:w="28" w:type="dxa"/>
            </w:tcMar>
            <w:vAlign w:val="center"/>
          </w:tcPr>
          <w:p w14:paraId="216F7E7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D52580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B08712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DEA49E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6022D1B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32D3C09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090C877" w14:textId="77777777" w:rsidR="00FF1B38" w:rsidRPr="008E4651" w:rsidRDefault="00FF1B38" w:rsidP="001E7922">
            <w:pPr>
              <w:jc w:val="center"/>
              <w:rPr>
                <w:rFonts w:ascii="Arial Narrow" w:hAnsi="Arial Narrow"/>
                <w:color w:val="000000"/>
                <w:sz w:val="18"/>
                <w:szCs w:val="18"/>
              </w:rPr>
            </w:pPr>
          </w:p>
        </w:tc>
      </w:tr>
      <w:tr w:rsidR="00FF1B38" w:rsidRPr="002E2EB3" w14:paraId="5BAA0E5B" w14:textId="77777777" w:rsidTr="00FF1B38">
        <w:trPr>
          <w:trHeight w:hRule="exact" w:val="227"/>
        </w:trPr>
        <w:tc>
          <w:tcPr>
            <w:tcW w:w="1050" w:type="dxa"/>
            <w:vMerge/>
            <w:textDirection w:val="btLr"/>
            <w:vAlign w:val="center"/>
          </w:tcPr>
          <w:p w14:paraId="079CA5C5"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1F903C2D"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Daydream</w:t>
            </w:r>
          </w:p>
        </w:tc>
        <w:tc>
          <w:tcPr>
            <w:tcW w:w="450" w:type="dxa"/>
            <w:tcMar>
              <w:left w:w="28" w:type="dxa"/>
              <w:right w:w="28" w:type="dxa"/>
            </w:tcMar>
            <w:vAlign w:val="center"/>
          </w:tcPr>
          <w:p w14:paraId="7B615A5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60D4C80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1.03</w:t>
            </w:r>
          </w:p>
        </w:tc>
        <w:tc>
          <w:tcPr>
            <w:tcW w:w="976" w:type="dxa"/>
            <w:tcMar>
              <w:left w:w="28" w:type="dxa"/>
              <w:right w:w="28" w:type="dxa"/>
            </w:tcMar>
            <w:vAlign w:val="center"/>
          </w:tcPr>
          <w:p w14:paraId="5E0B76F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8DF85D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6" w:type="dxa"/>
            <w:tcMar>
              <w:left w:w="28" w:type="dxa"/>
              <w:right w:w="28" w:type="dxa"/>
            </w:tcMar>
            <w:vAlign w:val="center"/>
          </w:tcPr>
          <w:p w14:paraId="321E9E7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BB108F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1B233F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C7F653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E5ABF7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A6FA22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7AB8F6D" w14:textId="77777777" w:rsidR="00FF1B38" w:rsidRPr="008E4651" w:rsidRDefault="00FF1B38" w:rsidP="001E7922">
            <w:pPr>
              <w:jc w:val="center"/>
              <w:rPr>
                <w:rFonts w:ascii="Arial Narrow" w:hAnsi="Arial Narrow"/>
                <w:color w:val="000000"/>
                <w:sz w:val="18"/>
                <w:szCs w:val="18"/>
              </w:rPr>
            </w:pPr>
          </w:p>
        </w:tc>
      </w:tr>
      <w:tr w:rsidR="00FF1B38" w:rsidRPr="002E2EB3" w14:paraId="1AF7A5A1" w14:textId="77777777" w:rsidTr="00FF1B38">
        <w:trPr>
          <w:trHeight w:hRule="exact" w:val="210"/>
        </w:trPr>
        <w:tc>
          <w:tcPr>
            <w:tcW w:w="1050" w:type="dxa"/>
            <w:vMerge/>
            <w:textDirection w:val="btLr"/>
            <w:vAlign w:val="center"/>
          </w:tcPr>
          <w:p w14:paraId="25F59705"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59AF6C1D"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39D3717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7FB4053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0.40</w:t>
            </w:r>
          </w:p>
        </w:tc>
        <w:tc>
          <w:tcPr>
            <w:tcW w:w="976" w:type="dxa"/>
            <w:tcMar>
              <w:left w:w="28" w:type="dxa"/>
              <w:right w:w="28" w:type="dxa"/>
            </w:tcMar>
            <w:vAlign w:val="center"/>
          </w:tcPr>
          <w:p w14:paraId="383A0BC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5E23BF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32248F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5552ED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FF2366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A1F1BB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677EC3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1ADC9A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31D028C" w14:textId="77777777" w:rsidR="00FF1B38" w:rsidRPr="008E4651" w:rsidRDefault="00FF1B38" w:rsidP="001E7922">
            <w:pPr>
              <w:jc w:val="center"/>
              <w:rPr>
                <w:rFonts w:ascii="Arial Narrow" w:hAnsi="Arial Narrow"/>
                <w:color w:val="000000"/>
                <w:sz w:val="18"/>
                <w:szCs w:val="18"/>
              </w:rPr>
            </w:pPr>
          </w:p>
        </w:tc>
      </w:tr>
      <w:tr w:rsidR="00FF1B38" w:rsidRPr="002E2EB3" w14:paraId="5116ACB6" w14:textId="77777777" w:rsidTr="00FF1B38">
        <w:trPr>
          <w:trHeight w:hRule="exact" w:val="227"/>
        </w:trPr>
        <w:tc>
          <w:tcPr>
            <w:tcW w:w="1050" w:type="dxa"/>
            <w:vMerge/>
            <w:textDirection w:val="btLr"/>
            <w:vAlign w:val="center"/>
          </w:tcPr>
          <w:p w14:paraId="2999D321"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0D4550F7"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Shute Harbour</w:t>
            </w:r>
          </w:p>
        </w:tc>
        <w:tc>
          <w:tcPr>
            <w:tcW w:w="450" w:type="dxa"/>
            <w:tcMar>
              <w:left w:w="28" w:type="dxa"/>
              <w:right w:w="28" w:type="dxa"/>
            </w:tcMar>
            <w:vAlign w:val="center"/>
          </w:tcPr>
          <w:p w14:paraId="373FBB2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22FB42C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1.93</w:t>
            </w:r>
          </w:p>
        </w:tc>
        <w:tc>
          <w:tcPr>
            <w:tcW w:w="976" w:type="dxa"/>
            <w:tcMar>
              <w:left w:w="28" w:type="dxa"/>
              <w:right w:w="28" w:type="dxa"/>
            </w:tcMar>
            <w:vAlign w:val="center"/>
          </w:tcPr>
          <w:p w14:paraId="1C3C7E1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57BE16FD"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0.13</w:t>
            </w:r>
          </w:p>
        </w:tc>
        <w:tc>
          <w:tcPr>
            <w:tcW w:w="976" w:type="dxa"/>
            <w:tcMar>
              <w:left w:w="28" w:type="dxa"/>
              <w:right w:w="28" w:type="dxa"/>
            </w:tcMar>
            <w:vAlign w:val="center"/>
          </w:tcPr>
          <w:p w14:paraId="3284D18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C68392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564B38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3491F2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573C3F4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0.05</w:t>
            </w:r>
          </w:p>
        </w:tc>
        <w:tc>
          <w:tcPr>
            <w:tcW w:w="977" w:type="dxa"/>
            <w:tcMar>
              <w:left w:w="28" w:type="dxa"/>
              <w:right w:w="28" w:type="dxa"/>
            </w:tcMar>
            <w:vAlign w:val="center"/>
          </w:tcPr>
          <w:p w14:paraId="3D55792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3161455" w14:textId="77777777" w:rsidR="00FF1B38" w:rsidRPr="008E4651" w:rsidRDefault="00FF1B38" w:rsidP="001E7922">
            <w:pPr>
              <w:jc w:val="center"/>
              <w:rPr>
                <w:rFonts w:ascii="Arial Narrow" w:hAnsi="Arial Narrow"/>
                <w:color w:val="000000"/>
                <w:sz w:val="18"/>
                <w:szCs w:val="18"/>
              </w:rPr>
            </w:pPr>
          </w:p>
        </w:tc>
      </w:tr>
      <w:tr w:rsidR="00FF1B38" w:rsidRPr="002E2EB3" w14:paraId="2CFE25F2" w14:textId="77777777" w:rsidTr="00FF1B38">
        <w:trPr>
          <w:trHeight w:hRule="exact" w:val="227"/>
        </w:trPr>
        <w:tc>
          <w:tcPr>
            <w:tcW w:w="1050" w:type="dxa"/>
            <w:vMerge/>
            <w:textDirection w:val="btLr"/>
            <w:vAlign w:val="center"/>
          </w:tcPr>
          <w:p w14:paraId="6DECA5EB"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2AA6267A"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431EE4C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133B3A3A"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1.18</w:t>
            </w:r>
          </w:p>
        </w:tc>
        <w:tc>
          <w:tcPr>
            <w:tcW w:w="976" w:type="dxa"/>
            <w:tcMar>
              <w:left w:w="28" w:type="dxa"/>
              <w:right w:w="28" w:type="dxa"/>
            </w:tcMar>
            <w:vAlign w:val="center"/>
          </w:tcPr>
          <w:p w14:paraId="623582A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39E35595"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156FF1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184AD2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9F4B4C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BC7DB7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3D3AF4F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19D3888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328BD97" w14:textId="77777777" w:rsidR="00FF1B38" w:rsidRPr="008E4651" w:rsidRDefault="00FF1B38" w:rsidP="001E7922">
            <w:pPr>
              <w:jc w:val="center"/>
              <w:rPr>
                <w:rFonts w:ascii="Arial Narrow" w:hAnsi="Arial Narrow"/>
                <w:color w:val="000000"/>
                <w:sz w:val="18"/>
                <w:szCs w:val="18"/>
              </w:rPr>
            </w:pPr>
          </w:p>
        </w:tc>
      </w:tr>
      <w:tr w:rsidR="00FF1B38" w:rsidRPr="002E2EB3" w14:paraId="7DCB1F90" w14:textId="77777777" w:rsidTr="00FF1B38">
        <w:trPr>
          <w:trHeight w:hRule="exact" w:val="227"/>
        </w:trPr>
        <w:tc>
          <w:tcPr>
            <w:tcW w:w="1050" w:type="dxa"/>
            <w:vMerge/>
            <w:textDirection w:val="btLr"/>
            <w:vAlign w:val="center"/>
          </w:tcPr>
          <w:p w14:paraId="2D027175"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51C7665A"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Dent</w:t>
            </w:r>
          </w:p>
        </w:tc>
        <w:tc>
          <w:tcPr>
            <w:tcW w:w="450" w:type="dxa"/>
            <w:tcMar>
              <w:left w:w="28" w:type="dxa"/>
              <w:right w:w="28" w:type="dxa"/>
            </w:tcMar>
            <w:vAlign w:val="center"/>
          </w:tcPr>
          <w:p w14:paraId="69AE642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62454E1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0.67</w:t>
            </w:r>
          </w:p>
        </w:tc>
        <w:tc>
          <w:tcPr>
            <w:tcW w:w="976" w:type="dxa"/>
            <w:tcMar>
              <w:left w:w="28" w:type="dxa"/>
              <w:right w:w="28" w:type="dxa"/>
            </w:tcMar>
            <w:vAlign w:val="center"/>
          </w:tcPr>
          <w:p w14:paraId="17D18FFD"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D8DA94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2.82</w:t>
            </w:r>
          </w:p>
        </w:tc>
        <w:tc>
          <w:tcPr>
            <w:tcW w:w="976" w:type="dxa"/>
            <w:tcMar>
              <w:left w:w="28" w:type="dxa"/>
              <w:right w:w="28" w:type="dxa"/>
            </w:tcMar>
            <w:vAlign w:val="center"/>
          </w:tcPr>
          <w:p w14:paraId="1EA34CB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9C2554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F4F68D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476530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A5C199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A4EC53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AEFD500" w14:textId="77777777" w:rsidR="00FF1B38" w:rsidRPr="008E4651" w:rsidRDefault="00FF1B38" w:rsidP="001E7922">
            <w:pPr>
              <w:jc w:val="center"/>
              <w:rPr>
                <w:rFonts w:ascii="Arial Narrow" w:hAnsi="Arial Narrow"/>
                <w:color w:val="000000"/>
                <w:sz w:val="18"/>
                <w:szCs w:val="18"/>
              </w:rPr>
            </w:pPr>
          </w:p>
        </w:tc>
      </w:tr>
      <w:tr w:rsidR="00FF1B38" w:rsidRPr="002E2EB3" w14:paraId="546269B8" w14:textId="77777777" w:rsidTr="00FF1B38">
        <w:trPr>
          <w:trHeight w:hRule="exact" w:val="227"/>
        </w:trPr>
        <w:tc>
          <w:tcPr>
            <w:tcW w:w="1050" w:type="dxa"/>
            <w:vMerge/>
            <w:textDirection w:val="btLr"/>
            <w:vAlign w:val="center"/>
          </w:tcPr>
          <w:p w14:paraId="7486CAD9"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7220EAA1" w14:textId="77777777" w:rsidR="00FF1B38" w:rsidRPr="002E2EB3" w:rsidRDefault="00FF1B38" w:rsidP="001E7922">
            <w:pPr>
              <w:jc w:val="center"/>
              <w:rPr>
                <w:rFonts w:ascii="Arial Narrow" w:hAnsi="Arial Narrow"/>
                <w:b/>
                <w:color w:val="000000"/>
                <w:sz w:val="18"/>
                <w:szCs w:val="18"/>
              </w:rPr>
            </w:pPr>
          </w:p>
        </w:tc>
        <w:tc>
          <w:tcPr>
            <w:tcW w:w="450" w:type="dxa"/>
            <w:tcMar>
              <w:left w:w="28" w:type="dxa"/>
              <w:right w:w="28" w:type="dxa"/>
            </w:tcMar>
            <w:vAlign w:val="center"/>
          </w:tcPr>
          <w:p w14:paraId="73D60FC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762952A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0.24</w:t>
            </w:r>
          </w:p>
        </w:tc>
        <w:tc>
          <w:tcPr>
            <w:tcW w:w="976" w:type="dxa"/>
            <w:tcMar>
              <w:left w:w="28" w:type="dxa"/>
              <w:right w:w="28" w:type="dxa"/>
            </w:tcMar>
            <w:vAlign w:val="center"/>
          </w:tcPr>
          <w:p w14:paraId="2A541A5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78387C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0.25</w:t>
            </w:r>
          </w:p>
        </w:tc>
        <w:tc>
          <w:tcPr>
            <w:tcW w:w="976" w:type="dxa"/>
            <w:tcMar>
              <w:left w:w="28" w:type="dxa"/>
              <w:right w:w="28" w:type="dxa"/>
            </w:tcMar>
            <w:vAlign w:val="center"/>
          </w:tcPr>
          <w:p w14:paraId="0BFD712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4EBC40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3CD3ED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3F01A8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0D36091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D0716E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406CFE5" w14:textId="77777777" w:rsidR="00FF1B38" w:rsidRPr="008E4651" w:rsidRDefault="00FF1B38" w:rsidP="001E7922">
            <w:pPr>
              <w:jc w:val="center"/>
              <w:rPr>
                <w:rFonts w:ascii="Arial Narrow" w:hAnsi="Arial Narrow"/>
                <w:color w:val="000000"/>
                <w:sz w:val="18"/>
                <w:szCs w:val="18"/>
              </w:rPr>
            </w:pPr>
          </w:p>
        </w:tc>
      </w:tr>
      <w:tr w:rsidR="00FF1B38" w:rsidRPr="002E2EB3" w14:paraId="215D413D" w14:textId="77777777" w:rsidTr="00FF1B38">
        <w:trPr>
          <w:trHeight w:hRule="exact" w:val="227"/>
        </w:trPr>
        <w:tc>
          <w:tcPr>
            <w:tcW w:w="1050" w:type="dxa"/>
            <w:vMerge/>
            <w:textDirection w:val="btLr"/>
            <w:vAlign w:val="center"/>
          </w:tcPr>
          <w:p w14:paraId="5E7E9667"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395CD019"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Pine</w:t>
            </w:r>
          </w:p>
        </w:tc>
        <w:tc>
          <w:tcPr>
            <w:tcW w:w="450" w:type="dxa"/>
            <w:tcMar>
              <w:left w:w="28" w:type="dxa"/>
              <w:right w:w="28" w:type="dxa"/>
            </w:tcMar>
            <w:vAlign w:val="center"/>
          </w:tcPr>
          <w:p w14:paraId="38A8316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277B88C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0.13</w:t>
            </w:r>
          </w:p>
        </w:tc>
        <w:tc>
          <w:tcPr>
            <w:tcW w:w="976" w:type="dxa"/>
            <w:tcMar>
              <w:left w:w="28" w:type="dxa"/>
              <w:right w:w="28" w:type="dxa"/>
            </w:tcMar>
            <w:vAlign w:val="center"/>
          </w:tcPr>
          <w:p w14:paraId="493BA7D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0A1CF2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0.94</w:t>
            </w:r>
          </w:p>
        </w:tc>
        <w:tc>
          <w:tcPr>
            <w:tcW w:w="976" w:type="dxa"/>
            <w:tcMar>
              <w:left w:w="28" w:type="dxa"/>
              <w:right w:w="28" w:type="dxa"/>
            </w:tcMar>
            <w:vAlign w:val="center"/>
          </w:tcPr>
          <w:p w14:paraId="2A93BC1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0A2AFE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C4398B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847B11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1611B9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56D3D9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AE07E62" w14:textId="77777777" w:rsidR="00FF1B38" w:rsidRPr="008E4651" w:rsidRDefault="00FF1B38" w:rsidP="001E7922">
            <w:pPr>
              <w:jc w:val="center"/>
              <w:rPr>
                <w:rFonts w:ascii="Arial Narrow" w:hAnsi="Arial Narrow"/>
                <w:color w:val="000000"/>
                <w:sz w:val="18"/>
                <w:szCs w:val="18"/>
              </w:rPr>
            </w:pPr>
          </w:p>
        </w:tc>
      </w:tr>
      <w:tr w:rsidR="00FF1B38" w:rsidRPr="002E2EB3" w14:paraId="5EAA3040" w14:textId="77777777" w:rsidTr="00FF1B38">
        <w:trPr>
          <w:trHeight w:hRule="exact" w:val="227"/>
        </w:trPr>
        <w:tc>
          <w:tcPr>
            <w:tcW w:w="1050" w:type="dxa"/>
            <w:vMerge/>
            <w:textDirection w:val="btLr"/>
            <w:vAlign w:val="center"/>
          </w:tcPr>
          <w:p w14:paraId="119C8E44"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3E0A76A8"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3276EE7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17A7002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0.31</w:t>
            </w:r>
          </w:p>
        </w:tc>
        <w:tc>
          <w:tcPr>
            <w:tcW w:w="976" w:type="dxa"/>
            <w:tcMar>
              <w:left w:w="28" w:type="dxa"/>
              <w:right w:w="28" w:type="dxa"/>
            </w:tcMar>
            <w:vAlign w:val="center"/>
          </w:tcPr>
          <w:p w14:paraId="7CBCD4F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34305E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0.50</w:t>
            </w:r>
          </w:p>
        </w:tc>
        <w:tc>
          <w:tcPr>
            <w:tcW w:w="976" w:type="dxa"/>
            <w:tcMar>
              <w:left w:w="28" w:type="dxa"/>
              <w:right w:w="28" w:type="dxa"/>
            </w:tcMar>
            <w:vAlign w:val="center"/>
          </w:tcPr>
          <w:p w14:paraId="6D4690F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7350F8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9A285B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AF1849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E797CE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5B8E1FE" w14:textId="77777777" w:rsidR="00FF1B38" w:rsidRPr="008E4651" w:rsidRDefault="00FF1B38" w:rsidP="001E7922">
            <w:pPr>
              <w:jc w:val="center"/>
              <w:rPr>
                <w:rFonts w:ascii="Arial Narrow" w:hAnsi="Arial Narrow"/>
                <w:color w:val="000000"/>
                <w:sz w:val="18"/>
                <w:szCs w:val="18"/>
              </w:rPr>
            </w:pPr>
            <w:r>
              <w:rPr>
                <w:rFonts w:ascii="Arial Narrow" w:hAnsi="Arial Narrow"/>
                <w:color w:val="000000"/>
                <w:sz w:val="18"/>
                <w:szCs w:val="18"/>
              </w:rPr>
              <w:t>0.06</w:t>
            </w:r>
          </w:p>
        </w:tc>
        <w:tc>
          <w:tcPr>
            <w:tcW w:w="976" w:type="dxa"/>
            <w:tcMar>
              <w:left w:w="28" w:type="dxa"/>
              <w:right w:w="28" w:type="dxa"/>
            </w:tcMar>
            <w:vAlign w:val="center"/>
          </w:tcPr>
          <w:p w14:paraId="20C2725D" w14:textId="77777777" w:rsidR="00FF1B38" w:rsidRPr="008E4651" w:rsidRDefault="00FF1B38" w:rsidP="001E7922">
            <w:pPr>
              <w:jc w:val="center"/>
              <w:rPr>
                <w:rFonts w:ascii="Arial Narrow" w:hAnsi="Arial Narrow"/>
                <w:color w:val="000000"/>
                <w:sz w:val="18"/>
                <w:szCs w:val="18"/>
              </w:rPr>
            </w:pPr>
          </w:p>
        </w:tc>
      </w:tr>
      <w:tr w:rsidR="00FF1B38" w:rsidRPr="002E2EB3" w14:paraId="5623BC25" w14:textId="77777777" w:rsidTr="00FF1B38">
        <w:trPr>
          <w:trHeight w:hRule="exact" w:val="227"/>
        </w:trPr>
        <w:tc>
          <w:tcPr>
            <w:tcW w:w="1050" w:type="dxa"/>
            <w:vMerge/>
            <w:textDirection w:val="btLr"/>
            <w:vAlign w:val="center"/>
          </w:tcPr>
          <w:p w14:paraId="4209F89E" w14:textId="77777777" w:rsidR="00FF1B38" w:rsidRPr="002E2EB3" w:rsidRDefault="00FF1B38" w:rsidP="001E7922">
            <w:pPr>
              <w:ind w:left="113" w:right="113"/>
              <w:jc w:val="center"/>
              <w:rPr>
                <w:rFonts w:ascii="Arial Narrow" w:hAnsi="Arial Narrow"/>
                <w:color w:val="000000"/>
                <w:szCs w:val="22"/>
              </w:rPr>
            </w:pPr>
          </w:p>
        </w:tc>
        <w:tc>
          <w:tcPr>
            <w:tcW w:w="1652" w:type="dxa"/>
            <w:vMerge w:val="restart"/>
            <w:tcMar>
              <w:left w:w="28" w:type="dxa"/>
              <w:right w:w="28" w:type="dxa"/>
            </w:tcMar>
            <w:vAlign w:val="center"/>
          </w:tcPr>
          <w:p w14:paraId="1393986C" w14:textId="77777777" w:rsidR="00FF1B38" w:rsidRPr="002E2EB3" w:rsidRDefault="00FF1B38" w:rsidP="001E7922">
            <w:pPr>
              <w:jc w:val="center"/>
              <w:rPr>
                <w:rFonts w:ascii="Arial Narrow" w:hAnsi="Arial Narrow"/>
                <w:color w:val="000000"/>
                <w:sz w:val="18"/>
                <w:szCs w:val="18"/>
              </w:rPr>
            </w:pPr>
            <w:r w:rsidRPr="002E2EB3">
              <w:rPr>
                <w:rFonts w:ascii="Arial Narrow" w:hAnsi="Arial Narrow"/>
                <w:color w:val="000000"/>
                <w:sz w:val="18"/>
                <w:szCs w:val="18"/>
              </w:rPr>
              <w:t>Seaforth</w:t>
            </w:r>
          </w:p>
        </w:tc>
        <w:tc>
          <w:tcPr>
            <w:tcW w:w="450" w:type="dxa"/>
            <w:tcMar>
              <w:left w:w="28" w:type="dxa"/>
              <w:right w:w="28" w:type="dxa"/>
            </w:tcMar>
            <w:vAlign w:val="center"/>
          </w:tcPr>
          <w:p w14:paraId="204B249A"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7DC7F8B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0.68</w:t>
            </w:r>
          </w:p>
        </w:tc>
        <w:tc>
          <w:tcPr>
            <w:tcW w:w="976" w:type="dxa"/>
            <w:tcMar>
              <w:left w:w="28" w:type="dxa"/>
              <w:right w:w="28" w:type="dxa"/>
            </w:tcMar>
            <w:vAlign w:val="center"/>
          </w:tcPr>
          <w:p w14:paraId="7B9D7D5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7" w:type="dxa"/>
            <w:tcMar>
              <w:left w:w="28" w:type="dxa"/>
              <w:right w:w="28" w:type="dxa"/>
            </w:tcMar>
            <w:vAlign w:val="center"/>
          </w:tcPr>
          <w:p w14:paraId="63DE4BF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1.25</w:t>
            </w:r>
          </w:p>
        </w:tc>
        <w:tc>
          <w:tcPr>
            <w:tcW w:w="976" w:type="dxa"/>
            <w:tcMar>
              <w:left w:w="28" w:type="dxa"/>
              <w:right w:w="28" w:type="dxa"/>
            </w:tcMar>
            <w:vAlign w:val="center"/>
          </w:tcPr>
          <w:p w14:paraId="621643E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B3920E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9B0528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C59D9C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E03B87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FC8E16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87D333E" w14:textId="77777777" w:rsidR="00FF1B38" w:rsidRPr="008E4651" w:rsidRDefault="00FF1B38" w:rsidP="001E7922">
            <w:pPr>
              <w:jc w:val="center"/>
              <w:rPr>
                <w:rFonts w:ascii="Arial Narrow" w:hAnsi="Arial Narrow"/>
                <w:color w:val="000000"/>
                <w:sz w:val="18"/>
                <w:szCs w:val="18"/>
              </w:rPr>
            </w:pPr>
          </w:p>
        </w:tc>
      </w:tr>
      <w:tr w:rsidR="00FF1B38" w:rsidRPr="002E2EB3" w14:paraId="08E3D6C5" w14:textId="77777777" w:rsidTr="00FF1B38">
        <w:trPr>
          <w:trHeight w:hRule="exact" w:val="227"/>
        </w:trPr>
        <w:tc>
          <w:tcPr>
            <w:tcW w:w="1050" w:type="dxa"/>
            <w:vMerge/>
            <w:textDirection w:val="btLr"/>
            <w:vAlign w:val="center"/>
          </w:tcPr>
          <w:p w14:paraId="33F5C37D" w14:textId="77777777" w:rsidR="00FF1B38" w:rsidRPr="002E2EB3" w:rsidRDefault="00FF1B38" w:rsidP="001E7922">
            <w:pPr>
              <w:ind w:left="113" w:right="113"/>
              <w:jc w:val="center"/>
              <w:rPr>
                <w:rFonts w:ascii="Arial Narrow" w:hAnsi="Arial Narrow"/>
                <w:color w:val="000000"/>
                <w:szCs w:val="22"/>
              </w:rPr>
            </w:pPr>
          </w:p>
        </w:tc>
        <w:tc>
          <w:tcPr>
            <w:tcW w:w="1652" w:type="dxa"/>
            <w:vMerge/>
            <w:tcMar>
              <w:left w:w="28" w:type="dxa"/>
              <w:right w:w="28" w:type="dxa"/>
            </w:tcMar>
            <w:vAlign w:val="center"/>
          </w:tcPr>
          <w:p w14:paraId="76596966"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5F2D69D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6C42134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0.09</w:t>
            </w:r>
          </w:p>
        </w:tc>
        <w:tc>
          <w:tcPr>
            <w:tcW w:w="976" w:type="dxa"/>
            <w:tcMar>
              <w:left w:w="28" w:type="dxa"/>
              <w:right w:w="28" w:type="dxa"/>
            </w:tcMar>
            <w:vAlign w:val="center"/>
          </w:tcPr>
          <w:p w14:paraId="3DEA712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1.34</w:t>
            </w:r>
          </w:p>
        </w:tc>
        <w:tc>
          <w:tcPr>
            <w:tcW w:w="977" w:type="dxa"/>
            <w:tcMar>
              <w:left w:w="28" w:type="dxa"/>
              <w:right w:w="28" w:type="dxa"/>
            </w:tcMar>
            <w:vAlign w:val="center"/>
          </w:tcPr>
          <w:p w14:paraId="66037713"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0.19</w:t>
            </w:r>
          </w:p>
        </w:tc>
        <w:tc>
          <w:tcPr>
            <w:tcW w:w="976" w:type="dxa"/>
            <w:tcMar>
              <w:left w:w="28" w:type="dxa"/>
              <w:right w:w="28" w:type="dxa"/>
            </w:tcMar>
            <w:vAlign w:val="center"/>
          </w:tcPr>
          <w:p w14:paraId="2DFBFD8D"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73AE86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9F2C3F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1556B19"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64FA5BAC"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39BBB2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8680064" w14:textId="77777777" w:rsidR="00FF1B38" w:rsidRPr="008E4651" w:rsidRDefault="00FF1B38" w:rsidP="001E7922">
            <w:pPr>
              <w:jc w:val="center"/>
              <w:rPr>
                <w:rFonts w:ascii="Arial Narrow" w:hAnsi="Arial Narrow"/>
                <w:color w:val="000000"/>
                <w:sz w:val="18"/>
                <w:szCs w:val="18"/>
              </w:rPr>
            </w:pPr>
          </w:p>
        </w:tc>
      </w:tr>
    </w:tbl>
    <w:p w14:paraId="27B30043" w14:textId="77777777" w:rsidR="001E7922" w:rsidRPr="002E2EB3" w:rsidRDefault="001E7922" w:rsidP="001E7922">
      <w:pPr>
        <w:rPr>
          <w:rFonts w:ascii="Arial Narrow" w:hAnsi="Arial Narrow"/>
          <w:sz w:val="20"/>
        </w:rPr>
      </w:pPr>
      <w:r w:rsidRPr="002E2EB3">
        <w:rPr>
          <w:rFonts w:ascii="Arial Narrow" w:hAnsi="Arial Narrow"/>
          <w:sz w:val="20"/>
        </w:rPr>
        <w:t xml:space="preserve">Table </w:t>
      </w:r>
      <w:proofErr w:type="gramStart"/>
      <w:r w:rsidRPr="002E2EB3">
        <w:rPr>
          <w:rFonts w:ascii="Arial Narrow" w:hAnsi="Arial Narrow"/>
          <w:sz w:val="20"/>
        </w:rPr>
        <w:t>A</w:t>
      </w:r>
      <w:proofErr w:type="gramEnd"/>
      <w:r w:rsidR="0096504D">
        <w:rPr>
          <w:rFonts w:ascii="Arial Narrow" w:hAnsi="Arial Narrow"/>
          <w:sz w:val="20"/>
        </w:rPr>
        <w:t xml:space="preserve"> </w:t>
      </w:r>
      <w:r w:rsidR="001249B7">
        <w:rPr>
          <w:rFonts w:ascii="Arial Narrow" w:hAnsi="Arial Narrow"/>
          <w:sz w:val="20"/>
        </w:rPr>
        <w:t>6</w:t>
      </w:r>
      <w:r w:rsidR="0033244F">
        <w:rPr>
          <w:rFonts w:ascii="Arial Narrow" w:hAnsi="Arial Narrow"/>
          <w:sz w:val="20"/>
        </w:rPr>
        <w:t xml:space="preserve"> continued</w:t>
      </w:r>
    </w:p>
    <w:tbl>
      <w:tblPr>
        <w:tblW w:w="1291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Caption w:val="  Table A1-6 cont."/>
        <w:tblDescription w:val="  Table A1-6 cont."/>
      </w:tblPr>
      <w:tblGrid>
        <w:gridCol w:w="1050"/>
        <w:gridCol w:w="1652"/>
        <w:gridCol w:w="450"/>
        <w:gridCol w:w="976"/>
        <w:gridCol w:w="976"/>
        <w:gridCol w:w="977"/>
        <w:gridCol w:w="976"/>
        <w:gridCol w:w="977"/>
        <w:gridCol w:w="976"/>
        <w:gridCol w:w="976"/>
        <w:gridCol w:w="977"/>
        <w:gridCol w:w="977"/>
        <w:gridCol w:w="976"/>
      </w:tblGrid>
      <w:tr w:rsidR="00FF1B38" w:rsidRPr="002E2EB3" w14:paraId="6FAF6123" w14:textId="77777777" w:rsidTr="00FF1B38">
        <w:trPr>
          <w:cantSplit/>
          <w:trHeight w:hRule="exact" w:val="1467"/>
          <w:tblHeader/>
        </w:trPr>
        <w:tc>
          <w:tcPr>
            <w:tcW w:w="1050" w:type="dxa"/>
            <w:shd w:val="clear" w:color="auto" w:fill="F2F2F2" w:themeFill="background1" w:themeFillShade="F2"/>
            <w:textDirection w:val="btLr"/>
            <w:vAlign w:val="center"/>
          </w:tcPr>
          <w:p w14:paraId="191DC2C3" w14:textId="77777777" w:rsidR="00FF1B38" w:rsidRPr="002E2EB3" w:rsidRDefault="00FF1B38" w:rsidP="001E7922">
            <w:pPr>
              <w:ind w:left="113" w:right="113"/>
              <w:jc w:val="center"/>
              <w:rPr>
                <w:rFonts w:ascii="Arial Narrow" w:hAnsi="Arial Narrow"/>
                <w:color w:val="000000"/>
                <w:sz w:val="24"/>
                <w:szCs w:val="24"/>
              </w:rPr>
            </w:pPr>
            <w:r w:rsidRPr="002E2EB3">
              <w:rPr>
                <w:rFonts w:ascii="Arial Narrow" w:hAnsi="Arial Narrow"/>
                <w:color w:val="000000"/>
                <w:sz w:val="24"/>
                <w:szCs w:val="24"/>
              </w:rPr>
              <w:lastRenderedPageBreak/>
              <w:t>Sub/Region</w:t>
            </w:r>
          </w:p>
        </w:tc>
        <w:tc>
          <w:tcPr>
            <w:tcW w:w="1652" w:type="dxa"/>
            <w:shd w:val="clear" w:color="auto" w:fill="F2F2F2" w:themeFill="background1" w:themeFillShade="F2"/>
            <w:tcMar>
              <w:left w:w="28" w:type="dxa"/>
              <w:right w:w="28" w:type="dxa"/>
            </w:tcMar>
            <w:vAlign w:val="center"/>
          </w:tcPr>
          <w:p w14:paraId="25C58410" w14:textId="77777777" w:rsidR="00FF1B38" w:rsidRPr="002E2EB3" w:rsidRDefault="00FF1B38" w:rsidP="001E7922">
            <w:pPr>
              <w:jc w:val="center"/>
              <w:rPr>
                <w:rFonts w:ascii="Arial Narrow" w:hAnsi="Arial Narrow"/>
                <w:color w:val="000000"/>
                <w:sz w:val="18"/>
                <w:szCs w:val="18"/>
              </w:rPr>
            </w:pPr>
          </w:p>
          <w:p w14:paraId="25682FC2" w14:textId="77777777" w:rsidR="00FF1B38" w:rsidRPr="002E2EB3" w:rsidRDefault="00FF1B38" w:rsidP="001E7922">
            <w:pPr>
              <w:jc w:val="center"/>
              <w:rPr>
                <w:rFonts w:ascii="Arial Narrow" w:hAnsi="Arial Narrow"/>
                <w:color w:val="000000"/>
                <w:sz w:val="24"/>
                <w:szCs w:val="24"/>
              </w:rPr>
            </w:pPr>
            <w:r w:rsidRPr="002E2EB3">
              <w:rPr>
                <w:rFonts w:ascii="Arial Narrow" w:hAnsi="Arial Narrow"/>
                <w:color w:val="000000"/>
                <w:sz w:val="24"/>
                <w:szCs w:val="24"/>
              </w:rPr>
              <w:t>Reef</w:t>
            </w:r>
          </w:p>
        </w:tc>
        <w:tc>
          <w:tcPr>
            <w:tcW w:w="450" w:type="dxa"/>
            <w:shd w:val="clear" w:color="auto" w:fill="F2F2F2" w:themeFill="background1" w:themeFillShade="F2"/>
            <w:tcMar>
              <w:left w:w="28" w:type="dxa"/>
              <w:right w:w="28" w:type="dxa"/>
            </w:tcMar>
            <w:textDirection w:val="btLr"/>
            <w:vAlign w:val="center"/>
          </w:tcPr>
          <w:p w14:paraId="28FCE611" w14:textId="77777777" w:rsidR="00FF1B38" w:rsidRPr="002E2EB3"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Depth</w:t>
            </w:r>
          </w:p>
        </w:tc>
        <w:tc>
          <w:tcPr>
            <w:tcW w:w="976" w:type="dxa"/>
            <w:shd w:val="clear" w:color="auto" w:fill="F2F2F2" w:themeFill="background1" w:themeFillShade="F2"/>
            <w:tcMar>
              <w:left w:w="28" w:type="dxa"/>
              <w:right w:w="28" w:type="dxa"/>
            </w:tcMar>
            <w:textDirection w:val="btLr"/>
            <w:vAlign w:val="bottom"/>
          </w:tcPr>
          <w:p w14:paraId="0912E3AF"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Alcyoniidae</w:t>
            </w:r>
          </w:p>
        </w:tc>
        <w:tc>
          <w:tcPr>
            <w:tcW w:w="976" w:type="dxa"/>
            <w:shd w:val="clear" w:color="auto" w:fill="F2F2F2" w:themeFill="background1" w:themeFillShade="F2"/>
            <w:tcMar>
              <w:left w:w="28" w:type="dxa"/>
              <w:right w:w="28" w:type="dxa"/>
            </w:tcMar>
            <w:textDirection w:val="btLr"/>
            <w:vAlign w:val="bottom"/>
          </w:tcPr>
          <w:p w14:paraId="34B56B52"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Anthothelidae</w:t>
            </w:r>
          </w:p>
        </w:tc>
        <w:tc>
          <w:tcPr>
            <w:tcW w:w="977" w:type="dxa"/>
            <w:shd w:val="clear" w:color="auto" w:fill="F2F2F2" w:themeFill="background1" w:themeFillShade="F2"/>
            <w:tcMar>
              <w:left w:w="28" w:type="dxa"/>
              <w:right w:w="28" w:type="dxa"/>
            </w:tcMar>
            <w:textDirection w:val="btLr"/>
            <w:vAlign w:val="bottom"/>
          </w:tcPr>
          <w:p w14:paraId="2EE2EBDA"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Briareidae</w:t>
            </w:r>
          </w:p>
        </w:tc>
        <w:tc>
          <w:tcPr>
            <w:tcW w:w="976" w:type="dxa"/>
            <w:shd w:val="clear" w:color="auto" w:fill="F2F2F2" w:themeFill="background1" w:themeFillShade="F2"/>
            <w:tcMar>
              <w:left w:w="28" w:type="dxa"/>
              <w:right w:w="28" w:type="dxa"/>
            </w:tcMar>
            <w:textDirection w:val="btLr"/>
            <w:vAlign w:val="bottom"/>
          </w:tcPr>
          <w:p w14:paraId="527ED379"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Clavulariinae</w:t>
            </w:r>
          </w:p>
        </w:tc>
        <w:tc>
          <w:tcPr>
            <w:tcW w:w="977" w:type="dxa"/>
            <w:shd w:val="clear" w:color="auto" w:fill="F2F2F2" w:themeFill="background1" w:themeFillShade="F2"/>
            <w:tcMar>
              <w:left w:w="28" w:type="dxa"/>
              <w:right w:w="28" w:type="dxa"/>
            </w:tcMar>
            <w:textDirection w:val="btLr"/>
            <w:vAlign w:val="bottom"/>
          </w:tcPr>
          <w:p w14:paraId="6683BB85"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Helioporidae</w:t>
            </w:r>
          </w:p>
        </w:tc>
        <w:tc>
          <w:tcPr>
            <w:tcW w:w="976" w:type="dxa"/>
            <w:shd w:val="clear" w:color="auto" w:fill="F2F2F2" w:themeFill="background1" w:themeFillShade="F2"/>
            <w:tcMar>
              <w:left w:w="28" w:type="dxa"/>
              <w:right w:w="28" w:type="dxa"/>
            </w:tcMar>
            <w:textDirection w:val="btLr"/>
            <w:vAlign w:val="bottom"/>
          </w:tcPr>
          <w:p w14:paraId="66BDD31A"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Isidae</w:t>
            </w:r>
          </w:p>
        </w:tc>
        <w:tc>
          <w:tcPr>
            <w:tcW w:w="976" w:type="dxa"/>
            <w:shd w:val="clear" w:color="auto" w:fill="F2F2F2" w:themeFill="background1" w:themeFillShade="F2"/>
            <w:tcMar>
              <w:left w:w="28" w:type="dxa"/>
              <w:right w:w="28" w:type="dxa"/>
            </w:tcMar>
            <w:textDirection w:val="btLr"/>
            <w:vAlign w:val="bottom"/>
          </w:tcPr>
          <w:p w14:paraId="1B587AF8"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Nephtheidae</w:t>
            </w:r>
          </w:p>
        </w:tc>
        <w:tc>
          <w:tcPr>
            <w:tcW w:w="977" w:type="dxa"/>
            <w:shd w:val="clear" w:color="auto" w:fill="F2F2F2" w:themeFill="background1" w:themeFillShade="F2"/>
            <w:tcMar>
              <w:left w:w="28" w:type="dxa"/>
              <w:right w:w="28" w:type="dxa"/>
            </w:tcMar>
            <w:textDirection w:val="btLr"/>
            <w:vAlign w:val="bottom"/>
          </w:tcPr>
          <w:p w14:paraId="2C722C80"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Xeniidae</w:t>
            </w:r>
          </w:p>
        </w:tc>
        <w:tc>
          <w:tcPr>
            <w:tcW w:w="977" w:type="dxa"/>
            <w:shd w:val="clear" w:color="auto" w:fill="F2F2F2" w:themeFill="background1" w:themeFillShade="F2"/>
            <w:tcMar>
              <w:left w:w="28" w:type="dxa"/>
              <w:right w:w="28" w:type="dxa"/>
            </w:tcMar>
            <w:textDirection w:val="btLr"/>
            <w:vAlign w:val="bottom"/>
          </w:tcPr>
          <w:p w14:paraId="3321EB04"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Gorgoniidae like</w:t>
            </w:r>
          </w:p>
        </w:tc>
        <w:tc>
          <w:tcPr>
            <w:tcW w:w="976" w:type="dxa"/>
            <w:shd w:val="clear" w:color="auto" w:fill="F2F2F2" w:themeFill="background1" w:themeFillShade="F2"/>
            <w:tcMar>
              <w:left w:w="28" w:type="dxa"/>
              <w:right w:w="28" w:type="dxa"/>
            </w:tcMar>
            <w:textDirection w:val="btLr"/>
            <w:vAlign w:val="bottom"/>
          </w:tcPr>
          <w:p w14:paraId="3741BAFE" w14:textId="77777777" w:rsidR="00FF1B38" w:rsidRPr="002E2EB3" w:rsidRDefault="00FF1B38" w:rsidP="001E7922">
            <w:pPr>
              <w:ind w:left="113" w:right="113"/>
              <w:rPr>
                <w:rFonts w:ascii="Arial Narrow" w:hAnsi="Arial Narrow"/>
                <w:color w:val="000000"/>
                <w:sz w:val="20"/>
              </w:rPr>
            </w:pPr>
            <w:r w:rsidRPr="002E2EB3">
              <w:rPr>
                <w:rFonts w:ascii="Arial Narrow" w:hAnsi="Arial Narrow"/>
                <w:color w:val="000000"/>
                <w:sz w:val="20"/>
              </w:rPr>
              <w:t>Other</w:t>
            </w:r>
          </w:p>
        </w:tc>
      </w:tr>
      <w:tr w:rsidR="00FF1B38" w:rsidRPr="002E2EB3" w14:paraId="41C2C35C" w14:textId="77777777" w:rsidTr="00FF1B38">
        <w:trPr>
          <w:trHeight w:hRule="exact" w:val="227"/>
        </w:trPr>
        <w:tc>
          <w:tcPr>
            <w:tcW w:w="1050" w:type="dxa"/>
            <w:vMerge w:val="restart"/>
            <w:textDirection w:val="btLr"/>
            <w:vAlign w:val="center"/>
          </w:tcPr>
          <w:p w14:paraId="362E64C4" w14:textId="77777777" w:rsidR="00FF1B38" w:rsidRPr="002E2EB3" w:rsidRDefault="00FF1B38" w:rsidP="001E7922">
            <w:pPr>
              <w:ind w:left="113" w:right="113"/>
              <w:jc w:val="center"/>
              <w:rPr>
                <w:rFonts w:ascii="Arial Narrow" w:hAnsi="Arial Narrow"/>
                <w:color w:val="000000"/>
                <w:szCs w:val="22"/>
              </w:rPr>
            </w:pPr>
            <w:r w:rsidRPr="002E2EB3">
              <w:rPr>
                <w:rFonts w:ascii="Arial Narrow" w:hAnsi="Arial Narrow"/>
                <w:color w:val="000000"/>
                <w:szCs w:val="22"/>
              </w:rPr>
              <w:t>Fitzroy</w:t>
            </w:r>
          </w:p>
        </w:tc>
        <w:tc>
          <w:tcPr>
            <w:tcW w:w="1652" w:type="dxa"/>
            <w:vMerge w:val="restart"/>
            <w:tcMar>
              <w:left w:w="28" w:type="dxa"/>
              <w:right w:w="28" w:type="dxa"/>
            </w:tcMar>
            <w:vAlign w:val="center"/>
          </w:tcPr>
          <w:p w14:paraId="2CDC8028"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North Keppel</w:t>
            </w:r>
          </w:p>
        </w:tc>
        <w:tc>
          <w:tcPr>
            <w:tcW w:w="450" w:type="dxa"/>
            <w:tcMar>
              <w:left w:w="28" w:type="dxa"/>
              <w:right w:w="28" w:type="dxa"/>
            </w:tcMar>
            <w:vAlign w:val="center"/>
          </w:tcPr>
          <w:p w14:paraId="222D46EA"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3E064451" w14:textId="77777777" w:rsidR="00FF1B38" w:rsidRPr="002E2EB3" w:rsidRDefault="00FF1B38" w:rsidP="001E7922">
            <w:pPr>
              <w:jc w:val="center"/>
              <w:rPr>
                <w:rFonts w:ascii="Arial Narrow" w:hAnsi="Arial Narrow"/>
                <w:color w:val="000000"/>
                <w:sz w:val="20"/>
              </w:rPr>
            </w:pPr>
          </w:p>
        </w:tc>
        <w:tc>
          <w:tcPr>
            <w:tcW w:w="976" w:type="dxa"/>
            <w:tcMar>
              <w:left w:w="28" w:type="dxa"/>
              <w:right w:w="28" w:type="dxa"/>
            </w:tcMar>
            <w:vAlign w:val="center"/>
          </w:tcPr>
          <w:p w14:paraId="1177B1F1" w14:textId="77777777" w:rsidR="00FF1B38" w:rsidRPr="002E2EB3" w:rsidRDefault="00FF1B38" w:rsidP="001E7922">
            <w:pPr>
              <w:jc w:val="center"/>
              <w:rPr>
                <w:rFonts w:ascii="Arial Narrow" w:hAnsi="Arial Narrow"/>
                <w:color w:val="000000"/>
                <w:sz w:val="20"/>
              </w:rPr>
            </w:pPr>
          </w:p>
        </w:tc>
        <w:tc>
          <w:tcPr>
            <w:tcW w:w="977" w:type="dxa"/>
            <w:tcMar>
              <w:left w:w="28" w:type="dxa"/>
              <w:right w:w="28" w:type="dxa"/>
            </w:tcMar>
            <w:vAlign w:val="center"/>
          </w:tcPr>
          <w:p w14:paraId="37F22E36" w14:textId="77777777" w:rsidR="00FF1B38" w:rsidRPr="002E2EB3" w:rsidRDefault="00FF1B38" w:rsidP="001E7922">
            <w:pPr>
              <w:jc w:val="center"/>
              <w:rPr>
                <w:rFonts w:ascii="Arial Narrow" w:hAnsi="Arial Narrow"/>
                <w:color w:val="000000"/>
                <w:sz w:val="20"/>
              </w:rPr>
            </w:pPr>
          </w:p>
        </w:tc>
        <w:tc>
          <w:tcPr>
            <w:tcW w:w="976" w:type="dxa"/>
            <w:tcMar>
              <w:left w:w="28" w:type="dxa"/>
              <w:right w:w="28" w:type="dxa"/>
            </w:tcMar>
            <w:vAlign w:val="center"/>
          </w:tcPr>
          <w:p w14:paraId="60E3A847" w14:textId="77777777" w:rsidR="00FF1B38" w:rsidRPr="002E2EB3" w:rsidRDefault="00FF1B38" w:rsidP="001E7922">
            <w:pPr>
              <w:jc w:val="center"/>
              <w:rPr>
                <w:rFonts w:ascii="Arial Narrow" w:hAnsi="Arial Narrow"/>
                <w:color w:val="000000"/>
                <w:sz w:val="20"/>
              </w:rPr>
            </w:pPr>
          </w:p>
        </w:tc>
        <w:tc>
          <w:tcPr>
            <w:tcW w:w="977" w:type="dxa"/>
            <w:tcMar>
              <w:left w:w="28" w:type="dxa"/>
              <w:right w:w="28" w:type="dxa"/>
            </w:tcMar>
            <w:vAlign w:val="center"/>
          </w:tcPr>
          <w:p w14:paraId="18BBA3C2" w14:textId="77777777" w:rsidR="00FF1B38" w:rsidRPr="002E2EB3" w:rsidRDefault="00FF1B38" w:rsidP="001E7922">
            <w:pPr>
              <w:jc w:val="center"/>
              <w:rPr>
                <w:rFonts w:ascii="Arial Narrow" w:hAnsi="Arial Narrow"/>
                <w:color w:val="000000"/>
                <w:sz w:val="20"/>
              </w:rPr>
            </w:pPr>
          </w:p>
        </w:tc>
        <w:tc>
          <w:tcPr>
            <w:tcW w:w="976" w:type="dxa"/>
            <w:tcMar>
              <w:left w:w="28" w:type="dxa"/>
              <w:right w:w="28" w:type="dxa"/>
            </w:tcMar>
            <w:vAlign w:val="center"/>
          </w:tcPr>
          <w:p w14:paraId="7185F588" w14:textId="77777777" w:rsidR="00FF1B38" w:rsidRPr="002E2EB3" w:rsidRDefault="00FF1B38" w:rsidP="001E7922">
            <w:pPr>
              <w:jc w:val="center"/>
              <w:rPr>
                <w:rFonts w:ascii="Arial Narrow" w:hAnsi="Arial Narrow"/>
                <w:color w:val="000000"/>
                <w:sz w:val="20"/>
              </w:rPr>
            </w:pPr>
          </w:p>
        </w:tc>
        <w:tc>
          <w:tcPr>
            <w:tcW w:w="976" w:type="dxa"/>
            <w:tcMar>
              <w:left w:w="28" w:type="dxa"/>
              <w:right w:w="28" w:type="dxa"/>
            </w:tcMar>
            <w:vAlign w:val="center"/>
          </w:tcPr>
          <w:p w14:paraId="3B295B1E" w14:textId="77777777" w:rsidR="00FF1B38" w:rsidRPr="002E2EB3" w:rsidRDefault="00FF1B38" w:rsidP="001E7922">
            <w:pPr>
              <w:jc w:val="center"/>
              <w:rPr>
                <w:rFonts w:ascii="Arial Narrow" w:hAnsi="Arial Narrow"/>
                <w:color w:val="000000"/>
                <w:sz w:val="20"/>
              </w:rPr>
            </w:pPr>
          </w:p>
        </w:tc>
        <w:tc>
          <w:tcPr>
            <w:tcW w:w="977" w:type="dxa"/>
            <w:tcMar>
              <w:left w:w="28" w:type="dxa"/>
              <w:right w:w="28" w:type="dxa"/>
            </w:tcMar>
            <w:vAlign w:val="center"/>
          </w:tcPr>
          <w:p w14:paraId="3C99595A" w14:textId="77777777" w:rsidR="00FF1B38" w:rsidRPr="002E2EB3" w:rsidRDefault="00FF1B38" w:rsidP="001E7922">
            <w:pPr>
              <w:jc w:val="center"/>
              <w:rPr>
                <w:rFonts w:ascii="Arial Narrow" w:hAnsi="Arial Narrow"/>
                <w:color w:val="000000"/>
                <w:sz w:val="20"/>
              </w:rPr>
            </w:pPr>
          </w:p>
        </w:tc>
        <w:tc>
          <w:tcPr>
            <w:tcW w:w="977" w:type="dxa"/>
            <w:tcMar>
              <w:left w:w="28" w:type="dxa"/>
              <w:right w:w="28" w:type="dxa"/>
            </w:tcMar>
            <w:vAlign w:val="center"/>
          </w:tcPr>
          <w:p w14:paraId="6205A829" w14:textId="77777777" w:rsidR="00FF1B38" w:rsidRPr="002E2EB3" w:rsidRDefault="00FF1B38" w:rsidP="001E7922">
            <w:pPr>
              <w:jc w:val="center"/>
              <w:rPr>
                <w:rFonts w:ascii="Arial Narrow" w:hAnsi="Arial Narrow"/>
                <w:color w:val="000000"/>
                <w:sz w:val="20"/>
              </w:rPr>
            </w:pPr>
          </w:p>
        </w:tc>
        <w:tc>
          <w:tcPr>
            <w:tcW w:w="976" w:type="dxa"/>
            <w:tcMar>
              <w:left w:w="28" w:type="dxa"/>
              <w:right w:w="28" w:type="dxa"/>
            </w:tcMar>
            <w:vAlign w:val="center"/>
          </w:tcPr>
          <w:p w14:paraId="0E111E44" w14:textId="77777777" w:rsidR="00FF1B38" w:rsidRPr="002E2EB3" w:rsidRDefault="00FF1B38" w:rsidP="001E7922">
            <w:pPr>
              <w:jc w:val="center"/>
              <w:rPr>
                <w:rFonts w:ascii="Arial Narrow" w:hAnsi="Arial Narrow"/>
                <w:color w:val="000000"/>
                <w:sz w:val="20"/>
              </w:rPr>
            </w:pPr>
          </w:p>
        </w:tc>
      </w:tr>
      <w:tr w:rsidR="00FF1B38" w:rsidRPr="002E2EB3" w14:paraId="463B8B8F" w14:textId="77777777" w:rsidTr="00FF1B38">
        <w:trPr>
          <w:trHeight w:hRule="exact" w:val="227"/>
        </w:trPr>
        <w:tc>
          <w:tcPr>
            <w:tcW w:w="1050" w:type="dxa"/>
            <w:vMerge/>
          </w:tcPr>
          <w:p w14:paraId="67CD8426" w14:textId="77777777" w:rsidR="00FF1B38" w:rsidRPr="002E2EB3" w:rsidRDefault="00FF1B38" w:rsidP="001E7922">
            <w:pPr>
              <w:rPr>
                <w:rFonts w:ascii="Calibri" w:hAnsi="Calibri"/>
                <w:color w:val="000000"/>
                <w:szCs w:val="22"/>
              </w:rPr>
            </w:pPr>
          </w:p>
        </w:tc>
        <w:tc>
          <w:tcPr>
            <w:tcW w:w="1652" w:type="dxa"/>
            <w:vMerge/>
            <w:tcMar>
              <w:left w:w="28" w:type="dxa"/>
              <w:right w:w="28" w:type="dxa"/>
            </w:tcMar>
            <w:vAlign w:val="center"/>
          </w:tcPr>
          <w:p w14:paraId="52539CF1"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6CB89C0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014751A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6" w:type="dxa"/>
            <w:tcMar>
              <w:left w:w="28" w:type="dxa"/>
              <w:right w:w="28" w:type="dxa"/>
            </w:tcMar>
            <w:vAlign w:val="center"/>
          </w:tcPr>
          <w:p w14:paraId="2815211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DA3D8A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1BC88A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8D447F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2D89C0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AE68A3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951395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C12BFB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652816A" w14:textId="77777777" w:rsidR="00FF1B38" w:rsidRPr="008E4651" w:rsidRDefault="00FF1B38" w:rsidP="001E7922">
            <w:pPr>
              <w:jc w:val="center"/>
              <w:rPr>
                <w:rFonts w:ascii="Arial Narrow" w:hAnsi="Arial Narrow"/>
                <w:color w:val="000000"/>
                <w:sz w:val="18"/>
                <w:szCs w:val="18"/>
              </w:rPr>
            </w:pPr>
          </w:p>
        </w:tc>
      </w:tr>
      <w:tr w:rsidR="00FF1B38" w:rsidRPr="002E2EB3" w14:paraId="1E5C557B" w14:textId="77777777" w:rsidTr="00FF1B38">
        <w:trPr>
          <w:trHeight w:hRule="exact" w:val="227"/>
        </w:trPr>
        <w:tc>
          <w:tcPr>
            <w:tcW w:w="1050" w:type="dxa"/>
            <w:vMerge/>
          </w:tcPr>
          <w:p w14:paraId="7565D4CC" w14:textId="77777777" w:rsidR="00FF1B38" w:rsidRPr="002E2EB3" w:rsidRDefault="00FF1B38" w:rsidP="001E7922">
            <w:pPr>
              <w:rPr>
                <w:rFonts w:ascii="Calibri" w:hAnsi="Calibri"/>
                <w:color w:val="000000"/>
                <w:szCs w:val="22"/>
              </w:rPr>
            </w:pPr>
          </w:p>
        </w:tc>
        <w:tc>
          <w:tcPr>
            <w:tcW w:w="1652" w:type="dxa"/>
            <w:vMerge w:val="restart"/>
            <w:tcMar>
              <w:left w:w="28" w:type="dxa"/>
              <w:right w:w="28" w:type="dxa"/>
            </w:tcMar>
            <w:vAlign w:val="center"/>
          </w:tcPr>
          <w:p w14:paraId="5EA18CDF"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Barren</w:t>
            </w:r>
          </w:p>
        </w:tc>
        <w:tc>
          <w:tcPr>
            <w:tcW w:w="450" w:type="dxa"/>
            <w:tcMar>
              <w:left w:w="28" w:type="dxa"/>
              <w:right w:w="28" w:type="dxa"/>
            </w:tcMar>
            <w:vAlign w:val="center"/>
          </w:tcPr>
          <w:p w14:paraId="76A61D1A"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5DB76355"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6" w:type="dxa"/>
            <w:tcMar>
              <w:left w:w="28" w:type="dxa"/>
              <w:right w:w="28" w:type="dxa"/>
            </w:tcMar>
            <w:vAlign w:val="center"/>
          </w:tcPr>
          <w:p w14:paraId="5F6A9B8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7DC85B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202C63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F7B658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BF1D5D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7A4762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B54F40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521BBA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A28E815" w14:textId="77777777" w:rsidR="00FF1B38" w:rsidRPr="008E4651" w:rsidRDefault="00FF1B38" w:rsidP="001E7922">
            <w:pPr>
              <w:jc w:val="center"/>
              <w:rPr>
                <w:rFonts w:ascii="Arial Narrow" w:hAnsi="Arial Narrow"/>
                <w:color w:val="000000"/>
                <w:sz w:val="18"/>
                <w:szCs w:val="18"/>
              </w:rPr>
            </w:pPr>
          </w:p>
        </w:tc>
      </w:tr>
      <w:tr w:rsidR="00FF1B38" w:rsidRPr="002E2EB3" w14:paraId="68A64CA4" w14:textId="77777777" w:rsidTr="00FF1B38">
        <w:trPr>
          <w:trHeight w:hRule="exact" w:val="227"/>
        </w:trPr>
        <w:tc>
          <w:tcPr>
            <w:tcW w:w="1050" w:type="dxa"/>
            <w:vMerge/>
          </w:tcPr>
          <w:p w14:paraId="57482015" w14:textId="77777777" w:rsidR="00FF1B38" w:rsidRPr="002E2EB3" w:rsidRDefault="00FF1B38" w:rsidP="001E7922">
            <w:pPr>
              <w:rPr>
                <w:rFonts w:ascii="Calibri" w:hAnsi="Calibri"/>
                <w:color w:val="000000"/>
                <w:szCs w:val="22"/>
              </w:rPr>
            </w:pPr>
          </w:p>
        </w:tc>
        <w:tc>
          <w:tcPr>
            <w:tcW w:w="1652" w:type="dxa"/>
            <w:vMerge/>
            <w:tcMar>
              <w:left w:w="28" w:type="dxa"/>
              <w:right w:w="28" w:type="dxa"/>
            </w:tcMar>
            <w:vAlign w:val="center"/>
          </w:tcPr>
          <w:p w14:paraId="05039BA7"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7676F6D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4CE941A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B891EC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66D9F97"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69036A6"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58D737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E9485E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2E20D0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51A367B"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0.45</w:t>
            </w:r>
          </w:p>
        </w:tc>
        <w:tc>
          <w:tcPr>
            <w:tcW w:w="977" w:type="dxa"/>
            <w:tcMar>
              <w:left w:w="28" w:type="dxa"/>
              <w:right w:w="28" w:type="dxa"/>
            </w:tcMar>
            <w:vAlign w:val="center"/>
          </w:tcPr>
          <w:p w14:paraId="19A8F955"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271F3E5" w14:textId="77777777" w:rsidR="00FF1B38" w:rsidRPr="008E4651" w:rsidRDefault="00FF1B38" w:rsidP="001E7922">
            <w:pPr>
              <w:jc w:val="center"/>
              <w:rPr>
                <w:rFonts w:ascii="Arial Narrow" w:hAnsi="Arial Narrow"/>
                <w:color w:val="000000"/>
                <w:sz w:val="18"/>
                <w:szCs w:val="18"/>
              </w:rPr>
            </w:pPr>
          </w:p>
        </w:tc>
      </w:tr>
      <w:tr w:rsidR="00FF1B38" w:rsidRPr="002E2EB3" w14:paraId="52C52839" w14:textId="77777777" w:rsidTr="00FF1B38">
        <w:trPr>
          <w:trHeight w:hRule="exact" w:val="227"/>
        </w:trPr>
        <w:tc>
          <w:tcPr>
            <w:tcW w:w="1050" w:type="dxa"/>
            <w:vMerge/>
          </w:tcPr>
          <w:p w14:paraId="4ED70F1D" w14:textId="77777777" w:rsidR="00FF1B38" w:rsidRPr="002E2EB3" w:rsidRDefault="00FF1B38" w:rsidP="001E7922">
            <w:pPr>
              <w:rPr>
                <w:rFonts w:ascii="Calibri" w:hAnsi="Calibri"/>
                <w:color w:val="000000"/>
                <w:szCs w:val="22"/>
              </w:rPr>
            </w:pPr>
          </w:p>
        </w:tc>
        <w:tc>
          <w:tcPr>
            <w:tcW w:w="1652" w:type="dxa"/>
            <w:vMerge w:val="restart"/>
            <w:tcMar>
              <w:left w:w="28" w:type="dxa"/>
              <w:right w:w="28" w:type="dxa"/>
            </w:tcMar>
            <w:vAlign w:val="center"/>
          </w:tcPr>
          <w:p w14:paraId="2B6BACB8"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Middle</w:t>
            </w:r>
          </w:p>
        </w:tc>
        <w:tc>
          <w:tcPr>
            <w:tcW w:w="450" w:type="dxa"/>
            <w:tcMar>
              <w:left w:w="28" w:type="dxa"/>
              <w:right w:w="28" w:type="dxa"/>
            </w:tcMar>
            <w:vAlign w:val="center"/>
          </w:tcPr>
          <w:p w14:paraId="5CCDD8D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6005CE8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59D12A5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852643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BDC2BB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885BDC1"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DCD90B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236BDFE"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9235B3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C6F31B0"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0D1FC34" w14:textId="77777777" w:rsidR="00FF1B38" w:rsidRPr="008E4651" w:rsidRDefault="00FF1B38" w:rsidP="001E7922">
            <w:pPr>
              <w:jc w:val="center"/>
              <w:rPr>
                <w:rFonts w:ascii="Arial Narrow" w:hAnsi="Arial Narrow"/>
                <w:color w:val="000000"/>
                <w:sz w:val="18"/>
                <w:szCs w:val="18"/>
              </w:rPr>
            </w:pPr>
          </w:p>
        </w:tc>
      </w:tr>
      <w:tr w:rsidR="00FF1B38" w:rsidRPr="002E2EB3" w14:paraId="48151142" w14:textId="77777777" w:rsidTr="00FF1B38">
        <w:trPr>
          <w:trHeight w:hRule="exact" w:val="227"/>
        </w:trPr>
        <w:tc>
          <w:tcPr>
            <w:tcW w:w="1050" w:type="dxa"/>
            <w:vMerge/>
          </w:tcPr>
          <w:p w14:paraId="70A5063E" w14:textId="77777777" w:rsidR="00FF1B38" w:rsidRPr="002E2EB3" w:rsidRDefault="00FF1B38" w:rsidP="001E7922">
            <w:pPr>
              <w:rPr>
                <w:rFonts w:ascii="Calibri" w:hAnsi="Calibri"/>
                <w:color w:val="000000"/>
                <w:szCs w:val="22"/>
              </w:rPr>
            </w:pPr>
          </w:p>
        </w:tc>
        <w:tc>
          <w:tcPr>
            <w:tcW w:w="1652" w:type="dxa"/>
            <w:vMerge/>
            <w:tcMar>
              <w:left w:w="28" w:type="dxa"/>
              <w:right w:w="28" w:type="dxa"/>
            </w:tcMar>
            <w:vAlign w:val="center"/>
          </w:tcPr>
          <w:p w14:paraId="05ED7C2D"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02C1835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54D98FC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0.04</w:t>
            </w:r>
          </w:p>
        </w:tc>
        <w:tc>
          <w:tcPr>
            <w:tcW w:w="976" w:type="dxa"/>
            <w:tcMar>
              <w:left w:w="28" w:type="dxa"/>
              <w:right w:w="28" w:type="dxa"/>
            </w:tcMar>
            <w:vAlign w:val="center"/>
          </w:tcPr>
          <w:p w14:paraId="396CBA7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B39CEB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3BCA69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74EB8D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2167B8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38DDF4F"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4BC977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20A974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B5B493B" w14:textId="77777777" w:rsidR="00FF1B38" w:rsidRPr="008E4651" w:rsidRDefault="00FF1B38" w:rsidP="001E7922">
            <w:pPr>
              <w:jc w:val="center"/>
              <w:rPr>
                <w:rFonts w:ascii="Arial Narrow" w:hAnsi="Arial Narrow"/>
                <w:color w:val="000000"/>
                <w:sz w:val="18"/>
                <w:szCs w:val="18"/>
              </w:rPr>
            </w:pPr>
          </w:p>
        </w:tc>
      </w:tr>
      <w:tr w:rsidR="00FF1B38" w:rsidRPr="002E2EB3" w14:paraId="0C8A361B" w14:textId="77777777" w:rsidTr="00FF1B38">
        <w:trPr>
          <w:trHeight w:hRule="exact" w:val="227"/>
        </w:trPr>
        <w:tc>
          <w:tcPr>
            <w:tcW w:w="1050" w:type="dxa"/>
            <w:vMerge/>
          </w:tcPr>
          <w:p w14:paraId="6B43ECFC" w14:textId="77777777" w:rsidR="00FF1B38" w:rsidRPr="002E2EB3" w:rsidRDefault="00FF1B38" w:rsidP="001E7922">
            <w:pPr>
              <w:rPr>
                <w:rFonts w:ascii="Calibri" w:hAnsi="Calibri"/>
                <w:color w:val="000000"/>
                <w:szCs w:val="22"/>
              </w:rPr>
            </w:pPr>
          </w:p>
        </w:tc>
        <w:tc>
          <w:tcPr>
            <w:tcW w:w="1652" w:type="dxa"/>
            <w:vMerge w:val="restart"/>
            <w:tcMar>
              <w:left w:w="28" w:type="dxa"/>
              <w:right w:w="28" w:type="dxa"/>
            </w:tcMar>
            <w:vAlign w:val="center"/>
          </w:tcPr>
          <w:p w14:paraId="27E781D9"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Keppels South</w:t>
            </w:r>
          </w:p>
        </w:tc>
        <w:tc>
          <w:tcPr>
            <w:tcW w:w="450" w:type="dxa"/>
            <w:tcMar>
              <w:left w:w="28" w:type="dxa"/>
              <w:right w:w="28" w:type="dxa"/>
            </w:tcMar>
            <w:vAlign w:val="center"/>
          </w:tcPr>
          <w:p w14:paraId="776D36D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33DF0F6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6" w:type="dxa"/>
            <w:tcMar>
              <w:left w:w="28" w:type="dxa"/>
              <w:right w:w="28" w:type="dxa"/>
            </w:tcMar>
            <w:vAlign w:val="center"/>
          </w:tcPr>
          <w:p w14:paraId="0F5FEA12"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DA378B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35B364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D3E69B5"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E6A20C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877DB23"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91EC920"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1D168A66"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4C82042" w14:textId="77777777" w:rsidR="00FF1B38" w:rsidRPr="008E4651" w:rsidRDefault="00FF1B38" w:rsidP="001E7922">
            <w:pPr>
              <w:jc w:val="center"/>
              <w:rPr>
                <w:rFonts w:ascii="Arial Narrow" w:hAnsi="Arial Narrow"/>
                <w:color w:val="000000"/>
                <w:sz w:val="18"/>
                <w:szCs w:val="18"/>
              </w:rPr>
            </w:pPr>
          </w:p>
        </w:tc>
      </w:tr>
      <w:tr w:rsidR="00FF1B38" w:rsidRPr="002E2EB3" w14:paraId="3BCE9C28" w14:textId="77777777" w:rsidTr="00FF1B38">
        <w:trPr>
          <w:trHeight w:hRule="exact" w:val="227"/>
        </w:trPr>
        <w:tc>
          <w:tcPr>
            <w:tcW w:w="1050" w:type="dxa"/>
            <w:vMerge/>
          </w:tcPr>
          <w:p w14:paraId="2D4A7124" w14:textId="77777777" w:rsidR="00FF1B38" w:rsidRPr="002E2EB3" w:rsidRDefault="00FF1B38" w:rsidP="001E7922">
            <w:pPr>
              <w:rPr>
                <w:rFonts w:ascii="Calibri" w:hAnsi="Calibri"/>
                <w:color w:val="000000"/>
                <w:szCs w:val="22"/>
              </w:rPr>
            </w:pPr>
          </w:p>
        </w:tc>
        <w:tc>
          <w:tcPr>
            <w:tcW w:w="1652" w:type="dxa"/>
            <w:vMerge/>
            <w:tcMar>
              <w:left w:w="28" w:type="dxa"/>
              <w:right w:w="28" w:type="dxa"/>
            </w:tcMar>
            <w:vAlign w:val="center"/>
          </w:tcPr>
          <w:p w14:paraId="1BE348EC"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79714D3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0AAC1BC3"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7B1C72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4A320FA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D8FC731"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FD9AC3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CB0BF4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3A6E5F4"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04D08F5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5017E44E"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F9E6D29" w14:textId="77777777" w:rsidR="00FF1B38" w:rsidRPr="008E4651" w:rsidRDefault="00FF1B38" w:rsidP="001E7922">
            <w:pPr>
              <w:jc w:val="center"/>
              <w:rPr>
                <w:rFonts w:ascii="Arial Narrow" w:hAnsi="Arial Narrow"/>
                <w:color w:val="000000"/>
                <w:sz w:val="18"/>
                <w:szCs w:val="18"/>
              </w:rPr>
            </w:pPr>
          </w:p>
        </w:tc>
      </w:tr>
      <w:tr w:rsidR="00FF1B38" w:rsidRPr="002E2EB3" w14:paraId="5D4EC3F8" w14:textId="77777777" w:rsidTr="00FF1B38">
        <w:trPr>
          <w:trHeight w:hRule="exact" w:val="227"/>
        </w:trPr>
        <w:tc>
          <w:tcPr>
            <w:tcW w:w="1050" w:type="dxa"/>
            <w:vMerge/>
          </w:tcPr>
          <w:p w14:paraId="00497158" w14:textId="77777777" w:rsidR="00FF1B38" w:rsidRPr="002E2EB3" w:rsidRDefault="00FF1B38" w:rsidP="001E7922">
            <w:pPr>
              <w:rPr>
                <w:rFonts w:ascii="Calibri" w:hAnsi="Calibri"/>
                <w:color w:val="000000"/>
                <w:szCs w:val="22"/>
              </w:rPr>
            </w:pPr>
          </w:p>
        </w:tc>
        <w:tc>
          <w:tcPr>
            <w:tcW w:w="1652" w:type="dxa"/>
            <w:vMerge w:val="restart"/>
            <w:tcMar>
              <w:left w:w="28" w:type="dxa"/>
              <w:right w:w="28" w:type="dxa"/>
            </w:tcMar>
            <w:vAlign w:val="center"/>
          </w:tcPr>
          <w:p w14:paraId="1C8DE309"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Pelican</w:t>
            </w:r>
          </w:p>
        </w:tc>
        <w:tc>
          <w:tcPr>
            <w:tcW w:w="450" w:type="dxa"/>
            <w:tcMar>
              <w:left w:w="28" w:type="dxa"/>
              <w:right w:w="28" w:type="dxa"/>
            </w:tcMar>
            <w:vAlign w:val="center"/>
          </w:tcPr>
          <w:p w14:paraId="0A4B8E3E"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0F9C8458"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28DD0B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0.03</w:t>
            </w:r>
          </w:p>
        </w:tc>
        <w:tc>
          <w:tcPr>
            <w:tcW w:w="977" w:type="dxa"/>
            <w:tcMar>
              <w:left w:w="28" w:type="dxa"/>
              <w:right w:w="28" w:type="dxa"/>
            </w:tcMar>
            <w:vAlign w:val="center"/>
          </w:tcPr>
          <w:p w14:paraId="158C4DB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28EA539"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7565659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4DF6D1DB"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0DD9867"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202C52BB"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F6E82F5"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DA2E598" w14:textId="77777777" w:rsidR="00FF1B38" w:rsidRPr="008E4651" w:rsidRDefault="00FF1B38" w:rsidP="001E7922">
            <w:pPr>
              <w:jc w:val="center"/>
              <w:rPr>
                <w:rFonts w:ascii="Arial Narrow" w:hAnsi="Arial Narrow"/>
                <w:color w:val="000000"/>
                <w:sz w:val="18"/>
                <w:szCs w:val="18"/>
              </w:rPr>
            </w:pPr>
          </w:p>
        </w:tc>
      </w:tr>
      <w:tr w:rsidR="00FF1B38" w:rsidRPr="002E2EB3" w14:paraId="409E524B" w14:textId="77777777" w:rsidTr="00FF1B38">
        <w:trPr>
          <w:trHeight w:hRule="exact" w:val="227"/>
        </w:trPr>
        <w:tc>
          <w:tcPr>
            <w:tcW w:w="1050" w:type="dxa"/>
            <w:vMerge/>
          </w:tcPr>
          <w:p w14:paraId="31C0F36F" w14:textId="77777777" w:rsidR="00FF1B38" w:rsidRPr="002E2EB3" w:rsidRDefault="00FF1B38" w:rsidP="001E7922">
            <w:pPr>
              <w:rPr>
                <w:rFonts w:ascii="Calibri" w:hAnsi="Calibri"/>
                <w:color w:val="000000"/>
                <w:szCs w:val="22"/>
              </w:rPr>
            </w:pPr>
          </w:p>
        </w:tc>
        <w:tc>
          <w:tcPr>
            <w:tcW w:w="1652" w:type="dxa"/>
            <w:vMerge/>
            <w:tcMar>
              <w:left w:w="28" w:type="dxa"/>
              <w:right w:w="28" w:type="dxa"/>
            </w:tcMar>
            <w:vAlign w:val="center"/>
          </w:tcPr>
          <w:p w14:paraId="5247CA35" w14:textId="77777777" w:rsidR="00FF1B38" w:rsidRPr="002E2EB3" w:rsidRDefault="00FF1B38" w:rsidP="001E7922">
            <w:pPr>
              <w:jc w:val="center"/>
              <w:rPr>
                <w:rFonts w:ascii="Arial Narrow" w:hAnsi="Arial Narrow"/>
                <w:color w:val="000000"/>
                <w:sz w:val="18"/>
                <w:szCs w:val="18"/>
              </w:rPr>
            </w:pPr>
          </w:p>
        </w:tc>
        <w:tc>
          <w:tcPr>
            <w:tcW w:w="450" w:type="dxa"/>
            <w:tcMar>
              <w:left w:w="28" w:type="dxa"/>
              <w:right w:w="28" w:type="dxa"/>
            </w:tcMar>
            <w:vAlign w:val="center"/>
          </w:tcPr>
          <w:p w14:paraId="272527C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5773AC92"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0.62</w:t>
            </w:r>
          </w:p>
        </w:tc>
        <w:tc>
          <w:tcPr>
            <w:tcW w:w="976" w:type="dxa"/>
            <w:tcMar>
              <w:left w:w="28" w:type="dxa"/>
              <w:right w:w="28" w:type="dxa"/>
            </w:tcMar>
            <w:vAlign w:val="center"/>
          </w:tcPr>
          <w:p w14:paraId="0BB04E7C"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0.50</w:t>
            </w:r>
          </w:p>
        </w:tc>
        <w:tc>
          <w:tcPr>
            <w:tcW w:w="977" w:type="dxa"/>
            <w:tcMar>
              <w:left w:w="28" w:type="dxa"/>
              <w:right w:w="28" w:type="dxa"/>
            </w:tcMar>
            <w:vAlign w:val="center"/>
          </w:tcPr>
          <w:p w14:paraId="05BF9EAD"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3370C1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7" w:type="dxa"/>
            <w:tcMar>
              <w:left w:w="28" w:type="dxa"/>
              <w:right w:w="28" w:type="dxa"/>
            </w:tcMar>
            <w:vAlign w:val="center"/>
          </w:tcPr>
          <w:p w14:paraId="11D7C5DF"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DCEA4A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0.81</w:t>
            </w:r>
          </w:p>
        </w:tc>
        <w:tc>
          <w:tcPr>
            <w:tcW w:w="976" w:type="dxa"/>
            <w:tcMar>
              <w:left w:w="28" w:type="dxa"/>
              <w:right w:w="28" w:type="dxa"/>
            </w:tcMar>
            <w:vAlign w:val="center"/>
          </w:tcPr>
          <w:p w14:paraId="1B8E52D6"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3E0CA4DF"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061DE3A5" w14:textId="77777777" w:rsidR="00FF1B38" w:rsidRPr="008E4651" w:rsidRDefault="00FF1B38" w:rsidP="00FF1B38">
            <w:pPr>
              <w:jc w:val="center"/>
              <w:rPr>
                <w:rFonts w:ascii="Arial Narrow" w:hAnsi="Arial Narrow"/>
                <w:color w:val="000000"/>
                <w:sz w:val="18"/>
                <w:szCs w:val="18"/>
              </w:rPr>
            </w:pPr>
            <w:r w:rsidRPr="008E4651">
              <w:rPr>
                <w:rFonts w:ascii="Arial Narrow" w:hAnsi="Arial Narrow"/>
                <w:color w:val="000000"/>
                <w:sz w:val="18"/>
                <w:szCs w:val="18"/>
              </w:rPr>
              <w:t>0.</w:t>
            </w:r>
            <w:r>
              <w:rPr>
                <w:rFonts w:ascii="Arial Narrow" w:hAnsi="Arial Narrow"/>
                <w:color w:val="000000"/>
                <w:sz w:val="18"/>
                <w:szCs w:val="18"/>
              </w:rPr>
              <w:t>25</w:t>
            </w:r>
          </w:p>
        </w:tc>
        <w:tc>
          <w:tcPr>
            <w:tcW w:w="976" w:type="dxa"/>
            <w:tcMar>
              <w:left w:w="28" w:type="dxa"/>
              <w:right w:w="28" w:type="dxa"/>
            </w:tcMar>
            <w:vAlign w:val="center"/>
          </w:tcPr>
          <w:p w14:paraId="43B2E23F" w14:textId="77777777" w:rsidR="00FF1B38" w:rsidRPr="008E4651" w:rsidRDefault="00FF1B38" w:rsidP="001E7922">
            <w:pPr>
              <w:jc w:val="center"/>
              <w:rPr>
                <w:rFonts w:ascii="Arial Narrow" w:hAnsi="Arial Narrow"/>
                <w:color w:val="000000"/>
                <w:sz w:val="18"/>
                <w:szCs w:val="18"/>
              </w:rPr>
            </w:pPr>
          </w:p>
        </w:tc>
      </w:tr>
      <w:tr w:rsidR="00FF1B38" w:rsidRPr="002E2EB3" w14:paraId="4914E803" w14:textId="77777777" w:rsidTr="00FF1B38">
        <w:trPr>
          <w:trHeight w:hRule="exact" w:val="227"/>
        </w:trPr>
        <w:tc>
          <w:tcPr>
            <w:tcW w:w="1050" w:type="dxa"/>
            <w:vMerge/>
          </w:tcPr>
          <w:p w14:paraId="14C7E50F" w14:textId="77777777" w:rsidR="00FF1B38" w:rsidRPr="002E2EB3" w:rsidRDefault="00FF1B38" w:rsidP="001E7922">
            <w:pPr>
              <w:jc w:val="center"/>
              <w:rPr>
                <w:rFonts w:ascii="Calibri" w:hAnsi="Calibri"/>
                <w:color w:val="000000"/>
                <w:szCs w:val="22"/>
              </w:rPr>
            </w:pPr>
          </w:p>
        </w:tc>
        <w:tc>
          <w:tcPr>
            <w:tcW w:w="1652" w:type="dxa"/>
            <w:vMerge w:val="restart"/>
            <w:tcMar>
              <w:left w:w="28" w:type="dxa"/>
              <w:right w:w="28" w:type="dxa"/>
            </w:tcMar>
            <w:vAlign w:val="center"/>
          </w:tcPr>
          <w:p w14:paraId="53AB33CF" w14:textId="77777777" w:rsidR="00FF1B38" w:rsidRPr="002E2EB3" w:rsidRDefault="00FF1B38" w:rsidP="001E7922">
            <w:pPr>
              <w:jc w:val="center"/>
              <w:rPr>
                <w:rFonts w:ascii="Arial Narrow" w:hAnsi="Arial Narrow"/>
                <w:b/>
                <w:color w:val="000000"/>
                <w:sz w:val="18"/>
                <w:szCs w:val="18"/>
              </w:rPr>
            </w:pPr>
            <w:r w:rsidRPr="002E2EB3">
              <w:rPr>
                <w:rFonts w:ascii="Arial Narrow" w:hAnsi="Arial Narrow"/>
                <w:color w:val="000000"/>
                <w:sz w:val="18"/>
                <w:szCs w:val="18"/>
              </w:rPr>
              <w:t>Peak</w:t>
            </w:r>
          </w:p>
        </w:tc>
        <w:tc>
          <w:tcPr>
            <w:tcW w:w="450" w:type="dxa"/>
            <w:tcMar>
              <w:left w:w="28" w:type="dxa"/>
              <w:right w:w="28" w:type="dxa"/>
            </w:tcMar>
            <w:vAlign w:val="center"/>
          </w:tcPr>
          <w:p w14:paraId="69EF715A"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2</w:t>
            </w:r>
          </w:p>
        </w:tc>
        <w:tc>
          <w:tcPr>
            <w:tcW w:w="976" w:type="dxa"/>
            <w:tcMar>
              <w:left w:w="28" w:type="dxa"/>
              <w:right w:w="28" w:type="dxa"/>
            </w:tcMar>
            <w:vAlign w:val="center"/>
          </w:tcPr>
          <w:p w14:paraId="21DC6BC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6" w:type="dxa"/>
            <w:tcMar>
              <w:left w:w="28" w:type="dxa"/>
              <w:right w:w="28" w:type="dxa"/>
            </w:tcMar>
            <w:vAlign w:val="center"/>
          </w:tcPr>
          <w:p w14:paraId="201F8238"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0.09</w:t>
            </w:r>
          </w:p>
        </w:tc>
        <w:tc>
          <w:tcPr>
            <w:tcW w:w="977" w:type="dxa"/>
            <w:tcMar>
              <w:left w:w="28" w:type="dxa"/>
              <w:right w:w="28" w:type="dxa"/>
            </w:tcMar>
            <w:vAlign w:val="center"/>
          </w:tcPr>
          <w:p w14:paraId="73D3586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0DF3AB95"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580A3B49"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1B91364A"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2CDC756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0.01</w:t>
            </w:r>
          </w:p>
        </w:tc>
        <w:tc>
          <w:tcPr>
            <w:tcW w:w="977" w:type="dxa"/>
            <w:tcMar>
              <w:left w:w="28" w:type="dxa"/>
              <w:right w:w="28" w:type="dxa"/>
            </w:tcMar>
            <w:vAlign w:val="center"/>
          </w:tcPr>
          <w:p w14:paraId="20908C98" w14:textId="77777777" w:rsidR="00FF1B38" w:rsidRPr="008E4651" w:rsidRDefault="00FF1B38" w:rsidP="001E7922">
            <w:pPr>
              <w:jc w:val="center"/>
              <w:rPr>
                <w:rFonts w:ascii="Arial Narrow" w:hAnsi="Arial Narrow"/>
                <w:color w:val="000000"/>
                <w:sz w:val="18"/>
                <w:szCs w:val="18"/>
              </w:rPr>
            </w:pPr>
          </w:p>
        </w:tc>
        <w:tc>
          <w:tcPr>
            <w:tcW w:w="977" w:type="dxa"/>
            <w:tcMar>
              <w:left w:w="28" w:type="dxa"/>
              <w:right w:w="28" w:type="dxa"/>
            </w:tcMar>
            <w:vAlign w:val="center"/>
          </w:tcPr>
          <w:p w14:paraId="646E6215"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79B5A8AD" w14:textId="77777777" w:rsidR="00FF1B38" w:rsidRPr="008E4651" w:rsidRDefault="00FF1B38" w:rsidP="001E7922">
            <w:pPr>
              <w:jc w:val="center"/>
              <w:rPr>
                <w:rFonts w:ascii="Arial Narrow" w:hAnsi="Arial Narrow"/>
                <w:color w:val="000000"/>
                <w:sz w:val="18"/>
                <w:szCs w:val="18"/>
              </w:rPr>
            </w:pPr>
          </w:p>
        </w:tc>
      </w:tr>
      <w:tr w:rsidR="00FF1B38" w:rsidRPr="002E2EB3" w14:paraId="20727003" w14:textId="77777777" w:rsidTr="00FF1B38">
        <w:trPr>
          <w:trHeight w:hRule="exact" w:val="227"/>
        </w:trPr>
        <w:tc>
          <w:tcPr>
            <w:tcW w:w="1050" w:type="dxa"/>
            <w:vMerge/>
          </w:tcPr>
          <w:p w14:paraId="42159BF9" w14:textId="77777777" w:rsidR="00FF1B38" w:rsidRPr="002E2EB3" w:rsidRDefault="00FF1B38" w:rsidP="001E7922">
            <w:pPr>
              <w:jc w:val="center"/>
              <w:rPr>
                <w:rFonts w:ascii="Calibri" w:hAnsi="Calibri"/>
                <w:color w:val="000000"/>
                <w:szCs w:val="22"/>
              </w:rPr>
            </w:pPr>
          </w:p>
        </w:tc>
        <w:tc>
          <w:tcPr>
            <w:tcW w:w="1652" w:type="dxa"/>
            <w:vMerge/>
            <w:tcMar>
              <w:left w:w="28" w:type="dxa"/>
              <w:right w:w="28" w:type="dxa"/>
            </w:tcMar>
            <w:vAlign w:val="bottom"/>
          </w:tcPr>
          <w:p w14:paraId="520D73FA" w14:textId="77777777" w:rsidR="00FF1B38" w:rsidRPr="002E2EB3" w:rsidRDefault="00FF1B38" w:rsidP="001E7922">
            <w:pPr>
              <w:jc w:val="center"/>
              <w:rPr>
                <w:rFonts w:ascii="Calibri" w:hAnsi="Calibri"/>
                <w:color w:val="000000"/>
                <w:szCs w:val="22"/>
              </w:rPr>
            </w:pPr>
          </w:p>
        </w:tc>
        <w:tc>
          <w:tcPr>
            <w:tcW w:w="450" w:type="dxa"/>
            <w:tcMar>
              <w:left w:w="28" w:type="dxa"/>
              <w:right w:w="28" w:type="dxa"/>
            </w:tcMar>
            <w:vAlign w:val="center"/>
          </w:tcPr>
          <w:p w14:paraId="69271376"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5</w:t>
            </w:r>
          </w:p>
        </w:tc>
        <w:tc>
          <w:tcPr>
            <w:tcW w:w="976" w:type="dxa"/>
            <w:tcMar>
              <w:left w:w="28" w:type="dxa"/>
              <w:right w:w="28" w:type="dxa"/>
            </w:tcMar>
            <w:vAlign w:val="center"/>
          </w:tcPr>
          <w:p w14:paraId="1B228750"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0.15</w:t>
            </w:r>
          </w:p>
        </w:tc>
        <w:tc>
          <w:tcPr>
            <w:tcW w:w="976" w:type="dxa"/>
            <w:tcMar>
              <w:left w:w="28" w:type="dxa"/>
              <w:right w:w="28" w:type="dxa"/>
            </w:tcMar>
            <w:vAlign w:val="center"/>
          </w:tcPr>
          <w:p w14:paraId="16ADBBB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0.06</w:t>
            </w:r>
          </w:p>
        </w:tc>
        <w:tc>
          <w:tcPr>
            <w:tcW w:w="977" w:type="dxa"/>
            <w:tcMar>
              <w:left w:w="28" w:type="dxa"/>
              <w:right w:w="28" w:type="dxa"/>
            </w:tcMar>
            <w:vAlign w:val="center"/>
          </w:tcPr>
          <w:p w14:paraId="22062E8C"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2348201"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0.09</w:t>
            </w:r>
          </w:p>
        </w:tc>
        <w:tc>
          <w:tcPr>
            <w:tcW w:w="977" w:type="dxa"/>
            <w:tcMar>
              <w:left w:w="28" w:type="dxa"/>
              <w:right w:w="28" w:type="dxa"/>
            </w:tcMar>
            <w:vAlign w:val="center"/>
          </w:tcPr>
          <w:p w14:paraId="136C55B4"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3E209F1A"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0.13</w:t>
            </w:r>
          </w:p>
        </w:tc>
        <w:tc>
          <w:tcPr>
            <w:tcW w:w="976" w:type="dxa"/>
            <w:tcMar>
              <w:left w:w="28" w:type="dxa"/>
              <w:right w:w="28" w:type="dxa"/>
            </w:tcMar>
            <w:vAlign w:val="center"/>
          </w:tcPr>
          <w:p w14:paraId="04847194"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0.05</w:t>
            </w:r>
          </w:p>
        </w:tc>
        <w:tc>
          <w:tcPr>
            <w:tcW w:w="977" w:type="dxa"/>
            <w:tcMar>
              <w:left w:w="28" w:type="dxa"/>
              <w:right w:w="28" w:type="dxa"/>
            </w:tcMar>
            <w:vAlign w:val="center"/>
          </w:tcPr>
          <w:p w14:paraId="6805F907" w14:textId="77777777" w:rsidR="00FF1B38" w:rsidRPr="008E4651" w:rsidRDefault="00FF1B38" w:rsidP="001E7922">
            <w:pPr>
              <w:jc w:val="center"/>
              <w:rPr>
                <w:rFonts w:ascii="Arial Narrow" w:hAnsi="Arial Narrow"/>
                <w:color w:val="000000"/>
                <w:sz w:val="18"/>
                <w:szCs w:val="18"/>
              </w:rPr>
            </w:pPr>
            <w:r w:rsidRPr="008E4651">
              <w:rPr>
                <w:rFonts w:ascii="Arial Narrow" w:hAnsi="Arial Narrow"/>
                <w:color w:val="000000"/>
                <w:sz w:val="18"/>
                <w:szCs w:val="18"/>
              </w:rPr>
              <w:t>0.02</w:t>
            </w:r>
          </w:p>
        </w:tc>
        <w:tc>
          <w:tcPr>
            <w:tcW w:w="977" w:type="dxa"/>
            <w:tcMar>
              <w:left w:w="28" w:type="dxa"/>
              <w:right w:w="28" w:type="dxa"/>
            </w:tcMar>
            <w:vAlign w:val="center"/>
          </w:tcPr>
          <w:p w14:paraId="482F7F92" w14:textId="77777777" w:rsidR="00FF1B38" w:rsidRPr="008E4651" w:rsidRDefault="00FF1B38" w:rsidP="001E7922">
            <w:pPr>
              <w:jc w:val="center"/>
              <w:rPr>
                <w:rFonts w:ascii="Arial Narrow" w:hAnsi="Arial Narrow"/>
                <w:color w:val="000000"/>
                <w:sz w:val="18"/>
                <w:szCs w:val="18"/>
              </w:rPr>
            </w:pPr>
          </w:p>
        </w:tc>
        <w:tc>
          <w:tcPr>
            <w:tcW w:w="976" w:type="dxa"/>
            <w:tcMar>
              <w:left w:w="28" w:type="dxa"/>
              <w:right w:w="28" w:type="dxa"/>
            </w:tcMar>
            <w:vAlign w:val="center"/>
          </w:tcPr>
          <w:p w14:paraId="613DF1CF" w14:textId="77777777" w:rsidR="00FF1B38" w:rsidRPr="008E4651" w:rsidRDefault="00FF1B38" w:rsidP="001E7922">
            <w:pPr>
              <w:jc w:val="center"/>
              <w:rPr>
                <w:rFonts w:ascii="Arial Narrow" w:hAnsi="Arial Narrow"/>
                <w:color w:val="000000"/>
                <w:sz w:val="18"/>
                <w:szCs w:val="18"/>
              </w:rPr>
            </w:pPr>
          </w:p>
        </w:tc>
      </w:tr>
    </w:tbl>
    <w:p w14:paraId="613FE673" w14:textId="77777777" w:rsidR="001E7922" w:rsidRPr="002E2EB3" w:rsidRDefault="001E7922" w:rsidP="001E7922"/>
    <w:p w14:paraId="6B78AEEE" w14:textId="77777777" w:rsidR="000A241F" w:rsidRDefault="000A241F" w:rsidP="002168E2">
      <w:pPr>
        <w:sectPr w:rsidR="000A241F" w:rsidSect="00BF3FC5">
          <w:pgSz w:w="16840" w:h="11907" w:orient="landscape" w:code="9"/>
          <w:pgMar w:top="1134" w:right="1440" w:bottom="1134" w:left="1418" w:header="862" w:footer="720" w:gutter="0"/>
          <w:cols w:space="720"/>
          <w:docGrid w:linePitch="299"/>
        </w:sectPr>
      </w:pPr>
    </w:p>
    <w:p w14:paraId="0FDBC28C" w14:textId="77777777" w:rsidR="006E3C16" w:rsidRPr="001249B7" w:rsidRDefault="00680FBC" w:rsidP="00680FBC">
      <w:pPr>
        <w:pStyle w:val="Caption"/>
        <w:rPr>
          <w:vanish/>
        </w:rPr>
      </w:pPr>
      <w:bookmarkStart w:id="514" w:name="_Ref460423904"/>
      <w:bookmarkStart w:id="515" w:name="_Toc342644684"/>
      <w:bookmarkStart w:id="516" w:name="_Toc437424468"/>
      <w:bookmarkStart w:id="517" w:name="_Toc437424592"/>
      <w:bookmarkStart w:id="518" w:name="_Toc437432521"/>
      <w:bookmarkStart w:id="519" w:name="_Toc460491689"/>
      <w:bookmarkStart w:id="520" w:name="_Toc311284554"/>
      <w:bookmarkStart w:id="521" w:name="_Toc311371441"/>
      <w:r w:rsidRPr="00680FBC">
        <w:rPr>
          <w:rStyle w:val="Heading7Char"/>
          <w:rFonts w:eastAsia="SimSun"/>
        </w:rPr>
        <w:lastRenderedPageBreak/>
        <w:t xml:space="preserve">Table A </w:t>
      </w:r>
      <w:r w:rsidRPr="00680FBC">
        <w:rPr>
          <w:rStyle w:val="Heading7Char"/>
          <w:rFonts w:eastAsia="SimSun"/>
        </w:rPr>
        <w:fldChar w:fldCharType="begin"/>
      </w:r>
      <w:r w:rsidRPr="00680FBC">
        <w:rPr>
          <w:rStyle w:val="Heading7Char"/>
          <w:rFonts w:eastAsia="SimSun"/>
        </w:rPr>
        <w:instrText xml:space="preserve"> SEQ Table_A \* ARABIC </w:instrText>
      </w:r>
      <w:r w:rsidRPr="00680FBC">
        <w:rPr>
          <w:rStyle w:val="Heading7Char"/>
          <w:rFonts w:eastAsia="SimSun"/>
        </w:rPr>
        <w:fldChar w:fldCharType="separate"/>
      </w:r>
      <w:r w:rsidR="00B61881">
        <w:rPr>
          <w:rStyle w:val="Heading7Char"/>
          <w:rFonts w:eastAsia="SimSun"/>
          <w:noProof/>
        </w:rPr>
        <w:t>7</w:t>
      </w:r>
      <w:r w:rsidRPr="00680FBC">
        <w:rPr>
          <w:rStyle w:val="Heading7Char"/>
          <w:rFonts w:eastAsia="SimSun"/>
        </w:rPr>
        <w:fldChar w:fldCharType="end"/>
      </w:r>
      <w:bookmarkEnd w:id="514"/>
      <w:r w:rsidR="006E3C16" w:rsidRPr="00680FBC">
        <w:rPr>
          <w:rStyle w:val="Heading7Char"/>
          <w:rFonts w:eastAsia="SimSun"/>
        </w:rPr>
        <w:t>: C</w:t>
      </w:r>
      <w:r w:rsidR="002168E2" w:rsidRPr="00680FBC">
        <w:rPr>
          <w:rStyle w:val="Heading7Char"/>
          <w:rFonts w:eastAsia="SimSun"/>
        </w:rPr>
        <w:t>omposition of macroalgal communities</w:t>
      </w:r>
      <w:r w:rsidR="002168E2" w:rsidRPr="001249B7">
        <w:t>.</w:t>
      </w:r>
      <w:bookmarkEnd w:id="515"/>
      <w:bookmarkEnd w:id="516"/>
      <w:bookmarkEnd w:id="517"/>
      <w:bookmarkEnd w:id="518"/>
      <w:bookmarkEnd w:id="519"/>
    </w:p>
    <w:p w14:paraId="7CC31F7D" w14:textId="77777777" w:rsidR="002168E2" w:rsidRDefault="002168E2" w:rsidP="00E56CF1">
      <w:pPr>
        <w:pStyle w:val="Caption"/>
        <w:rPr>
          <w:rStyle w:val="IntenseReference"/>
          <w:rFonts w:eastAsia="SimSun"/>
          <w:bCs w:val="0"/>
          <w:color w:val="auto"/>
          <w:szCs w:val="24"/>
        </w:rPr>
      </w:pPr>
      <w:r w:rsidRPr="001249B7">
        <w:rPr>
          <w:rStyle w:val="IntenseReference"/>
          <w:rFonts w:eastAsiaTheme="majorEastAsia"/>
        </w:rPr>
        <w:t xml:space="preserve"> </w:t>
      </w:r>
      <w:r w:rsidRPr="001249B7">
        <w:rPr>
          <w:rStyle w:val="IntenseReference"/>
          <w:rFonts w:eastAsia="SimSun"/>
        </w:rPr>
        <w:t>Common genera and families (% cover) 2015, presented are genera for which cover exceeded 0.5% on at least one reef, rare or unidentif</w:t>
      </w:r>
      <w:r w:rsidR="003D66C3" w:rsidRPr="001249B7">
        <w:rPr>
          <w:rStyle w:val="IntenseReference"/>
          <w:rFonts w:eastAsia="SimSun"/>
        </w:rPr>
        <w:t>ied genera are grouped to ‘Other’</w:t>
      </w:r>
      <w:r w:rsidRPr="001249B7">
        <w:rPr>
          <w:rStyle w:val="IntenseReference"/>
          <w:rFonts w:eastAsia="SimSun"/>
          <w:bCs w:val="0"/>
          <w:color w:val="auto"/>
          <w:szCs w:val="24"/>
        </w:rPr>
        <w:t>.</w:t>
      </w:r>
      <w:bookmarkEnd w:id="520"/>
      <w:bookmarkEnd w:id="521"/>
    </w:p>
    <w:tbl>
      <w:tblPr>
        <w:tblW w:w="14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Caption w:val="Table A1 7: Composition of macroalgal communities. "/>
        <w:tblDescription w:val="Table A1 7: Composition of macroalgal communities. Common genera and families (% cover) 2015, presented are genera for which cover exceeded 0.5% on at least one reef, rare or unidentified genera are grouped to ‘Other’."/>
      </w:tblPr>
      <w:tblGrid>
        <w:gridCol w:w="879"/>
        <w:gridCol w:w="1843"/>
        <w:gridCol w:w="567"/>
        <w:gridCol w:w="708"/>
        <w:gridCol w:w="709"/>
        <w:gridCol w:w="709"/>
        <w:gridCol w:w="709"/>
        <w:gridCol w:w="708"/>
        <w:gridCol w:w="709"/>
        <w:gridCol w:w="709"/>
        <w:gridCol w:w="709"/>
        <w:gridCol w:w="708"/>
        <w:gridCol w:w="709"/>
        <w:gridCol w:w="709"/>
        <w:gridCol w:w="709"/>
        <w:gridCol w:w="708"/>
        <w:gridCol w:w="709"/>
        <w:gridCol w:w="709"/>
        <w:gridCol w:w="709"/>
      </w:tblGrid>
      <w:tr w:rsidR="00BF3FC5" w:rsidRPr="002168E2" w14:paraId="47301692" w14:textId="77777777" w:rsidTr="0088288C">
        <w:trPr>
          <w:cantSplit/>
          <w:trHeight w:hRule="exact" w:val="391"/>
          <w:tblHeader/>
        </w:trPr>
        <w:tc>
          <w:tcPr>
            <w:tcW w:w="879" w:type="dxa"/>
            <w:vMerge w:val="restart"/>
            <w:shd w:val="clear" w:color="auto" w:fill="F2F2F2" w:themeFill="background1" w:themeFillShade="F2"/>
            <w:textDirection w:val="btLr"/>
          </w:tcPr>
          <w:p w14:paraId="649C0C2C" w14:textId="77777777" w:rsidR="00BF3FC5" w:rsidRPr="00BF3FC5" w:rsidRDefault="00BF3FC5" w:rsidP="00BF3FC5">
            <w:pPr>
              <w:ind w:left="113" w:right="113"/>
              <w:jc w:val="center"/>
              <w:rPr>
                <w:rFonts w:ascii="Arial Narrow" w:hAnsi="Arial Narrow"/>
                <w:color w:val="000000"/>
                <w:sz w:val="20"/>
              </w:rPr>
            </w:pPr>
            <w:r w:rsidRPr="00BF3FC5">
              <w:rPr>
                <w:rFonts w:ascii="Arial Narrow" w:hAnsi="Arial Narrow"/>
                <w:color w:val="000000"/>
                <w:sz w:val="20"/>
              </w:rPr>
              <w:t>Sub/region</w:t>
            </w:r>
          </w:p>
        </w:tc>
        <w:tc>
          <w:tcPr>
            <w:tcW w:w="1843" w:type="dxa"/>
            <w:vMerge w:val="restart"/>
            <w:shd w:val="clear" w:color="auto" w:fill="F2F2F2" w:themeFill="background1" w:themeFillShade="F2"/>
            <w:tcMar>
              <w:left w:w="28" w:type="dxa"/>
              <w:right w:w="28" w:type="dxa"/>
            </w:tcMar>
            <w:vAlign w:val="center"/>
          </w:tcPr>
          <w:p w14:paraId="518BE74C" w14:textId="77777777" w:rsidR="00BF3FC5" w:rsidRPr="00BF3FC5" w:rsidRDefault="00BF3FC5" w:rsidP="002168E2">
            <w:pPr>
              <w:jc w:val="center"/>
              <w:rPr>
                <w:rFonts w:ascii="Arial Narrow" w:hAnsi="Arial Narrow"/>
                <w:b/>
                <w:color w:val="000000"/>
                <w:sz w:val="20"/>
              </w:rPr>
            </w:pPr>
          </w:p>
          <w:p w14:paraId="7F353D5A" w14:textId="77777777" w:rsidR="00BF3FC5" w:rsidRPr="00BF3FC5" w:rsidRDefault="00BF3FC5" w:rsidP="002168E2">
            <w:pPr>
              <w:jc w:val="center"/>
              <w:rPr>
                <w:rFonts w:ascii="Arial Narrow" w:hAnsi="Arial Narrow"/>
                <w:color w:val="000000"/>
                <w:sz w:val="20"/>
              </w:rPr>
            </w:pPr>
            <w:r w:rsidRPr="00BF3FC5">
              <w:rPr>
                <w:rFonts w:ascii="Arial Narrow" w:hAnsi="Arial Narrow"/>
                <w:color w:val="000000"/>
                <w:sz w:val="20"/>
              </w:rPr>
              <w:t>Reef</w:t>
            </w:r>
          </w:p>
        </w:tc>
        <w:tc>
          <w:tcPr>
            <w:tcW w:w="567" w:type="dxa"/>
            <w:vMerge w:val="restart"/>
            <w:shd w:val="clear" w:color="auto" w:fill="F2F2F2" w:themeFill="background1" w:themeFillShade="F2"/>
            <w:tcMar>
              <w:left w:w="28" w:type="dxa"/>
              <w:right w:w="28" w:type="dxa"/>
            </w:tcMar>
            <w:textDirection w:val="btLr"/>
            <w:vAlign w:val="center"/>
          </w:tcPr>
          <w:p w14:paraId="387F915E" w14:textId="77777777" w:rsidR="00BF3FC5" w:rsidRPr="00BF3FC5" w:rsidRDefault="00BF3FC5" w:rsidP="002168E2">
            <w:pPr>
              <w:ind w:left="113" w:right="113"/>
              <w:jc w:val="center"/>
              <w:rPr>
                <w:rFonts w:ascii="Arial Narrow" w:hAnsi="Arial Narrow"/>
                <w:color w:val="000000"/>
                <w:sz w:val="20"/>
              </w:rPr>
            </w:pPr>
            <w:r w:rsidRPr="00BF3FC5">
              <w:rPr>
                <w:rFonts w:ascii="Arial Narrow" w:hAnsi="Arial Narrow"/>
                <w:color w:val="000000"/>
                <w:sz w:val="20"/>
              </w:rPr>
              <w:t>Depth</w:t>
            </w:r>
          </w:p>
        </w:tc>
        <w:tc>
          <w:tcPr>
            <w:tcW w:w="3543" w:type="dxa"/>
            <w:gridSpan w:val="5"/>
            <w:shd w:val="clear" w:color="auto" w:fill="F2F2F2" w:themeFill="background1" w:themeFillShade="F2"/>
            <w:tcMar>
              <w:left w:w="28" w:type="dxa"/>
              <w:right w:w="28" w:type="dxa"/>
            </w:tcMar>
            <w:vAlign w:val="bottom"/>
          </w:tcPr>
          <w:p w14:paraId="10F89DBD" w14:textId="77777777" w:rsidR="00BF3FC5" w:rsidRPr="002168E2" w:rsidRDefault="00BF3FC5" w:rsidP="00284F17">
            <w:pPr>
              <w:jc w:val="center"/>
              <w:rPr>
                <w:rFonts w:ascii="Arial Narrow" w:hAnsi="Arial Narrow"/>
                <w:color w:val="000000"/>
                <w:sz w:val="20"/>
              </w:rPr>
            </w:pPr>
            <w:r>
              <w:rPr>
                <w:rFonts w:ascii="Arial Narrow" w:hAnsi="Arial Narrow"/>
                <w:color w:val="000000"/>
                <w:sz w:val="20"/>
              </w:rPr>
              <w:t>Rhodophyta (red algae)</w:t>
            </w:r>
          </w:p>
        </w:tc>
        <w:tc>
          <w:tcPr>
            <w:tcW w:w="2835" w:type="dxa"/>
            <w:gridSpan w:val="4"/>
            <w:shd w:val="clear" w:color="auto" w:fill="F2F2F2" w:themeFill="background1" w:themeFillShade="F2"/>
            <w:tcMar>
              <w:left w:w="28" w:type="dxa"/>
              <w:right w:w="28" w:type="dxa"/>
            </w:tcMar>
            <w:vAlign w:val="bottom"/>
          </w:tcPr>
          <w:p w14:paraId="2CC8264A" w14:textId="77777777" w:rsidR="00BF3FC5" w:rsidRPr="002168E2" w:rsidRDefault="00BF3FC5" w:rsidP="00284F17">
            <w:pPr>
              <w:jc w:val="center"/>
              <w:rPr>
                <w:rFonts w:ascii="Arial Narrow" w:hAnsi="Arial Narrow"/>
                <w:color w:val="000000"/>
                <w:sz w:val="20"/>
              </w:rPr>
            </w:pPr>
            <w:r>
              <w:rPr>
                <w:rFonts w:ascii="Arial Narrow" w:hAnsi="Arial Narrow"/>
                <w:color w:val="000000"/>
                <w:sz w:val="20"/>
              </w:rPr>
              <w:t>Chlorophyta (green algae)</w:t>
            </w:r>
          </w:p>
        </w:tc>
        <w:tc>
          <w:tcPr>
            <w:tcW w:w="4962" w:type="dxa"/>
            <w:gridSpan w:val="7"/>
            <w:shd w:val="clear" w:color="auto" w:fill="F2F2F2" w:themeFill="background1" w:themeFillShade="F2"/>
            <w:tcMar>
              <w:left w:w="28" w:type="dxa"/>
              <w:right w:w="28" w:type="dxa"/>
            </w:tcMar>
            <w:vAlign w:val="bottom"/>
          </w:tcPr>
          <w:p w14:paraId="1571BB6E" w14:textId="77777777" w:rsidR="00BF3FC5" w:rsidRPr="002168E2" w:rsidRDefault="00BF3FC5" w:rsidP="00284F17">
            <w:pPr>
              <w:jc w:val="center"/>
              <w:rPr>
                <w:rFonts w:ascii="Arial Narrow" w:hAnsi="Arial Narrow"/>
                <w:color w:val="000000"/>
                <w:sz w:val="20"/>
              </w:rPr>
            </w:pPr>
            <w:r>
              <w:rPr>
                <w:rFonts w:ascii="Arial Narrow" w:hAnsi="Arial Narrow"/>
                <w:color w:val="000000"/>
                <w:sz w:val="20"/>
              </w:rPr>
              <w:t>Phaeophyta (brown algae)</w:t>
            </w:r>
          </w:p>
        </w:tc>
      </w:tr>
      <w:tr w:rsidR="0088288C" w:rsidRPr="002168E2" w14:paraId="43DF666A" w14:textId="77777777" w:rsidTr="0088288C">
        <w:trPr>
          <w:cantSplit/>
          <w:trHeight w:hRule="exact" w:val="1418"/>
          <w:tblHeader/>
        </w:trPr>
        <w:tc>
          <w:tcPr>
            <w:tcW w:w="879" w:type="dxa"/>
            <w:vMerge/>
            <w:shd w:val="clear" w:color="auto" w:fill="F2F2F2" w:themeFill="background1" w:themeFillShade="F2"/>
          </w:tcPr>
          <w:p w14:paraId="1ADEADF1" w14:textId="77777777" w:rsidR="00BF3FC5" w:rsidRPr="002168E2" w:rsidRDefault="00BF3FC5" w:rsidP="002168E2">
            <w:pPr>
              <w:jc w:val="center"/>
              <w:rPr>
                <w:rFonts w:ascii="Arial Narrow" w:hAnsi="Arial Narrow"/>
                <w:b/>
                <w:color w:val="000000"/>
                <w:sz w:val="24"/>
                <w:szCs w:val="24"/>
              </w:rPr>
            </w:pPr>
          </w:p>
        </w:tc>
        <w:tc>
          <w:tcPr>
            <w:tcW w:w="1843" w:type="dxa"/>
            <w:vMerge/>
            <w:shd w:val="clear" w:color="auto" w:fill="F2F2F2" w:themeFill="background1" w:themeFillShade="F2"/>
            <w:tcMar>
              <w:left w:w="28" w:type="dxa"/>
              <w:right w:w="28" w:type="dxa"/>
            </w:tcMar>
            <w:vAlign w:val="center"/>
          </w:tcPr>
          <w:p w14:paraId="6BC3B44A" w14:textId="77777777" w:rsidR="00BF3FC5" w:rsidRPr="002168E2" w:rsidRDefault="00BF3FC5" w:rsidP="002168E2">
            <w:pPr>
              <w:jc w:val="center"/>
              <w:rPr>
                <w:rFonts w:ascii="Arial Narrow" w:hAnsi="Arial Narrow"/>
                <w:b/>
                <w:color w:val="000000"/>
                <w:sz w:val="24"/>
                <w:szCs w:val="24"/>
              </w:rPr>
            </w:pPr>
          </w:p>
        </w:tc>
        <w:tc>
          <w:tcPr>
            <w:tcW w:w="567" w:type="dxa"/>
            <w:vMerge/>
            <w:shd w:val="clear" w:color="auto" w:fill="F2F2F2" w:themeFill="background1" w:themeFillShade="F2"/>
            <w:tcMar>
              <w:left w:w="28" w:type="dxa"/>
              <w:right w:w="28" w:type="dxa"/>
            </w:tcMar>
            <w:textDirection w:val="btLr"/>
            <w:vAlign w:val="center"/>
          </w:tcPr>
          <w:p w14:paraId="4DE86E7F" w14:textId="77777777" w:rsidR="00BF3FC5" w:rsidRPr="002168E2" w:rsidRDefault="00BF3FC5" w:rsidP="002168E2">
            <w:pPr>
              <w:ind w:left="113" w:right="113"/>
              <w:jc w:val="center"/>
              <w:rPr>
                <w:rFonts w:ascii="Arial Narrow" w:hAnsi="Arial Narrow"/>
                <w:b/>
                <w:color w:val="000000"/>
                <w:sz w:val="20"/>
              </w:rPr>
            </w:pPr>
          </w:p>
        </w:tc>
        <w:tc>
          <w:tcPr>
            <w:tcW w:w="708" w:type="dxa"/>
            <w:shd w:val="clear" w:color="auto" w:fill="F2F2F2" w:themeFill="background1" w:themeFillShade="F2"/>
            <w:tcMar>
              <w:left w:w="28" w:type="dxa"/>
              <w:right w:w="28" w:type="dxa"/>
            </w:tcMar>
            <w:textDirection w:val="btLr"/>
            <w:vAlign w:val="bottom"/>
          </w:tcPr>
          <w:p w14:paraId="68E3E277"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Hypnea</w:t>
            </w:r>
          </w:p>
        </w:tc>
        <w:tc>
          <w:tcPr>
            <w:tcW w:w="709" w:type="dxa"/>
            <w:shd w:val="clear" w:color="auto" w:fill="F2F2F2" w:themeFill="background1" w:themeFillShade="F2"/>
            <w:tcMar>
              <w:left w:w="28" w:type="dxa"/>
              <w:right w:w="28" w:type="dxa"/>
            </w:tcMar>
            <w:textDirection w:val="btLr"/>
            <w:vAlign w:val="bottom"/>
          </w:tcPr>
          <w:p w14:paraId="0973D164"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Peyssonnelia</w:t>
            </w:r>
          </w:p>
        </w:tc>
        <w:tc>
          <w:tcPr>
            <w:tcW w:w="709" w:type="dxa"/>
            <w:shd w:val="clear" w:color="auto" w:fill="F2F2F2" w:themeFill="background1" w:themeFillShade="F2"/>
            <w:tcMar>
              <w:left w:w="28" w:type="dxa"/>
              <w:right w:w="28" w:type="dxa"/>
            </w:tcMar>
            <w:textDirection w:val="btLr"/>
            <w:vAlign w:val="bottom"/>
          </w:tcPr>
          <w:p w14:paraId="3B349ADB" w14:textId="77777777" w:rsidR="00BF3FC5" w:rsidRPr="002168E2" w:rsidRDefault="00BF3FC5" w:rsidP="003D66C3">
            <w:pPr>
              <w:ind w:left="113" w:right="113"/>
              <w:rPr>
                <w:rFonts w:ascii="Arial Narrow" w:hAnsi="Arial Narrow"/>
                <w:color w:val="000000"/>
                <w:sz w:val="20"/>
              </w:rPr>
            </w:pPr>
            <w:r w:rsidRPr="002168E2">
              <w:rPr>
                <w:rFonts w:ascii="Arial Narrow" w:hAnsi="Arial Narrow"/>
                <w:color w:val="000000"/>
                <w:sz w:val="20"/>
              </w:rPr>
              <w:t xml:space="preserve">Calcareous </w:t>
            </w:r>
          </w:p>
        </w:tc>
        <w:tc>
          <w:tcPr>
            <w:tcW w:w="709" w:type="dxa"/>
            <w:shd w:val="clear" w:color="auto" w:fill="F2F2F2" w:themeFill="background1" w:themeFillShade="F2"/>
            <w:tcMar>
              <w:left w:w="28" w:type="dxa"/>
              <w:right w:w="28" w:type="dxa"/>
            </w:tcMar>
            <w:textDirection w:val="btLr"/>
            <w:vAlign w:val="bottom"/>
          </w:tcPr>
          <w:p w14:paraId="6C259FDE"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Asparagopsis</w:t>
            </w:r>
          </w:p>
        </w:tc>
        <w:tc>
          <w:tcPr>
            <w:tcW w:w="708" w:type="dxa"/>
            <w:shd w:val="clear" w:color="auto" w:fill="F2F2F2" w:themeFill="background1" w:themeFillShade="F2"/>
            <w:tcMar>
              <w:left w:w="28" w:type="dxa"/>
              <w:right w:w="28" w:type="dxa"/>
            </w:tcMar>
            <w:textDirection w:val="btLr"/>
            <w:vAlign w:val="bottom"/>
          </w:tcPr>
          <w:p w14:paraId="7A72FF75" w14:textId="77777777" w:rsidR="00BF3FC5" w:rsidRPr="002168E2" w:rsidRDefault="00BF3FC5" w:rsidP="003D66C3">
            <w:pPr>
              <w:ind w:left="113" w:right="113"/>
              <w:rPr>
                <w:rFonts w:ascii="Arial Narrow" w:hAnsi="Arial Narrow"/>
                <w:color w:val="000000"/>
                <w:sz w:val="20"/>
              </w:rPr>
            </w:pPr>
            <w:r w:rsidRPr="002168E2">
              <w:rPr>
                <w:rFonts w:ascii="Arial Narrow" w:hAnsi="Arial Narrow"/>
                <w:color w:val="000000"/>
                <w:sz w:val="20"/>
              </w:rPr>
              <w:t xml:space="preserve">Other </w:t>
            </w:r>
          </w:p>
        </w:tc>
        <w:tc>
          <w:tcPr>
            <w:tcW w:w="709" w:type="dxa"/>
            <w:shd w:val="clear" w:color="auto" w:fill="F2F2F2" w:themeFill="background1" w:themeFillShade="F2"/>
            <w:tcMar>
              <w:left w:w="28" w:type="dxa"/>
              <w:right w:w="28" w:type="dxa"/>
            </w:tcMar>
            <w:textDirection w:val="btLr"/>
            <w:vAlign w:val="bottom"/>
          </w:tcPr>
          <w:p w14:paraId="28BF166E"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Neomeris</w:t>
            </w:r>
          </w:p>
        </w:tc>
        <w:tc>
          <w:tcPr>
            <w:tcW w:w="709" w:type="dxa"/>
            <w:shd w:val="clear" w:color="auto" w:fill="F2F2F2" w:themeFill="background1" w:themeFillShade="F2"/>
            <w:tcMar>
              <w:left w:w="28" w:type="dxa"/>
              <w:right w:w="28" w:type="dxa"/>
            </w:tcMar>
            <w:textDirection w:val="btLr"/>
            <w:vAlign w:val="bottom"/>
          </w:tcPr>
          <w:p w14:paraId="45CC353B"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Caulerpa</w:t>
            </w:r>
          </w:p>
        </w:tc>
        <w:tc>
          <w:tcPr>
            <w:tcW w:w="709" w:type="dxa"/>
            <w:shd w:val="clear" w:color="auto" w:fill="F2F2F2" w:themeFill="background1" w:themeFillShade="F2"/>
            <w:tcMar>
              <w:left w:w="28" w:type="dxa"/>
              <w:right w:w="28" w:type="dxa"/>
            </w:tcMar>
            <w:textDirection w:val="btLr"/>
            <w:vAlign w:val="bottom"/>
          </w:tcPr>
          <w:p w14:paraId="4622E5E9"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Halimeda</w:t>
            </w:r>
          </w:p>
        </w:tc>
        <w:tc>
          <w:tcPr>
            <w:tcW w:w="708" w:type="dxa"/>
            <w:shd w:val="clear" w:color="auto" w:fill="F2F2F2" w:themeFill="background1" w:themeFillShade="F2"/>
            <w:tcMar>
              <w:left w:w="28" w:type="dxa"/>
              <w:right w:w="28" w:type="dxa"/>
            </w:tcMar>
            <w:textDirection w:val="btLr"/>
            <w:vAlign w:val="bottom"/>
          </w:tcPr>
          <w:p w14:paraId="43DAEE71" w14:textId="77777777" w:rsidR="00BF3FC5" w:rsidRPr="002168E2" w:rsidRDefault="00BF3FC5" w:rsidP="003D66C3">
            <w:pPr>
              <w:ind w:left="113" w:right="113"/>
              <w:rPr>
                <w:rFonts w:ascii="Arial Narrow" w:hAnsi="Arial Narrow"/>
                <w:color w:val="000000"/>
                <w:sz w:val="20"/>
              </w:rPr>
            </w:pPr>
            <w:r w:rsidRPr="002168E2">
              <w:rPr>
                <w:rFonts w:ascii="Arial Narrow" w:hAnsi="Arial Narrow"/>
                <w:color w:val="000000"/>
                <w:sz w:val="20"/>
              </w:rPr>
              <w:t xml:space="preserve">Other </w:t>
            </w:r>
          </w:p>
        </w:tc>
        <w:tc>
          <w:tcPr>
            <w:tcW w:w="709" w:type="dxa"/>
            <w:shd w:val="clear" w:color="auto" w:fill="F2F2F2" w:themeFill="background1" w:themeFillShade="F2"/>
            <w:tcMar>
              <w:left w:w="28" w:type="dxa"/>
              <w:right w:w="28" w:type="dxa"/>
            </w:tcMar>
            <w:textDirection w:val="btLr"/>
            <w:vAlign w:val="bottom"/>
          </w:tcPr>
          <w:p w14:paraId="40FA33E0"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Stypopodium</w:t>
            </w:r>
          </w:p>
        </w:tc>
        <w:tc>
          <w:tcPr>
            <w:tcW w:w="709" w:type="dxa"/>
            <w:shd w:val="clear" w:color="auto" w:fill="F2F2F2" w:themeFill="background1" w:themeFillShade="F2"/>
            <w:tcMar>
              <w:left w:w="28" w:type="dxa"/>
              <w:right w:w="28" w:type="dxa"/>
            </w:tcMar>
            <w:textDirection w:val="btLr"/>
            <w:vAlign w:val="bottom"/>
          </w:tcPr>
          <w:p w14:paraId="59A4F582"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Spatoglossum</w:t>
            </w:r>
          </w:p>
        </w:tc>
        <w:tc>
          <w:tcPr>
            <w:tcW w:w="709" w:type="dxa"/>
            <w:shd w:val="clear" w:color="auto" w:fill="F2F2F2" w:themeFill="background1" w:themeFillShade="F2"/>
            <w:tcMar>
              <w:left w:w="28" w:type="dxa"/>
              <w:right w:w="28" w:type="dxa"/>
            </w:tcMar>
            <w:textDirection w:val="btLr"/>
            <w:vAlign w:val="bottom"/>
          </w:tcPr>
          <w:p w14:paraId="286B73F7"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Padina</w:t>
            </w:r>
          </w:p>
        </w:tc>
        <w:tc>
          <w:tcPr>
            <w:tcW w:w="708" w:type="dxa"/>
            <w:shd w:val="clear" w:color="auto" w:fill="F2F2F2" w:themeFill="background1" w:themeFillShade="F2"/>
            <w:tcMar>
              <w:left w:w="28" w:type="dxa"/>
              <w:right w:w="28" w:type="dxa"/>
            </w:tcMar>
            <w:textDirection w:val="btLr"/>
            <w:vAlign w:val="bottom"/>
          </w:tcPr>
          <w:p w14:paraId="3D4C883F"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Dictyota</w:t>
            </w:r>
          </w:p>
        </w:tc>
        <w:tc>
          <w:tcPr>
            <w:tcW w:w="709" w:type="dxa"/>
            <w:shd w:val="clear" w:color="auto" w:fill="F2F2F2" w:themeFill="background1" w:themeFillShade="F2"/>
            <w:tcMar>
              <w:left w:w="28" w:type="dxa"/>
              <w:right w:w="28" w:type="dxa"/>
            </w:tcMar>
            <w:textDirection w:val="btLr"/>
            <w:vAlign w:val="bottom"/>
          </w:tcPr>
          <w:p w14:paraId="3C13B799"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Lobophora</w:t>
            </w:r>
          </w:p>
        </w:tc>
        <w:tc>
          <w:tcPr>
            <w:tcW w:w="709" w:type="dxa"/>
            <w:shd w:val="clear" w:color="auto" w:fill="F2F2F2" w:themeFill="background1" w:themeFillShade="F2"/>
            <w:tcMar>
              <w:left w:w="28" w:type="dxa"/>
              <w:right w:w="28" w:type="dxa"/>
            </w:tcMar>
            <w:textDirection w:val="btLr"/>
            <w:vAlign w:val="bottom"/>
          </w:tcPr>
          <w:p w14:paraId="5B7732D6" w14:textId="77777777" w:rsidR="00BF3FC5" w:rsidRPr="002168E2" w:rsidRDefault="00BF3FC5" w:rsidP="002168E2">
            <w:pPr>
              <w:ind w:left="113" w:right="113"/>
              <w:rPr>
                <w:rFonts w:ascii="Arial Narrow" w:hAnsi="Arial Narrow"/>
                <w:color w:val="000000"/>
                <w:sz w:val="20"/>
              </w:rPr>
            </w:pPr>
            <w:r w:rsidRPr="002168E2">
              <w:rPr>
                <w:rFonts w:ascii="Arial Narrow" w:hAnsi="Arial Narrow"/>
                <w:color w:val="000000"/>
                <w:sz w:val="20"/>
              </w:rPr>
              <w:t>Sargassum</w:t>
            </w:r>
          </w:p>
        </w:tc>
        <w:tc>
          <w:tcPr>
            <w:tcW w:w="709" w:type="dxa"/>
            <w:shd w:val="clear" w:color="auto" w:fill="F2F2F2" w:themeFill="background1" w:themeFillShade="F2"/>
            <w:tcMar>
              <w:left w:w="28" w:type="dxa"/>
              <w:right w:w="28" w:type="dxa"/>
            </w:tcMar>
            <w:textDirection w:val="btLr"/>
            <w:vAlign w:val="bottom"/>
          </w:tcPr>
          <w:p w14:paraId="06E615CF" w14:textId="77777777" w:rsidR="00BF3FC5" w:rsidRPr="002168E2" w:rsidRDefault="00BF3FC5" w:rsidP="003D66C3">
            <w:pPr>
              <w:ind w:left="113" w:right="113"/>
              <w:rPr>
                <w:rFonts w:ascii="Arial Narrow" w:hAnsi="Arial Narrow"/>
                <w:color w:val="000000"/>
                <w:sz w:val="20"/>
              </w:rPr>
            </w:pPr>
            <w:r w:rsidRPr="002168E2">
              <w:rPr>
                <w:rFonts w:ascii="Arial Narrow" w:hAnsi="Arial Narrow"/>
                <w:color w:val="000000"/>
                <w:sz w:val="20"/>
              </w:rPr>
              <w:t xml:space="preserve">Other </w:t>
            </w:r>
          </w:p>
        </w:tc>
      </w:tr>
      <w:tr w:rsidR="0088288C" w:rsidRPr="002168E2" w14:paraId="373B6F7E" w14:textId="77777777" w:rsidTr="00E56CF1">
        <w:trPr>
          <w:trHeight w:hRule="exact" w:val="312"/>
        </w:trPr>
        <w:tc>
          <w:tcPr>
            <w:tcW w:w="879" w:type="dxa"/>
            <w:vMerge w:val="restart"/>
            <w:textDirection w:val="btLr"/>
            <w:vAlign w:val="center"/>
          </w:tcPr>
          <w:p w14:paraId="6C68BD88" w14:textId="77777777" w:rsidR="00BF3FC5" w:rsidRPr="00C22707" w:rsidRDefault="00BF3FC5" w:rsidP="00E56CF1">
            <w:pPr>
              <w:ind w:left="113" w:right="113"/>
              <w:jc w:val="center"/>
              <w:rPr>
                <w:rFonts w:ascii="Arial Narrow" w:hAnsi="Arial Narrow"/>
                <w:color w:val="000000"/>
                <w:sz w:val="20"/>
              </w:rPr>
            </w:pPr>
            <w:r>
              <w:rPr>
                <w:rFonts w:ascii="Arial Narrow" w:hAnsi="Arial Narrow"/>
                <w:color w:val="000000"/>
                <w:sz w:val="20"/>
              </w:rPr>
              <w:t>Baron Daintree</w:t>
            </w:r>
          </w:p>
        </w:tc>
        <w:tc>
          <w:tcPr>
            <w:tcW w:w="1843" w:type="dxa"/>
            <w:vMerge w:val="restart"/>
            <w:tcMar>
              <w:left w:w="28" w:type="dxa"/>
              <w:right w:w="28" w:type="dxa"/>
            </w:tcMar>
            <w:vAlign w:val="center"/>
          </w:tcPr>
          <w:p w14:paraId="093C001F"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Snapper North</w:t>
            </w:r>
          </w:p>
        </w:tc>
        <w:tc>
          <w:tcPr>
            <w:tcW w:w="567" w:type="dxa"/>
            <w:tcMar>
              <w:left w:w="28" w:type="dxa"/>
              <w:right w:w="28" w:type="dxa"/>
            </w:tcMar>
            <w:vAlign w:val="center"/>
          </w:tcPr>
          <w:p w14:paraId="5DDD6686"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11B3048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0.42</w:t>
            </w:r>
          </w:p>
        </w:tc>
        <w:tc>
          <w:tcPr>
            <w:tcW w:w="709" w:type="dxa"/>
            <w:tcMar>
              <w:left w:w="28" w:type="dxa"/>
              <w:right w:w="28" w:type="dxa"/>
            </w:tcMar>
            <w:vAlign w:val="center"/>
          </w:tcPr>
          <w:p w14:paraId="1BC1DE2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w:t>
            </w:r>
          </w:p>
        </w:tc>
        <w:tc>
          <w:tcPr>
            <w:tcW w:w="709" w:type="dxa"/>
            <w:tcMar>
              <w:left w:w="28" w:type="dxa"/>
              <w:right w:w="28" w:type="dxa"/>
            </w:tcMar>
            <w:vAlign w:val="center"/>
          </w:tcPr>
          <w:p w14:paraId="7774449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8.71</w:t>
            </w:r>
          </w:p>
        </w:tc>
        <w:tc>
          <w:tcPr>
            <w:tcW w:w="709" w:type="dxa"/>
            <w:tcMar>
              <w:left w:w="28" w:type="dxa"/>
              <w:right w:w="28" w:type="dxa"/>
            </w:tcMar>
            <w:vAlign w:val="center"/>
          </w:tcPr>
          <w:p w14:paraId="427897E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10.2</w:t>
            </w:r>
          </w:p>
        </w:tc>
        <w:tc>
          <w:tcPr>
            <w:tcW w:w="708" w:type="dxa"/>
            <w:tcMar>
              <w:left w:w="28" w:type="dxa"/>
              <w:right w:w="28" w:type="dxa"/>
            </w:tcMar>
            <w:vAlign w:val="center"/>
          </w:tcPr>
          <w:p w14:paraId="2767FED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3.83</w:t>
            </w:r>
          </w:p>
        </w:tc>
        <w:tc>
          <w:tcPr>
            <w:tcW w:w="709" w:type="dxa"/>
            <w:tcMar>
              <w:left w:w="28" w:type="dxa"/>
              <w:right w:w="28" w:type="dxa"/>
            </w:tcMar>
            <w:vAlign w:val="center"/>
          </w:tcPr>
          <w:p w14:paraId="5BA83EF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0857BA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0.71</w:t>
            </w:r>
          </w:p>
        </w:tc>
        <w:tc>
          <w:tcPr>
            <w:tcW w:w="709" w:type="dxa"/>
            <w:tcMar>
              <w:left w:w="28" w:type="dxa"/>
              <w:right w:w="28" w:type="dxa"/>
            </w:tcMar>
            <w:vAlign w:val="center"/>
          </w:tcPr>
          <w:p w14:paraId="7BE5864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2.54</w:t>
            </w:r>
          </w:p>
        </w:tc>
        <w:tc>
          <w:tcPr>
            <w:tcW w:w="708" w:type="dxa"/>
            <w:tcMar>
              <w:left w:w="28" w:type="dxa"/>
              <w:right w:w="28" w:type="dxa"/>
            </w:tcMar>
            <w:vAlign w:val="center"/>
          </w:tcPr>
          <w:p w14:paraId="2F5DAFC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0.08</w:t>
            </w:r>
          </w:p>
        </w:tc>
        <w:tc>
          <w:tcPr>
            <w:tcW w:w="709" w:type="dxa"/>
            <w:tcMar>
              <w:left w:w="28" w:type="dxa"/>
              <w:right w:w="28" w:type="dxa"/>
            </w:tcMar>
            <w:vAlign w:val="center"/>
          </w:tcPr>
          <w:p w14:paraId="382E537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444F01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3BAB55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1.04</w:t>
            </w:r>
          </w:p>
        </w:tc>
        <w:tc>
          <w:tcPr>
            <w:tcW w:w="708" w:type="dxa"/>
            <w:tcMar>
              <w:left w:w="28" w:type="dxa"/>
              <w:right w:w="28" w:type="dxa"/>
            </w:tcMar>
            <w:vAlign w:val="center"/>
          </w:tcPr>
          <w:p w14:paraId="6CCB731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14.7</w:t>
            </w:r>
          </w:p>
        </w:tc>
        <w:tc>
          <w:tcPr>
            <w:tcW w:w="709" w:type="dxa"/>
            <w:tcMar>
              <w:left w:w="28" w:type="dxa"/>
              <w:right w:w="28" w:type="dxa"/>
            </w:tcMar>
            <w:vAlign w:val="center"/>
          </w:tcPr>
          <w:p w14:paraId="540A305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5EC3E8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326EC1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0.29</w:t>
            </w:r>
          </w:p>
        </w:tc>
      </w:tr>
      <w:tr w:rsidR="0088288C" w:rsidRPr="002168E2" w14:paraId="565AEA79" w14:textId="77777777" w:rsidTr="00E56CF1">
        <w:trPr>
          <w:trHeight w:hRule="exact" w:val="312"/>
        </w:trPr>
        <w:tc>
          <w:tcPr>
            <w:tcW w:w="879" w:type="dxa"/>
            <w:vMerge/>
            <w:vAlign w:val="center"/>
          </w:tcPr>
          <w:p w14:paraId="7E30FF79" w14:textId="77777777" w:rsidR="00BF3FC5" w:rsidRPr="00C22707" w:rsidRDefault="00BF3FC5" w:rsidP="00E56CF1">
            <w:pPr>
              <w:jc w:val="center"/>
              <w:rPr>
                <w:rFonts w:ascii="Arial Narrow" w:hAnsi="Arial Narrow"/>
                <w:color w:val="000000"/>
                <w:sz w:val="20"/>
              </w:rPr>
            </w:pPr>
          </w:p>
        </w:tc>
        <w:tc>
          <w:tcPr>
            <w:tcW w:w="1843" w:type="dxa"/>
            <w:vMerge/>
            <w:tcMar>
              <w:left w:w="28" w:type="dxa"/>
              <w:right w:w="28" w:type="dxa"/>
            </w:tcMar>
            <w:vAlign w:val="center"/>
          </w:tcPr>
          <w:p w14:paraId="38C5C8D5" w14:textId="77777777" w:rsidR="00BF3FC5" w:rsidRPr="00C22707" w:rsidRDefault="00BF3FC5" w:rsidP="00284F17">
            <w:pPr>
              <w:jc w:val="left"/>
              <w:rPr>
                <w:rFonts w:ascii="Arial Narrow" w:hAnsi="Arial Narrow"/>
                <w:color w:val="000000"/>
                <w:sz w:val="20"/>
              </w:rPr>
            </w:pPr>
          </w:p>
        </w:tc>
        <w:tc>
          <w:tcPr>
            <w:tcW w:w="567" w:type="dxa"/>
            <w:tcMar>
              <w:left w:w="28" w:type="dxa"/>
              <w:right w:w="28" w:type="dxa"/>
            </w:tcMar>
            <w:vAlign w:val="center"/>
          </w:tcPr>
          <w:p w14:paraId="16B6613B"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6DBCE3B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278775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6286FD5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6FB1463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8" w:type="dxa"/>
            <w:tcMar>
              <w:left w:w="28" w:type="dxa"/>
              <w:right w:w="28" w:type="dxa"/>
            </w:tcMar>
            <w:vAlign w:val="center"/>
          </w:tcPr>
          <w:p w14:paraId="7EE0E1B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143FE2A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1E6EAE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2CF39C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8" w:type="dxa"/>
            <w:tcMar>
              <w:left w:w="28" w:type="dxa"/>
              <w:right w:w="28" w:type="dxa"/>
            </w:tcMar>
            <w:vAlign w:val="center"/>
          </w:tcPr>
          <w:p w14:paraId="22E92DD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69045B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7CEF7D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A079B3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8" w:type="dxa"/>
            <w:tcMar>
              <w:left w:w="28" w:type="dxa"/>
              <w:right w:w="28" w:type="dxa"/>
            </w:tcMar>
            <w:vAlign w:val="center"/>
          </w:tcPr>
          <w:p w14:paraId="40DAAD8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5</w:t>
            </w:r>
          </w:p>
        </w:tc>
        <w:tc>
          <w:tcPr>
            <w:tcW w:w="709" w:type="dxa"/>
            <w:tcMar>
              <w:left w:w="28" w:type="dxa"/>
              <w:right w:w="28" w:type="dxa"/>
            </w:tcMar>
            <w:vAlign w:val="center"/>
          </w:tcPr>
          <w:p w14:paraId="2040DDE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38CCA8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B430D1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0.19</w:t>
            </w:r>
          </w:p>
        </w:tc>
      </w:tr>
      <w:tr w:rsidR="0088288C" w:rsidRPr="002168E2" w14:paraId="1E88885F" w14:textId="77777777" w:rsidTr="00E56CF1">
        <w:trPr>
          <w:trHeight w:hRule="exact" w:val="312"/>
        </w:trPr>
        <w:tc>
          <w:tcPr>
            <w:tcW w:w="879" w:type="dxa"/>
            <w:vMerge/>
            <w:vAlign w:val="center"/>
          </w:tcPr>
          <w:p w14:paraId="78E2152C" w14:textId="77777777" w:rsidR="00BF3FC5" w:rsidRPr="00C22707" w:rsidRDefault="00BF3FC5" w:rsidP="00E56CF1">
            <w:pPr>
              <w:jc w:val="center"/>
              <w:rPr>
                <w:rFonts w:ascii="Arial Narrow" w:hAnsi="Arial Narrow"/>
                <w:color w:val="000000"/>
                <w:sz w:val="20"/>
              </w:rPr>
            </w:pPr>
          </w:p>
        </w:tc>
        <w:tc>
          <w:tcPr>
            <w:tcW w:w="1843" w:type="dxa"/>
            <w:vMerge w:val="restart"/>
            <w:tcMar>
              <w:left w:w="28" w:type="dxa"/>
              <w:right w:w="28" w:type="dxa"/>
            </w:tcMar>
            <w:vAlign w:val="center"/>
          </w:tcPr>
          <w:p w14:paraId="1453246F"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Snapper South</w:t>
            </w:r>
          </w:p>
        </w:tc>
        <w:tc>
          <w:tcPr>
            <w:tcW w:w="567" w:type="dxa"/>
            <w:tcMar>
              <w:left w:w="28" w:type="dxa"/>
              <w:right w:w="28" w:type="dxa"/>
            </w:tcMar>
            <w:vAlign w:val="center"/>
          </w:tcPr>
          <w:p w14:paraId="54A97C15"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050A0F9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0.33</w:t>
            </w:r>
          </w:p>
        </w:tc>
        <w:tc>
          <w:tcPr>
            <w:tcW w:w="709" w:type="dxa"/>
            <w:tcMar>
              <w:left w:w="28" w:type="dxa"/>
              <w:right w:w="28" w:type="dxa"/>
            </w:tcMar>
            <w:vAlign w:val="center"/>
          </w:tcPr>
          <w:p w14:paraId="6E04E52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CD7E61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0.29</w:t>
            </w:r>
          </w:p>
        </w:tc>
        <w:tc>
          <w:tcPr>
            <w:tcW w:w="709" w:type="dxa"/>
            <w:tcMar>
              <w:left w:w="28" w:type="dxa"/>
              <w:right w:w="28" w:type="dxa"/>
            </w:tcMar>
            <w:vAlign w:val="center"/>
          </w:tcPr>
          <w:p w14:paraId="11A2701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1FB338F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0.75</w:t>
            </w:r>
          </w:p>
        </w:tc>
        <w:tc>
          <w:tcPr>
            <w:tcW w:w="709" w:type="dxa"/>
            <w:tcMar>
              <w:left w:w="28" w:type="dxa"/>
              <w:right w:w="28" w:type="dxa"/>
            </w:tcMar>
            <w:vAlign w:val="center"/>
          </w:tcPr>
          <w:p w14:paraId="399D12F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9ECEF7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1AB4D0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53B699C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1F361C9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9F2C62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1A7EFE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52AC2E6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0.04</w:t>
            </w:r>
          </w:p>
        </w:tc>
        <w:tc>
          <w:tcPr>
            <w:tcW w:w="709" w:type="dxa"/>
            <w:tcMar>
              <w:left w:w="28" w:type="dxa"/>
              <w:right w:w="28" w:type="dxa"/>
            </w:tcMar>
            <w:vAlign w:val="center"/>
          </w:tcPr>
          <w:p w14:paraId="327C7D5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CE0F8E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DB9734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49E67202" w14:textId="77777777" w:rsidTr="00E56CF1">
        <w:trPr>
          <w:trHeight w:hRule="exact" w:val="312"/>
        </w:trPr>
        <w:tc>
          <w:tcPr>
            <w:tcW w:w="879" w:type="dxa"/>
            <w:vMerge/>
            <w:vAlign w:val="center"/>
          </w:tcPr>
          <w:p w14:paraId="76E4579C" w14:textId="77777777" w:rsidR="00BF3FC5" w:rsidRPr="00C22707" w:rsidRDefault="00BF3FC5" w:rsidP="00E56CF1">
            <w:pPr>
              <w:jc w:val="center"/>
              <w:rPr>
                <w:rFonts w:ascii="Arial Narrow" w:hAnsi="Arial Narrow"/>
                <w:color w:val="000000"/>
                <w:sz w:val="20"/>
              </w:rPr>
            </w:pPr>
          </w:p>
        </w:tc>
        <w:tc>
          <w:tcPr>
            <w:tcW w:w="1843" w:type="dxa"/>
            <w:vMerge/>
            <w:tcMar>
              <w:left w:w="28" w:type="dxa"/>
              <w:right w:w="28" w:type="dxa"/>
            </w:tcMar>
            <w:vAlign w:val="center"/>
          </w:tcPr>
          <w:p w14:paraId="3101F73B" w14:textId="77777777" w:rsidR="00BF3FC5" w:rsidRPr="00C22707" w:rsidRDefault="00BF3FC5" w:rsidP="00284F17">
            <w:pPr>
              <w:jc w:val="left"/>
              <w:rPr>
                <w:rFonts w:ascii="Arial Narrow" w:hAnsi="Arial Narrow"/>
                <w:color w:val="000000"/>
                <w:sz w:val="20"/>
              </w:rPr>
            </w:pPr>
          </w:p>
        </w:tc>
        <w:tc>
          <w:tcPr>
            <w:tcW w:w="567" w:type="dxa"/>
            <w:tcMar>
              <w:left w:w="28" w:type="dxa"/>
              <w:right w:w="28" w:type="dxa"/>
            </w:tcMar>
            <w:vAlign w:val="center"/>
          </w:tcPr>
          <w:p w14:paraId="33765A24"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5E6CEA6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3.38</w:t>
            </w:r>
          </w:p>
        </w:tc>
        <w:tc>
          <w:tcPr>
            <w:tcW w:w="709" w:type="dxa"/>
            <w:tcMar>
              <w:left w:w="28" w:type="dxa"/>
              <w:right w:w="28" w:type="dxa"/>
            </w:tcMar>
            <w:vAlign w:val="center"/>
          </w:tcPr>
          <w:p w14:paraId="1369244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0.38</w:t>
            </w:r>
          </w:p>
        </w:tc>
        <w:tc>
          <w:tcPr>
            <w:tcW w:w="709" w:type="dxa"/>
            <w:tcMar>
              <w:left w:w="28" w:type="dxa"/>
              <w:right w:w="28" w:type="dxa"/>
            </w:tcMar>
            <w:vAlign w:val="center"/>
          </w:tcPr>
          <w:p w14:paraId="43A237E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0.81</w:t>
            </w:r>
          </w:p>
        </w:tc>
        <w:tc>
          <w:tcPr>
            <w:tcW w:w="709" w:type="dxa"/>
            <w:tcMar>
              <w:left w:w="28" w:type="dxa"/>
              <w:right w:w="28" w:type="dxa"/>
            </w:tcMar>
            <w:vAlign w:val="center"/>
          </w:tcPr>
          <w:p w14:paraId="4147468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66A5A7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3.69</w:t>
            </w:r>
          </w:p>
        </w:tc>
        <w:tc>
          <w:tcPr>
            <w:tcW w:w="709" w:type="dxa"/>
            <w:tcMar>
              <w:left w:w="28" w:type="dxa"/>
              <w:right w:w="28" w:type="dxa"/>
            </w:tcMar>
            <w:vAlign w:val="center"/>
          </w:tcPr>
          <w:p w14:paraId="191CD5B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23F31C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D64B15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2AF577C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2602191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98864F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097002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7BED7B2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1.13</w:t>
            </w:r>
          </w:p>
        </w:tc>
        <w:tc>
          <w:tcPr>
            <w:tcW w:w="709" w:type="dxa"/>
            <w:tcMar>
              <w:left w:w="28" w:type="dxa"/>
              <w:right w:w="28" w:type="dxa"/>
            </w:tcMar>
            <w:vAlign w:val="center"/>
          </w:tcPr>
          <w:p w14:paraId="609AA71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80802A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659B0F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1B1702A5" w14:textId="77777777" w:rsidTr="00E56CF1">
        <w:trPr>
          <w:trHeight w:hRule="exact" w:val="312"/>
        </w:trPr>
        <w:tc>
          <w:tcPr>
            <w:tcW w:w="879" w:type="dxa"/>
            <w:vMerge/>
            <w:tcBorders>
              <w:bottom w:val="single" w:sz="4" w:space="0" w:color="auto"/>
            </w:tcBorders>
            <w:vAlign w:val="center"/>
          </w:tcPr>
          <w:p w14:paraId="28B089C0" w14:textId="77777777" w:rsidR="00BF3FC5" w:rsidRPr="00C22707" w:rsidRDefault="00BF3FC5" w:rsidP="00E56CF1">
            <w:pPr>
              <w:jc w:val="center"/>
              <w:rPr>
                <w:rFonts w:ascii="Arial Narrow" w:hAnsi="Arial Narrow"/>
                <w:color w:val="000000"/>
                <w:sz w:val="20"/>
              </w:rPr>
            </w:pPr>
          </w:p>
        </w:tc>
        <w:tc>
          <w:tcPr>
            <w:tcW w:w="1843" w:type="dxa"/>
            <w:tcMar>
              <w:left w:w="28" w:type="dxa"/>
              <w:right w:w="28" w:type="dxa"/>
            </w:tcMar>
            <w:vAlign w:val="center"/>
          </w:tcPr>
          <w:p w14:paraId="17A1481E"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Low Isles</w:t>
            </w:r>
          </w:p>
        </w:tc>
        <w:tc>
          <w:tcPr>
            <w:tcW w:w="567" w:type="dxa"/>
            <w:tcMar>
              <w:left w:w="28" w:type="dxa"/>
              <w:right w:w="28" w:type="dxa"/>
            </w:tcMar>
            <w:vAlign w:val="center"/>
          </w:tcPr>
          <w:p w14:paraId="215877AC"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59F3D3F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0.07</w:t>
            </w:r>
          </w:p>
        </w:tc>
        <w:tc>
          <w:tcPr>
            <w:tcW w:w="709" w:type="dxa"/>
            <w:tcMar>
              <w:left w:w="28" w:type="dxa"/>
              <w:right w:w="28" w:type="dxa"/>
            </w:tcMar>
            <w:vAlign w:val="center"/>
          </w:tcPr>
          <w:p w14:paraId="7A181D7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A307EC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17BA86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7FF9302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0.43</w:t>
            </w:r>
          </w:p>
        </w:tc>
        <w:tc>
          <w:tcPr>
            <w:tcW w:w="709" w:type="dxa"/>
            <w:tcMar>
              <w:left w:w="28" w:type="dxa"/>
              <w:right w:w="28" w:type="dxa"/>
            </w:tcMar>
            <w:vAlign w:val="center"/>
          </w:tcPr>
          <w:p w14:paraId="15B9C1E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250B00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C7DF91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47C9236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0.07</w:t>
            </w:r>
          </w:p>
        </w:tc>
        <w:tc>
          <w:tcPr>
            <w:tcW w:w="709" w:type="dxa"/>
            <w:tcMar>
              <w:left w:w="28" w:type="dxa"/>
              <w:right w:w="28" w:type="dxa"/>
            </w:tcMar>
            <w:vAlign w:val="center"/>
          </w:tcPr>
          <w:p w14:paraId="0A5FBD3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5EA096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E77468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50DA676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5BE1F5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9C4C0D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C26E47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r>
      <w:tr w:rsidR="0088288C" w:rsidRPr="002168E2" w14:paraId="0EFB9981" w14:textId="77777777" w:rsidTr="00E56CF1">
        <w:trPr>
          <w:trHeight w:hRule="exact" w:val="312"/>
        </w:trPr>
        <w:tc>
          <w:tcPr>
            <w:tcW w:w="879" w:type="dxa"/>
            <w:vMerge w:val="restart"/>
            <w:textDirection w:val="btLr"/>
            <w:vAlign w:val="center"/>
          </w:tcPr>
          <w:p w14:paraId="5CCD38E0" w14:textId="77777777" w:rsidR="00BF3FC5" w:rsidRPr="00C22707" w:rsidRDefault="00BF3FC5" w:rsidP="00E56CF1">
            <w:pPr>
              <w:ind w:left="113" w:right="113"/>
              <w:jc w:val="center"/>
              <w:rPr>
                <w:rFonts w:ascii="Arial Narrow" w:hAnsi="Arial Narrow"/>
                <w:color w:val="000000"/>
                <w:sz w:val="20"/>
              </w:rPr>
            </w:pPr>
            <w:r>
              <w:rPr>
                <w:rFonts w:ascii="Arial Narrow" w:hAnsi="Arial Narrow"/>
                <w:color w:val="000000"/>
                <w:sz w:val="20"/>
              </w:rPr>
              <w:t>Johnstone Russel-Mulgrave</w:t>
            </w:r>
          </w:p>
        </w:tc>
        <w:tc>
          <w:tcPr>
            <w:tcW w:w="1843" w:type="dxa"/>
            <w:vMerge w:val="restart"/>
            <w:tcMar>
              <w:left w:w="28" w:type="dxa"/>
              <w:right w:w="28" w:type="dxa"/>
            </w:tcMar>
            <w:vAlign w:val="center"/>
          </w:tcPr>
          <w:p w14:paraId="480BC769"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Fitzroy East</w:t>
            </w:r>
          </w:p>
        </w:tc>
        <w:tc>
          <w:tcPr>
            <w:tcW w:w="567" w:type="dxa"/>
            <w:tcMar>
              <w:left w:w="28" w:type="dxa"/>
              <w:right w:w="28" w:type="dxa"/>
            </w:tcMar>
            <w:vAlign w:val="center"/>
          </w:tcPr>
          <w:p w14:paraId="06EDDF6A"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6EA097E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1F18F0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B08EC4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05CB5A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FB2D14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0.38</w:t>
            </w:r>
          </w:p>
        </w:tc>
        <w:tc>
          <w:tcPr>
            <w:tcW w:w="709" w:type="dxa"/>
            <w:tcMar>
              <w:left w:w="28" w:type="dxa"/>
              <w:right w:w="28" w:type="dxa"/>
            </w:tcMar>
            <w:vAlign w:val="center"/>
          </w:tcPr>
          <w:p w14:paraId="3A12FD9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59836B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3B77092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0A709B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032D791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28A601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195F15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40582E9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1FFBAC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AAD31D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15E053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1CD072CB" w14:textId="77777777" w:rsidTr="0088288C">
        <w:trPr>
          <w:trHeight w:hRule="exact" w:val="312"/>
        </w:trPr>
        <w:tc>
          <w:tcPr>
            <w:tcW w:w="879" w:type="dxa"/>
            <w:vMerge/>
          </w:tcPr>
          <w:p w14:paraId="653CA102" w14:textId="77777777" w:rsidR="00BF3FC5" w:rsidRPr="00C22707" w:rsidRDefault="00BF3FC5" w:rsidP="002168E2">
            <w:pPr>
              <w:jc w:val="center"/>
              <w:rPr>
                <w:rFonts w:ascii="Arial Narrow" w:hAnsi="Arial Narrow"/>
                <w:color w:val="000000"/>
                <w:sz w:val="20"/>
              </w:rPr>
            </w:pPr>
          </w:p>
        </w:tc>
        <w:tc>
          <w:tcPr>
            <w:tcW w:w="1843" w:type="dxa"/>
            <w:vMerge/>
            <w:tcMar>
              <w:left w:w="28" w:type="dxa"/>
              <w:right w:w="28" w:type="dxa"/>
            </w:tcMar>
            <w:vAlign w:val="center"/>
          </w:tcPr>
          <w:p w14:paraId="61F9C971" w14:textId="77777777" w:rsidR="00BF3FC5" w:rsidRPr="00C22707" w:rsidRDefault="00BF3FC5" w:rsidP="00284F17">
            <w:pPr>
              <w:jc w:val="left"/>
              <w:rPr>
                <w:rFonts w:ascii="Arial Narrow" w:hAnsi="Arial Narrow"/>
                <w:color w:val="000000"/>
                <w:sz w:val="20"/>
              </w:rPr>
            </w:pPr>
          </w:p>
        </w:tc>
        <w:tc>
          <w:tcPr>
            <w:tcW w:w="567" w:type="dxa"/>
            <w:tcMar>
              <w:left w:w="28" w:type="dxa"/>
              <w:right w:w="28" w:type="dxa"/>
            </w:tcMar>
            <w:vAlign w:val="center"/>
          </w:tcPr>
          <w:p w14:paraId="46B1D203"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2ED28E6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EAD48E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tcMar>
              <w:left w:w="28" w:type="dxa"/>
              <w:right w:w="28" w:type="dxa"/>
            </w:tcMar>
            <w:vAlign w:val="center"/>
          </w:tcPr>
          <w:p w14:paraId="38D19C3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C62672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461B60F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0.38</w:t>
            </w:r>
          </w:p>
        </w:tc>
        <w:tc>
          <w:tcPr>
            <w:tcW w:w="709" w:type="dxa"/>
            <w:tcMar>
              <w:left w:w="28" w:type="dxa"/>
              <w:right w:w="28" w:type="dxa"/>
            </w:tcMar>
            <w:vAlign w:val="center"/>
          </w:tcPr>
          <w:p w14:paraId="2362AC0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B6D93E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5CEFFB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01342B2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96848B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0B979C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680C30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34C7665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0AE26A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40D584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EFFF7C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263CC014" w14:textId="77777777" w:rsidTr="0088288C">
        <w:trPr>
          <w:trHeight w:hRule="exact" w:val="312"/>
        </w:trPr>
        <w:tc>
          <w:tcPr>
            <w:tcW w:w="879" w:type="dxa"/>
            <w:vMerge/>
          </w:tcPr>
          <w:p w14:paraId="03D09AC2" w14:textId="77777777" w:rsidR="00BF3FC5" w:rsidRPr="00C22707" w:rsidRDefault="00BF3FC5" w:rsidP="002168E2">
            <w:pPr>
              <w:jc w:val="center"/>
              <w:rPr>
                <w:rFonts w:ascii="Arial Narrow" w:hAnsi="Arial Narrow"/>
                <w:color w:val="000000"/>
                <w:sz w:val="20"/>
              </w:rPr>
            </w:pPr>
          </w:p>
        </w:tc>
        <w:tc>
          <w:tcPr>
            <w:tcW w:w="1843" w:type="dxa"/>
            <w:vMerge w:val="restart"/>
            <w:tcMar>
              <w:left w:w="28" w:type="dxa"/>
              <w:right w:w="28" w:type="dxa"/>
            </w:tcMar>
            <w:vAlign w:val="center"/>
          </w:tcPr>
          <w:p w14:paraId="74CDC31D"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Fitzroy West</w:t>
            </w:r>
          </w:p>
        </w:tc>
        <w:tc>
          <w:tcPr>
            <w:tcW w:w="567" w:type="dxa"/>
            <w:tcMar>
              <w:left w:w="28" w:type="dxa"/>
              <w:right w:w="28" w:type="dxa"/>
            </w:tcMar>
            <w:vAlign w:val="center"/>
          </w:tcPr>
          <w:p w14:paraId="14C32A0C"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1E30C13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4F72017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63AE6CC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58FB32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4D8ED7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711A78D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F9BD4E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3843B6A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0.31</w:t>
            </w:r>
          </w:p>
        </w:tc>
        <w:tc>
          <w:tcPr>
            <w:tcW w:w="708" w:type="dxa"/>
            <w:tcMar>
              <w:left w:w="28" w:type="dxa"/>
              <w:right w:w="28" w:type="dxa"/>
            </w:tcMar>
            <w:vAlign w:val="center"/>
          </w:tcPr>
          <w:p w14:paraId="18C2ED8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0.38</w:t>
            </w:r>
          </w:p>
        </w:tc>
        <w:tc>
          <w:tcPr>
            <w:tcW w:w="709" w:type="dxa"/>
            <w:tcMar>
              <w:left w:w="28" w:type="dxa"/>
              <w:right w:w="28" w:type="dxa"/>
            </w:tcMar>
            <w:vAlign w:val="center"/>
          </w:tcPr>
          <w:p w14:paraId="091E104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16275C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94CA61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2C8D6C1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877B79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3CB1FE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292D68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39CDCDCC" w14:textId="77777777" w:rsidTr="0088288C">
        <w:trPr>
          <w:trHeight w:hRule="exact" w:val="312"/>
        </w:trPr>
        <w:tc>
          <w:tcPr>
            <w:tcW w:w="879" w:type="dxa"/>
            <w:vMerge/>
          </w:tcPr>
          <w:p w14:paraId="03A17A3D" w14:textId="77777777" w:rsidR="00BF3FC5" w:rsidRPr="00C22707" w:rsidRDefault="00BF3FC5" w:rsidP="002168E2">
            <w:pPr>
              <w:jc w:val="center"/>
              <w:rPr>
                <w:rFonts w:ascii="Arial Narrow" w:hAnsi="Arial Narrow"/>
                <w:color w:val="000000"/>
                <w:sz w:val="20"/>
              </w:rPr>
            </w:pPr>
          </w:p>
        </w:tc>
        <w:tc>
          <w:tcPr>
            <w:tcW w:w="1843" w:type="dxa"/>
            <w:vMerge/>
            <w:tcBorders>
              <w:bottom w:val="single" w:sz="4" w:space="0" w:color="auto"/>
            </w:tcBorders>
            <w:tcMar>
              <w:left w:w="28" w:type="dxa"/>
              <w:right w:w="28" w:type="dxa"/>
            </w:tcMar>
            <w:vAlign w:val="center"/>
          </w:tcPr>
          <w:p w14:paraId="64DB27C3" w14:textId="77777777" w:rsidR="00BF3FC5" w:rsidRPr="00C22707" w:rsidRDefault="00BF3FC5" w:rsidP="00284F17">
            <w:pPr>
              <w:jc w:val="left"/>
              <w:rPr>
                <w:rFonts w:ascii="Arial Narrow" w:hAnsi="Arial Narrow"/>
                <w:color w:val="000000"/>
                <w:sz w:val="20"/>
              </w:rPr>
            </w:pPr>
          </w:p>
        </w:tc>
        <w:tc>
          <w:tcPr>
            <w:tcW w:w="567" w:type="dxa"/>
            <w:tcBorders>
              <w:bottom w:val="single" w:sz="4" w:space="0" w:color="auto"/>
            </w:tcBorders>
            <w:tcMar>
              <w:left w:w="28" w:type="dxa"/>
              <w:right w:w="28" w:type="dxa"/>
            </w:tcMar>
            <w:vAlign w:val="center"/>
          </w:tcPr>
          <w:p w14:paraId="4691471F"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Borders>
              <w:bottom w:val="single" w:sz="4" w:space="0" w:color="auto"/>
            </w:tcBorders>
            <w:tcMar>
              <w:left w:w="28" w:type="dxa"/>
              <w:right w:w="28" w:type="dxa"/>
            </w:tcMar>
            <w:vAlign w:val="center"/>
          </w:tcPr>
          <w:p w14:paraId="4E623D9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Borders>
              <w:bottom w:val="single" w:sz="4" w:space="0" w:color="auto"/>
            </w:tcBorders>
            <w:tcMar>
              <w:left w:w="28" w:type="dxa"/>
              <w:right w:w="28" w:type="dxa"/>
            </w:tcMar>
            <w:vAlign w:val="center"/>
          </w:tcPr>
          <w:p w14:paraId="29E18EB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4D2CD98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4CA2AC3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bottom w:val="single" w:sz="4" w:space="0" w:color="auto"/>
            </w:tcBorders>
            <w:tcMar>
              <w:left w:w="28" w:type="dxa"/>
              <w:right w:w="28" w:type="dxa"/>
            </w:tcMar>
            <w:vAlign w:val="center"/>
          </w:tcPr>
          <w:p w14:paraId="17B6C54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Borders>
              <w:bottom w:val="single" w:sz="4" w:space="0" w:color="auto"/>
            </w:tcBorders>
            <w:tcMar>
              <w:left w:w="28" w:type="dxa"/>
              <w:right w:w="28" w:type="dxa"/>
            </w:tcMar>
            <w:vAlign w:val="center"/>
          </w:tcPr>
          <w:p w14:paraId="59BC01B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1C9A0AF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5CA4796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8" w:type="dxa"/>
            <w:tcBorders>
              <w:bottom w:val="single" w:sz="4" w:space="0" w:color="auto"/>
            </w:tcBorders>
            <w:tcMar>
              <w:left w:w="28" w:type="dxa"/>
              <w:right w:w="28" w:type="dxa"/>
            </w:tcMar>
            <w:vAlign w:val="center"/>
          </w:tcPr>
          <w:p w14:paraId="2CD1668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Borders>
              <w:bottom w:val="single" w:sz="4" w:space="0" w:color="auto"/>
            </w:tcBorders>
            <w:tcMar>
              <w:left w:w="28" w:type="dxa"/>
              <w:right w:w="28" w:type="dxa"/>
            </w:tcMar>
            <w:vAlign w:val="center"/>
          </w:tcPr>
          <w:p w14:paraId="78578FF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523B4D7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48180B4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bottom w:val="single" w:sz="4" w:space="0" w:color="auto"/>
            </w:tcBorders>
            <w:tcMar>
              <w:left w:w="28" w:type="dxa"/>
              <w:right w:w="28" w:type="dxa"/>
            </w:tcMar>
            <w:vAlign w:val="center"/>
          </w:tcPr>
          <w:p w14:paraId="5D7560F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7B16743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Borders>
              <w:bottom w:val="single" w:sz="4" w:space="0" w:color="auto"/>
            </w:tcBorders>
            <w:tcMar>
              <w:left w:w="28" w:type="dxa"/>
              <w:right w:w="28" w:type="dxa"/>
            </w:tcMar>
            <w:vAlign w:val="center"/>
          </w:tcPr>
          <w:p w14:paraId="2776606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035D9FF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7DF7A12E" w14:textId="77777777" w:rsidTr="0088288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hRule="exact" w:val="312"/>
        </w:trPr>
        <w:tc>
          <w:tcPr>
            <w:tcW w:w="879" w:type="dxa"/>
            <w:vMerge/>
            <w:tcBorders>
              <w:top w:val="single" w:sz="4" w:space="0" w:color="auto"/>
              <w:left w:val="single" w:sz="4" w:space="0" w:color="auto"/>
              <w:bottom w:val="single" w:sz="4" w:space="0" w:color="auto"/>
              <w:right w:val="single" w:sz="4" w:space="0" w:color="auto"/>
            </w:tcBorders>
          </w:tcPr>
          <w:p w14:paraId="275CDE82" w14:textId="77777777" w:rsidR="00BF3FC5" w:rsidRPr="00C22707" w:rsidRDefault="00BF3FC5" w:rsidP="002168E2">
            <w:pPr>
              <w:jc w:val="center"/>
              <w:rPr>
                <w:rFonts w:ascii="Arial Narrow" w:hAnsi="Arial Narrow"/>
                <w:color w:val="000000"/>
                <w:sz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30D0DB13"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Fitzroy West LTMP</w:t>
            </w:r>
          </w:p>
        </w:tc>
        <w:tc>
          <w:tcPr>
            <w:tcW w:w="567" w:type="dxa"/>
            <w:tcBorders>
              <w:top w:val="single" w:sz="4" w:space="0" w:color="auto"/>
              <w:left w:val="single" w:sz="4" w:space="0" w:color="auto"/>
              <w:bottom w:val="single" w:sz="4" w:space="0" w:color="auto"/>
              <w:right w:val="single" w:sz="4" w:space="0" w:color="auto"/>
            </w:tcBorders>
            <w:vAlign w:val="center"/>
          </w:tcPr>
          <w:p w14:paraId="57712412"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Borders>
              <w:top w:val="single" w:sz="4" w:space="0" w:color="auto"/>
              <w:left w:val="single" w:sz="4" w:space="0" w:color="auto"/>
              <w:bottom w:val="single" w:sz="4" w:space="0" w:color="auto"/>
              <w:right w:val="single" w:sz="4" w:space="0" w:color="auto"/>
            </w:tcBorders>
            <w:vAlign w:val="center"/>
          </w:tcPr>
          <w:p w14:paraId="2A819AE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4920A45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0.03</w:t>
            </w:r>
          </w:p>
        </w:tc>
        <w:tc>
          <w:tcPr>
            <w:tcW w:w="709" w:type="dxa"/>
            <w:tcBorders>
              <w:top w:val="single" w:sz="4" w:space="0" w:color="auto"/>
              <w:left w:val="single" w:sz="4" w:space="0" w:color="auto"/>
              <w:bottom w:val="single" w:sz="4" w:space="0" w:color="auto"/>
              <w:right w:val="single" w:sz="4" w:space="0" w:color="auto"/>
            </w:tcBorders>
            <w:vAlign w:val="center"/>
          </w:tcPr>
          <w:p w14:paraId="044DE40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3B3146B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top w:val="single" w:sz="4" w:space="0" w:color="auto"/>
              <w:left w:val="single" w:sz="4" w:space="0" w:color="auto"/>
              <w:bottom w:val="single" w:sz="4" w:space="0" w:color="auto"/>
              <w:right w:val="single" w:sz="4" w:space="0" w:color="auto"/>
            </w:tcBorders>
            <w:vAlign w:val="center"/>
          </w:tcPr>
          <w:p w14:paraId="6C71DAF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0.17</w:t>
            </w:r>
          </w:p>
        </w:tc>
        <w:tc>
          <w:tcPr>
            <w:tcW w:w="709" w:type="dxa"/>
            <w:tcBorders>
              <w:top w:val="single" w:sz="4" w:space="0" w:color="auto"/>
              <w:left w:val="single" w:sz="4" w:space="0" w:color="auto"/>
              <w:bottom w:val="single" w:sz="4" w:space="0" w:color="auto"/>
              <w:right w:val="single" w:sz="4" w:space="0" w:color="auto"/>
            </w:tcBorders>
            <w:vAlign w:val="center"/>
          </w:tcPr>
          <w:p w14:paraId="66E996A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2A44B68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291AD4D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top w:val="single" w:sz="4" w:space="0" w:color="auto"/>
              <w:left w:val="single" w:sz="4" w:space="0" w:color="auto"/>
              <w:bottom w:val="single" w:sz="4" w:space="0" w:color="auto"/>
              <w:right w:val="single" w:sz="4" w:space="0" w:color="auto"/>
            </w:tcBorders>
            <w:vAlign w:val="center"/>
          </w:tcPr>
          <w:p w14:paraId="05645C1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0.03</w:t>
            </w:r>
          </w:p>
        </w:tc>
        <w:tc>
          <w:tcPr>
            <w:tcW w:w="709" w:type="dxa"/>
            <w:tcBorders>
              <w:top w:val="single" w:sz="4" w:space="0" w:color="auto"/>
              <w:left w:val="single" w:sz="4" w:space="0" w:color="auto"/>
              <w:bottom w:val="single" w:sz="4" w:space="0" w:color="auto"/>
              <w:right w:val="single" w:sz="4" w:space="0" w:color="auto"/>
            </w:tcBorders>
            <w:vAlign w:val="center"/>
          </w:tcPr>
          <w:p w14:paraId="762D3D8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409E9B8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1FC1F73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top w:val="single" w:sz="4" w:space="0" w:color="auto"/>
              <w:left w:val="single" w:sz="4" w:space="0" w:color="auto"/>
              <w:bottom w:val="single" w:sz="4" w:space="0" w:color="auto"/>
              <w:right w:val="single" w:sz="4" w:space="0" w:color="auto"/>
            </w:tcBorders>
            <w:vAlign w:val="center"/>
          </w:tcPr>
          <w:p w14:paraId="6F34E88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5BC9085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4A52ADB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60DF9F8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0.17</w:t>
            </w:r>
          </w:p>
        </w:tc>
      </w:tr>
      <w:tr w:rsidR="0088288C" w:rsidRPr="002168E2" w14:paraId="1CAEE35F" w14:textId="77777777" w:rsidTr="0088288C">
        <w:trPr>
          <w:trHeight w:hRule="exact" w:val="312"/>
        </w:trPr>
        <w:tc>
          <w:tcPr>
            <w:tcW w:w="879" w:type="dxa"/>
            <w:vMerge/>
          </w:tcPr>
          <w:p w14:paraId="1FEF692F" w14:textId="77777777" w:rsidR="00BF3FC5" w:rsidRPr="00C22707" w:rsidRDefault="00BF3FC5" w:rsidP="002168E2">
            <w:pPr>
              <w:jc w:val="center"/>
              <w:rPr>
                <w:rFonts w:ascii="Arial Narrow" w:hAnsi="Arial Narrow"/>
                <w:color w:val="000000"/>
                <w:sz w:val="20"/>
              </w:rPr>
            </w:pPr>
          </w:p>
        </w:tc>
        <w:tc>
          <w:tcPr>
            <w:tcW w:w="1843" w:type="dxa"/>
            <w:vMerge w:val="restart"/>
            <w:tcBorders>
              <w:top w:val="single" w:sz="4" w:space="0" w:color="auto"/>
            </w:tcBorders>
            <w:tcMar>
              <w:left w:w="28" w:type="dxa"/>
              <w:right w:w="28" w:type="dxa"/>
            </w:tcMar>
            <w:vAlign w:val="center"/>
          </w:tcPr>
          <w:p w14:paraId="3EA2F323"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Franklands East</w:t>
            </w:r>
          </w:p>
        </w:tc>
        <w:tc>
          <w:tcPr>
            <w:tcW w:w="567" w:type="dxa"/>
            <w:tcBorders>
              <w:top w:val="single" w:sz="4" w:space="0" w:color="auto"/>
            </w:tcBorders>
            <w:tcMar>
              <w:left w:w="28" w:type="dxa"/>
              <w:right w:w="28" w:type="dxa"/>
            </w:tcMar>
            <w:vAlign w:val="center"/>
          </w:tcPr>
          <w:p w14:paraId="0C564F00"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Borders>
              <w:top w:val="single" w:sz="4" w:space="0" w:color="auto"/>
            </w:tcBorders>
            <w:tcMar>
              <w:left w:w="28" w:type="dxa"/>
              <w:right w:w="28" w:type="dxa"/>
            </w:tcMar>
            <w:vAlign w:val="center"/>
          </w:tcPr>
          <w:p w14:paraId="662158D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3.5</w:t>
            </w:r>
          </w:p>
        </w:tc>
        <w:tc>
          <w:tcPr>
            <w:tcW w:w="709" w:type="dxa"/>
            <w:tcBorders>
              <w:top w:val="single" w:sz="4" w:space="0" w:color="auto"/>
            </w:tcBorders>
            <w:tcMar>
              <w:left w:w="28" w:type="dxa"/>
              <w:right w:w="28" w:type="dxa"/>
            </w:tcMar>
            <w:vAlign w:val="center"/>
          </w:tcPr>
          <w:p w14:paraId="2859FF8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Borders>
              <w:top w:val="single" w:sz="4" w:space="0" w:color="auto"/>
            </w:tcBorders>
            <w:tcMar>
              <w:left w:w="28" w:type="dxa"/>
              <w:right w:w="28" w:type="dxa"/>
            </w:tcMar>
            <w:vAlign w:val="center"/>
          </w:tcPr>
          <w:p w14:paraId="1FACCC9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1.44</w:t>
            </w:r>
          </w:p>
        </w:tc>
        <w:tc>
          <w:tcPr>
            <w:tcW w:w="709" w:type="dxa"/>
            <w:tcBorders>
              <w:top w:val="single" w:sz="4" w:space="0" w:color="auto"/>
            </w:tcBorders>
            <w:tcMar>
              <w:left w:w="28" w:type="dxa"/>
              <w:right w:w="28" w:type="dxa"/>
            </w:tcMar>
            <w:vAlign w:val="center"/>
          </w:tcPr>
          <w:p w14:paraId="4330871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0.56</w:t>
            </w:r>
          </w:p>
        </w:tc>
        <w:tc>
          <w:tcPr>
            <w:tcW w:w="708" w:type="dxa"/>
            <w:tcBorders>
              <w:top w:val="single" w:sz="4" w:space="0" w:color="auto"/>
            </w:tcBorders>
            <w:tcMar>
              <w:left w:w="28" w:type="dxa"/>
              <w:right w:w="28" w:type="dxa"/>
            </w:tcMar>
            <w:vAlign w:val="center"/>
          </w:tcPr>
          <w:p w14:paraId="37BAF12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1.44</w:t>
            </w:r>
          </w:p>
        </w:tc>
        <w:tc>
          <w:tcPr>
            <w:tcW w:w="709" w:type="dxa"/>
            <w:tcBorders>
              <w:top w:val="single" w:sz="4" w:space="0" w:color="auto"/>
            </w:tcBorders>
            <w:tcMar>
              <w:left w:w="28" w:type="dxa"/>
              <w:right w:w="28" w:type="dxa"/>
            </w:tcMar>
            <w:vAlign w:val="center"/>
          </w:tcPr>
          <w:p w14:paraId="19C1DAF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tcBorders>
            <w:tcMar>
              <w:left w:w="28" w:type="dxa"/>
              <w:right w:w="28" w:type="dxa"/>
            </w:tcMar>
            <w:vAlign w:val="center"/>
          </w:tcPr>
          <w:p w14:paraId="3CFA8E0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1.31</w:t>
            </w:r>
          </w:p>
        </w:tc>
        <w:tc>
          <w:tcPr>
            <w:tcW w:w="709" w:type="dxa"/>
            <w:tcBorders>
              <w:top w:val="single" w:sz="4" w:space="0" w:color="auto"/>
            </w:tcBorders>
            <w:tcMar>
              <w:left w:w="28" w:type="dxa"/>
              <w:right w:w="28" w:type="dxa"/>
            </w:tcMar>
            <w:vAlign w:val="center"/>
          </w:tcPr>
          <w:p w14:paraId="73284B6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8" w:type="dxa"/>
            <w:tcBorders>
              <w:top w:val="single" w:sz="4" w:space="0" w:color="auto"/>
            </w:tcBorders>
            <w:tcMar>
              <w:left w:w="28" w:type="dxa"/>
              <w:right w:w="28" w:type="dxa"/>
            </w:tcMar>
            <w:vAlign w:val="center"/>
          </w:tcPr>
          <w:p w14:paraId="6BE1C7F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0.44</w:t>
            </w:r>
          </w:p>
        </w:tc>
        <w:tc>
          <w:tcPr>
            <w:tcW w:w="709" w:type="dxa"/>
            <w:tcBorders>
              <w:top w:val="single" w:sz="4" w:space="0" w:color="auto"/>
            </w:tcBorders>
            <w:tcMar>
              <w:left w:w="28" w:type="dxa"/>
              <w:right w:w="28" w:type="dxa"/>
            </w:tcMar>
            <w:vAlign w:val="center"/>
          </w:tcPr>
          <w:p w14:paraId="4FC06FC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tcBorders>
            <w:tcMar>
              <w:left w:w="28" w:type="dxa"/>
              <w:right w:w="28" w:type="dxa"/>
            </w:tcMar>
            <w:vAlign w:val="center"/>
          </w:tcPr>
          <w:p w14:paraId="248DB9B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tcBorders>
            <w:tcMar>
              <w:left w:w="28" w:type="dxa"/>
              <w:right w:w="28" w:type="dxa"/>
            </w:tcMar>
            <w:vAlign w:val="center"/>
          </w:tcPr>
          <w:p w14:paraId="6C1A0B0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0.44</w:t>
            </w:r>
          </w:p>
        </w:tc>
        <w:tc>
          <w:tcPr>
            <w:tcW w:w="708" w:type="dxa"/>
            <w:tcBorders>
              <w:top w:val="single" w:sz="4" w:space="0" w:color="auto"/>
            </w:tcBorders>
            <w:tcMar>
              <w:left w:w="28" w:type="dxa"/>
              <w:right w:w="28" w:type="dxa"/>
            </w:tcMar>
            <w:vAlign w:val="center"/>
          </w:tcPr>
          <w:p w14:paraId="3E24EC5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Borders>
              <w:top w:val="single" w:sz="4" w:space="0" w:color="auto"/>
            </w:tcBorders>
            <w:tcMar>
              <w:left w:w="28" w:type="dxa"/>
              <w:right w:w="28" w:type="dxa"/>
            </w:tcMar>
            <w:vAlign w:val="center"/>
          </w:tcPr>
          <w:p w14:paraId="298AE03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tcBorders>
            <w:tcMar>
              <w:left w:w="28" w:type="dxa"/>
              <w:right w:w="28" w:type="dxa"/>
            </w:tcMar>
            <w:vAlign w:val="center"/>
          </w:tcPr>
          <w:p w14:paraId="4FC8F42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tcBorders>
            <w:tcMar>
              <w:left w:w="28" w:type="dxa"/>
              <w:right w:w="28" w:type="dxa"/>
            </w:tcMar>
            <w:vAlign w:val="center"/>
          </w:tcPr>
          <w:p w14:paraId="6B4A4E6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w:t>
            </w:r>
          </w:p>
        </w:tc>
      </w:tr>
      <w:tr w:rsidR="0088288C" w:rsidRPr="002168E2" w14:paraId="125CDEB5" w14:textId="77777777" w:rsidTr="0088288C">
        <w:trPr>
          <w:trHeight w:hRule="exact" w:val="312"/>
        </w:trPr>
        <w:tc>
          <w:tcPr>
            <w:tcW w:w="879" w:type="dxa"/>
            <w:vMerge/>
          </w:tcPr>
          <w:p w14:paraId="7C556316" w14:textId="77777777" w:rsidR="00BF3FC5" w:rsidRPr="00C22707" w:rsidRDefault="00BF3FC5" w:rsidP="002168E2">
            <w:pPr>
              <w:jc w:val="center"/>
              <w:rPr>
                <w:rFonts w:ascii="Arial Narrow" w:hAnsi="Arial Narrow"/>
                <w:color w:val="000000"/>
                <w:sz w:val="20"/>
              </w:rPr>
            </w:pPr>
          </w:p>
        </w:tc>
        <w:tc>
          <w:tcPr>
            <w:tcW w:w="1843" w:type="dxa"/>
            <w:vMerge/>
            <w:tcMar>
              <w:left w:w="28" w:type="dxa"/>
              <w:right w:w="28" w:type="dxa"/>
            </w:tcMar>
            <w:vAlign w:val="center"/>
          </w:tcPr>
          <w:p w14:paraId="72C7504E" w14:textId="77777777" w:rsidR="00BF3FC5" w:rsidRPr="00C22707" w:rsidRDefault="00BF3FC5" w:rsidP="00284F17">
            <w:pPr>
              <w:jc w:val="left"/>
              <w:rPr>
                <w:rFonts w:ascii="Arial Narrow" w:hAnsi="Arial Narrow"/>
                <w:color w:val="000000"/>
                <w:sz w:val="20"/>
              </w:rPr>
            </w:pPr>
          </w:p>
        </w:tc>
        <w:tc>
          <w:tcPr>
            <w:tcW w:w="567" w:type="dxa"/>
            <w:tcMar>
              <w:left w:w="28" w:type="dxa"/>
              <w:right w:w="28" w:type="dxa"/>
            </w:tcMar>
            <w:vAlign w:val="center"/>
          </w:tcPr>
          <w:p w14:paraId="6360B05A"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0F5A5BD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0.81</w:t>
            </w:r>
          </w:p>
        </w:tc>
        <w:tc>
          <w:tcPr>
            <w:tcW w:w="709" w:type="dxa"/>
            <w:tcMar>
              <w:left w:w="28" w:type="dxa"/>
              <w:right w:w="28" w:type="dxa"/>
            </w:tcMar>
            <w:vAlign w:val="center"/>
          </w:tcPr>
          <w:p w14:paraId="188122B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D1D8C6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1.81</w:t>
            </w:r>
          </w:p>
        </w:tc>
        <w:tc>
          <w:tcPr>
            <w:tcW w:w="709" w:type="dxa"/>
            <w:tcMar>
              <w:left w:w="28" w:type="dxa"/>
              <w:right w:w="28" w:type="dxa"/>
            </w:tcMar>
            <w:vAlign w:val="center"/>
          </w:tcPr>
          <w:p w14:paraId="619F9DD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1.81</w:t>
            </w:r>
          </w:p>
        </w:tc>
        <w:tc>
          <w:tcPr>
            <w:tcW w:w="708" w:type="dxa"/>
            <w:tcMar>
              <w:left w:w="28" w:type="dxa"/>
              <w:right w:w="28" w:type="dxa"/>
            </w:tcMar>
            <w:vAlign w:val="center"/>
          </w:tcPr>
          <w:p w14:paraId="4377F05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1.63</w:t>
            </w:r>
          </w:p>
        </w:tc>
        <w:tc>
          <w:tcPr>
            <w:tcW w:w="709" w:type="dxa"/>
            <w:tcMar>
              <w:left w:w="28" w:type="dxa"/>
              <w:right w:w="28" w:type="dxa"/>
            </w:tcMar>
            <w:vAlign w:val="center"/>
          </w:tcPr>
          <w:p w14:paraId="6B4C174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125677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0.5</w:t>
            </w:r>
          </w:p>
        </w:tc>
        <w:tc>
          <w:tcPr>
            <w:tcW w:w="709" w:type="dxa"/>
            <w:tcMar>
              <w:left w:w="28" w:type="dxa"/>
              <w:right w:w="28" w:type="dxa"/>
            </w:tcMar>
            <w:vAlign w:val="center"/>
          </w:tcPr>
          <w:p w14:paraId="730013E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507870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6CD45E7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A3951F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40AADC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0.5</w:t>
            </w:r>
          </w:p>
        </w:tc>
        <w:tc>
          <w:tcPr>
            <w:tcW w:w="708" w:type="dxa"/>
            <w:tcMar>
              <w:left w:w="28" w:type="dxa"/>
              <w:right w:w="28" w:type="dxa"/>
            </w:tcMar>
            <w:vAlign w:val="center"/>
          </w:tcPr>
          <w:p w14:paraId="58B9697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C108AE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1AD4CA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0629E3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0.31</w:t>
            </w:r>
          </w:p>
        </w:tc>
      </w:tr>
      <w:tr w:rsidR="0088288C" w:rsidRPr="002168E2" w14:paraId="446A2C40" w14:textId="77777777" w:rsidTr="0088288C">
        <w:trPr>
          <w:trHeight w:hRule="exact" w:val="312"/>
        </w:trPr>
        <w:tc>
          <w:tcPr>
            <w:tcW w:w="879" w:type="dxa"/>
            <w:vMerge/>
          </w:tcPr>
          <w:p w14:paraId="0FD882D3" w14:textId="77777777" w:rsidR="00BF3FC5" w:rsidRPr="00C22707" w:rsidRDefault="00BF3FC5" w:rsidP="002168E2">
            <w:pPr>
              <w:jc w:val="center"/>
              <w:rPr>
                <w:rFonts w:ascii="Arial Narrow" w:hAnsi="Arial Narrow"/>
                <w:color w:val="000000"/>
                <w:sz w:val="20"/>
              </w:rPr>
            </w:pPr>
          </w:p>
        </w:tc>
        <w:tc>
          <w:tcPr>
            <w:tcW w:w="1843" w:type="dxa"/>
            <w:vMerge w:val="restart"/>
            <w:tcMar>
              <w:left w:w="28" w:type="dxa"/>
              <w:right w:w="28" w:type="dxa"/>
            </w:tcMar>
            <w:vAlign w:val="center"/>
          </w:tcPr>
          <w:p w14:paraId="001F8D8E"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Franklands West</w:t>
            </w:r>
          </w:p>
        </w:tc>
        <w:tc>
          <w:tcPr>
            <w:tcW w:w="567" w:type="dxa"/>
            <w:tcMar>
              <w:left w:w="28" w:type="dxa"/>
              <w:right w:w="28" w:type="dxa"/>
            </w:tcMar>
            <w:vAlign w:val="center"/>
          </w:tcPr>
          <w:p w14:paraId="55863D34"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19E6CBB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0.69</w:t>
            </w:r>
          </w:p>
        </w:tc>
        <w:tc>
          <w:tcPr>
            <w:tcW w:w="709" w:type="dxa"/>
            <w:tcMar>
              <w:left w:w="28" w:type="dxa"/>
              <w:right w:w="28" w:type="dxa"/>
            </w:tcMar>
            <w:vAlign w:val="center"/>
          </w:tcPr>
          <w:p w14:paraId="4621C27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182EDFD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0.69</w:t>
            </w:r>
          </w:p>
        </w:tc>
        <w:tc>
          <w:tcPr>
            <w:tcW w:w="709" w:type="dxa"/>
            <w:tcMar>
              <w:left w:w="28" w:type="dxa"/>
              <w:right w:w="28" w:type="dxa"/>
            </w:tcMar>
            <w:vAlign w:val="center"/>
          </w:tcPr>
          <w:p w14:paraId="594D4DC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05ADF15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1.75</w:t>
            </w:r>
          </w:p>
        </w:tc>
        <w:tc>
          <w:tcPr>
            <w:tcW w:w="709" w:type="dxa"/>
            <w:tcMar>
              <w:left w:w="28" w:type="dxa"/>
              <w:right w:w="28" w:type="dxa"/>
            </w:tcMar>
            <w:vAlign w:val="center"/>
          </w:tcPr>
          <w:p w14:paraId="7D10377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22DF95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8C4A3A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8" w:type="dxa"/>
            <w:tcMar>
              <w:left w:w="28" w:type="dxa"/>
              <w:right w:w="28" w:type="dxa"/>
            </w:tcMar>
            <w:vAlign w:val="center"/>
          </w:tcPr>
          <w:p w14:paraId="5AC6238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E4E4CF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CEC2FF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BF82D0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AE3744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2EFA2E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2E484D4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6CA92B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63CFC5B2" w14:textId="77777777" w:rsidTr="0088288C">
        <w:trPr>
          <w:trHeight w:hRule="exact" w:val="312"/>
        </w:trPr>
        <w:tc>
          <w:tcPr>
            <w:tcW w:w="879" w:type="dxa"/>
            <w:vMerge/>
          </w:tcPr>
          <w:p w14:paraId="38306393" w14:textId="77777777" w:rsidR="00BF3FC5" w:rsidRPr="00C22707" w:rsidRDefault="00BF3FC5" w:rsidP="002168E2">
            <w:pPr>
              <w:jc w:val="center"/>
              <w:rPr>
                <w:rFonts w:ascii="Arial Narrow" w:hAnsi="Arial Narrow"/>
                <w:color w:val="000000"/>
                <w:sz w:val="20"/>
              </w:rPr>
            </w:pPr>
          </w:p>
        </w:tc>
        <w:tc>
          <w:tcPr>
            <w:tcW w:w="1843" w:type="dxa"/>
            <w:vMerge/>
            <w:tcMar>
              <w:left w:w="28" w:type="dxa"/>
              <w:right w:w="28" w:type="dxa"/>
            </w:tcMar>
            <w:vAlign w:val="center"/>
          </w:tcPr>
          <w:p w14:paraId="3368CD74" w14:textId="77777777" w:rsidR="00BF3FC5" w:rsidRPr="00C22707" w:rsidRDefault="00BF3FC5" w:rsidP="00284F17">
            <w:pPr>
              <w:jc w:val="left"/>
              <w:rPr>
                <w:rFonts w:ascii="Arial Narrow" w:hAnsi="Arial Narrow"/>
                <w:color w:val="000000"/>
                <w:sz w:val="20"/>
              </w:rPr>
            </w:pPr>
          </w:p>
        </w:tc>
        <w:tc>
          <w:tcPr>
            <w:tcW w:w="567" w:type="dxa"/>
            <w:tcMar>
              <w:left w:w="28" w:type="dxa"/>
              <w:right w:w="28" w:type="dxa"/>
            </w:tcMar>
            <w:vAlign w:val="center"/>
          </w:tcPr>
          <w:p w14:paraId="569EA6D1"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1F728B4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0856C79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tcMar>
              <w:left w:w="28" w:type="dxa"/>
              <w:right w:w="28" w:type="dxa"/>
            </w:tcMar>
            <w:vAlign w:val="center"/>
          </w:tcPr>
          <w:p w14:paraId="0434A62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72D80BD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54C700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3.01</w:t>
            </w:r>
          </w:p>
        </w:tc>
        <w:tc>
          <w:tcPr>
            <w:tcW w:w="709" w:type="dxa"/>
            <w:tcMar>
              <w:left w:w="28" w:type="dxa"/>
              <w:right w:w="28" w:type="dxa"/>
            </w:tcMar>
            <w:vAlign w:val="center"/>
          </w:tcPr>
          <w:p w14:paraId="4073C7A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4BEB06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282206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8" w:type="dxa"/>
            <w:tcMar>
              <w:left w:w="28" w:type="dxa"/>
              <w:right w:w="28" w:type="dxa"/>
            </w:tcMar>
            <w:vAlign w:val="center"/>
          </w:tcPr>
          <w:p w14:paraId="2521159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145E80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1E1E69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2574D1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A34B5C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32E985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D982F6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25F79C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0526BEFB" w14:textId="77777777" w:rsidTr="0088288C">
        <w:trPr>
          <w:trHeight w:hRule="exact" w:val="312"/>
        </w:trPr>
        <w:tc>
          <w:tcPr>
            <w:tcW w:w="879" w:type="dxa"/>
            <w:vMerge/>
          </w:tcPr>
          <w:p w14:paraId="34E027EA" w14:textId="77777777" w:rsidR="00BF3FC5" w:rsidRPr="00C22707" w:rsidRDefault="00BF3FC5" w:rsidP="002168E2">
            <w:pPr>
              <w:jc w:val="center"/>
              <w:rPr>
                <w:rFonts w:ascii="Arial Narrow" w:hAnsi="Arial Narrow"/>
                <w:color w:val="000000"/>
                <w:sz w:val="20"/>
              </w:rPr>
            </w:pPr>
          </w:p>
        </w:tc>
        <w:tc>
          <w:tcPr>
            <w:tcW w:w="1843" w:type="dxa"/>
            <w:vMerge w:val="restart"/>
            <w:tcMar>
              <w:left w:w="28" w:type="dxa"/>
              <w:right w:w="28" w:type="dxa"/>
            </w:tcMar>
            <w:vAlign w:val="center"/>
          </w:tcPr>
          <w:p w14:paraId="16680537"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High East</w:t>
            </w:r>
          </w:p>
        </w:tc>
        <w:tc>
          <w:tcPr>
            <w:tcW w:w="567" w:type="dxa"/>
            <w:tcMar>
              <w:left w:w="28" w:type="dxa"/>
              <w:right w:w="28" w:type="dxa"/>
            </w:tcMar>
            <w:vAlign w:val="center"/>
          </w:tcPr>
          <w:p w14:paraId="2F9CD437"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2E86158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0.31</w:t>
            </w:r>
          </w:p>
        </w:tc>
        <w:tc>
          <w:tcPr>
            <w:tcW w:w="709" w:type="dxa"/>
            <w:tcMar>
              <w:left w:w="28" w:type="dxa"/>
              <w:right w:w="28" w:type="dxa"/>
            </w:tcMar>
            <w:vAlign w:val="center"/>
          </w:tcPr>
          <w:p w14:paraId="68F4A3D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0C3DAFF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59385A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777BD82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0.44</w:t>
            </w:r>
          </w:p>
        </w:tc>
        <w:tc>
          <w:tcPr>
            <w:tcW w:w="709" w:type="dxa"/>
            <w:tcMar>
              <w:left w:w="28" w:type="dxa"/>
              <w:right w:w="28" w:type="dxa"/>
            </w:tcMar>
            <w:vAlign w:val="center"/>
          </w:tcPr>
          <w:p w14:paraId="651FFA4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6D152E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76745D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4FEEE04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1A1E22C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128641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5938FC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18FEC61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10143A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88E4B5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5EC4BD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r>
      <w:tr w:rsidR="0088288C" w:rsidRPr="002168E2" w14:paraId="1A496794" w14:textId="77777777" w:rsidTr="0088288C">
        <w:trPr>
          <w:trHeight w:hRule="exact" w:val="312"/>
        </w:trPr>
        <w:tc>
          <w:tcPr>
            <w:tcW w:w="879" w:type="dxa"/>
            <w:vMerge/>
          </w:tcPr>
          <w:p w14:paraId="3A7957B6" w14:textId="77777777" w:rsidR="00BF3FC5" w:rsidRPr="00C22707" w:rsidRDefault="00BF3FC5" w:rsidP="002168E2">
            <w:pPr>
              <w:jc w:val="center"/>
              <w:rPr>
                <w:rFonts w:ascii="Arial Narrow" w:hAnsi="Arial Narrow"/>
                <w:color w:val="000000"/>
                <w:sz w:val="20"/>
              </w:rPr>
            </w:pPr>
          </w:p>
        </w:tc>
        <w:tc>
          <w:tcPr>
            <w:tcW w:w="1843" w:type="dxa"/>
            <w:vMerge/>
            <w:tcMar>
              <w:left w:w="28" w:type="dxa"/>
              <w:right w:w="28" w:type="dxa"/>
            </w:tcMar>
            <w:vAlign w:val="center"/>
          </w:tcPr>
          <w:p w14:paraId="5C26A141" w14:textId="77777777" w:rsidR="00BF3FC5" w:rsidRPr="00C22707" w:rsidRDefault="00BF3FC5" w:rsidP="00284F17">
            <w:pPr>
              <w:jc w:val="left"/>
              <w:rPr>
                <w:rFonts w:ascii="Arial Narrow" w:hAnsi="Arial Narrow"/>
                <w:color w:val="000000"/>
                <w:sz w:val="20"/>
              </w:rPr>
            </w:pPr>
          </w:p>
        </w:tc>
        <w:tc>
          <w:tcPr>
            <w:tcW w:w="567" w:type="dxa"/>
            <w:tcMar>
              <w:left w:w="28" w:type="dxa"/>
              <w:right w:w="28" w:type="dxa"/>
            </w:tcMar>
            <w:vAlign w:val="center"/>
          </w:tcPr>
          <w:p w14:paraId="51052709"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4DB757B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0.5</w:t>
            </w:r>
          </w:p>
        </w:tc>
        <w:tc>
          <w:tcPr>
            <w:tcW w:w="709" w:type="dxa"/>
            <w:tcMar>
              <w:left w:w="28" w:type="dxa"/>
              <w:right w:w="28" w:type="dxa"/>
            </w:tcMar>
            <w:vAlign w:val="center"/>
          </w:tcPr>
          <w:p w14:paraId="0DADD4D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0CAF42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50550E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17FDE53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024E6DE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5DA2BD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DD11F3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0AA85E3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78337C4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A34C71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5C7199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422CC9C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4B46E6E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A14606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AC2B29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6C247FEE" w14:textId="77777777" w:rsidTr="0088288C">
        <w:trPr>
          <w:trHeight w:hRule="exact" w:val="312"/>
        </w:trPr>
        <w:tc>
          <w:tcPr>
            <w:tcW w:w="879" w:type="dxa"/>
            <w:vMerge/>
          </w:tcPr>
          <w:p w14:paraId="0D1758D5" w14:textId="77777777" w:rsidR="00BF3FC5" w:rsidRPr="00C22707" w:rsidRDefault="00BF3FC5" w:rsidP="002168E2">
            <w:pPr>
              <w:jc w:val="center"/>
              <w:rPr>
                <w:rFonts w:ascii="Arial Narrow" w:hAnsi="Arial Narrow"/>
                <w:color w:val="000000"/>
                <w:sz w:val="20"/>
              </w:rPr>
            </w:pPr>
          </w:p>
        </w:tc>
        <w:tc>
          <w:tcPr>
            <w:tcW w:w="1843" w:type="dxa"/>
            <w:vMerge w:val="restart"/>
            <w:tcMar>
              <w:left w:w="28" w:type="dxa"/>
              <w:right w:w="28" w:type="dxa"/>
            </w:tcMar>
            <w:vAlign w:val="center"/>
          </w:tcPr>
          <w:p w14:paraId="53B7A278"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High West</w:t>
            </w:r>
          </w:p>
        </w:tc>
        <w:tc>
          <w:tcPr>
            <w:tcW w:w="567" w:type="dxa"/>
            <w:tcMar>
              <w:left w:w="28" w:type="dxa"/>
              <w:right w:w="28" w:type="dxa"/>
            </w:tcMar>
            <w:vAlign w:val="center"/>
          </w:tcPr>
          <w:p w14:paraId="46E0AD2F"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3460CAE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0.81</w:t>
            </w:r>
          </w:p>
        </w:tc>
        <w:tc>
          <w:tcPr>
            <w:tcW w:w="709" w:type="dxa"/>
            <w:tcMar>
              <w:left w:w="28" w:type="dxa"/>
              <w:right w:w="28" w:type="dxa"/>
            </w:tcMar>
            <w:vAlign w:val="center"/>
          </w:tcPr>
          <w:p w14:paraId="0053D54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B2AFAB0"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2ADFF44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CAA19F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1.13</w:t>
            </w:r>
          </w:p>
        </w:tc>
        <w:tc>
          <w:tcPr>
            <w:tcW w:w="709" w:type="dxa"/>
            <w:tcMar>
              <w:left w:w="28" w:type="dxa"/>
              <w:right w:w="28" w:type="dxa"/>
            </w:tcMar>
            <w:vAlign w:val="center"/>
          </w:tcPr>
          <w:p w14:paraId="54B2BC9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7FAF9E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251DA1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3928E05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033AC6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96A68E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2472C4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0F7A68C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6124A9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6C595A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50BAE2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3EC1F58D" w14:textId="77777777" w:rsidTr="0088288C">
        <w:trPr>
          <w:trHeight w:hRule="exact" w:val="312"/>
        </w:trPr>
        <w:tc>
          <w:tcPr>
            <w:tcW w:w="879" w:type="dxa"/>
            <w:vMerge/>
          </w:tcPr>
          <w:p w14:paraId="4F4CBA08" w14:textId="77777777" w:rsidR="00BF3FC5" w:rsidRPr="00C22707" w:rsidRDefault="00BF3FC5" w:rsidP="002168E2">
            <w:pPr>
              <w:jc w:val="center"/>
              <w:rPr>
                <w:rFonts w:ascii="Arial Narrow" w:hAnsi="Arial Narrow"/>
                <w:color w:val="000000"/>
                <w:sz w:val="20"/>
              </w:rPr>
            </w:pPr>
          </w:p>
        </w:tc>
        <w:tc>
          <w:tcPr>
            <w:tcW w:w="1843" w:type="dxa"/>
            <w:vMerge/>
            <w:tcBorders>
              <w:bottom w:val="single" w:sz="4" w:space="0" w:color="auto"/>
            </w:tcBorders>
            <w:tcMar>
              <w:left w:w="28" w:type="dxa"/>
              <w:right w:w="28" w:type="dxa"/>
            </w:tcMar>
            <w:vAlign w:val="center"/>
          </w:tcPr>
          <w:p w14:paraId="4D89A663" w14:textId="77777777" w:rsidR="00BF3FC5" w:rsidRPr="00C22707" w:rsidRDefault="00BF3FC5" w:rsidP="00284F17">
            <w:pPr>
              <w:jc w:val="left"/>
              <w:rPr>
                <w:rFonts w:ascii="Arial Narrow" w:hAnsi="Arial Narrow"/>
                <w:color w:val="000000"/>
                <w:sz w:val="20"/>
              </w:rPr>
            </w:pPr>
          </w:p>
        </w:tc>
        <w:tc>
          <w:tcPr>
            <w:tcW w:w="567" w:type="dxa"/>
            <w:tcBorders>
              <w:bottom w:val="single" w:sz="4" w:space="0" w:color="auto"/>
            </w:tcBorders>
            <w:tcMar>
              <w:left w:w="28" w:type="dxa"/>
              <w:right w:w="28" w:type="dxa"/>
            </w:tcMar>
            <w:vAlign w:val="center"/>
          </w:tcPr>
          <w:p w14:paraId="34C109DE"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Borders>
              <w:bottom w:val="single" w:sz="4" w:space="0" w:color="auto"/>
            </w:tcBorders>
            <w:tcMar>
              <w:left w:w="28" w:type="dxa"/>
              <w:right w:w="28" w:type="dxa"/>
            </w:tcMar>
            <w:vAlign w:val="center"/>
          </w:tcPr>
          <w:p w14:paraId="6CA464A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79B78202"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1003916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73EE9819"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bottom w:val="single" w:sz="4" w:space="0" w:color="auto"/>
            </w:tcBorders>
            <w:tcMar>
              <w:left w:w="28" w:type="dxa"/>
              <w:right w:w="28" w:type="dxa"/>
            </w:tcMar>
            <w:vAlign w:val="center"/>
          </w:tcPr>
          <w:p w14:paraId="234DFC4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0.88</w:t>
            </w:r>
          </w:p>
        </w:tc>
        <w:tc>
          <w:tcPr>
            <w:tcW w:w="709" w:type="dxa"/>
            <w:tcBorders>
              <w:bottom w:val="single" w:sz="4" w:space="0" w:color="auto"/>
            </w:tcBorders>
            <w:tcMar>
              <w:left w:w="28" w:type="dxa"/>
              <w:right w:w="28" w:type="dxa"/>
            </w:tcMar>
            <w:vAlign w:val="center"/>
          </w:tcPr>
          <w:p w14:paraId="01D514A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6687109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6694E965"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bottom w:val="single" w:sz="4" w:space="0" w:color="auto"/>
            </w:tcBorders>
            <w:tcMar>
              <w:left w:w="28" w:type="dxa"/>
              <w:right w:w="28" w:type="dxa"/>
            </w:tcMar>
            <w:vAlign w:val="center"/>
          </w:tcPr>
          <w:p w14:paraId="79CAA56C"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6E39295A"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21F44B1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33F2AD9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bottom w:val="single" w:sz="4" w:space="0" w:color="auto"/>
            </w:tcBorders>
            <w:tcMar>
              <w:left w:w="28" w:type="dxa"/>
              <w:right w:w="28" w:type="dxa"/>
            </w:tcMar>
            <w:vAlign w:val="center"/>
          </w:tcPr>
          <w:p w14:paraId="7FFB599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68A80157"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10485594"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4207C29E"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45FCE8C9" w14:textId="77777777" w:rsidTr="0088288C">
        <w:trPr>
          <w:trHeight w:hRule="exact" w:val="312"/>
        </w:trPr>
        <w:tc>
          <w:tcPr>
            <w:tcW w:w="879" w:type="dxa"/>
            <w:vMerge/>
            <w:tcBorders>
              <w:bottom w:val="single" w:sz="4" w:space="0" w:color="auto"/>
            </w:tcBorders>
          </w:tcPr>
          <w:p w14:paraId="31F5E702" w14:textId="77777777" w:rsidR="00BF3FC5" w:rsidRPr="00C22707" w:rsidRDefault="00BF3FC5" w:rsidP="002168E2">
            <w:pPr>
              <w:jc w:val="center"/>
              <w:rPr>
                <w:rFonts w:ascii="Arial Narrow" w:hAnsi="Arial Narrow"/>
                <w:color w:val="000000"/>
                <w:sz w:val="20"/>
              </w:rPr>
            </w:pPr>
          </w:p>
        </w:tc>
        <w:tc>
          <w:tcPr>
            <w:tcW w:w="1843" w:type="dxa"/>
            <w:tcBorders>
              <w:bottom w:val="single" w:sz="4" w:space="0" w:color="auto"/>
            </w:tcBorders>
            <w:tcMar>
              <w:left w:w="28" w:type="dxa"/>
              <w:right w:w="28" w:type="dxa"/>
            </w:tcMar>
            <w:vAlign w:val="center"/>
          </w:tcPr>
          <w:p w14:paraId="41AC07D3" w14:textId="77777777" w:rsidR="00BF3FC5" w:rsidRPr="00C22707" w:rsidRDefault="00BF3FC5" w:rsidP="00284F17">
            <w:pPr>
              <w:jc w:val="left"/>
              <w:rPr>
                <w:rFonts w:ascii="Arial Narrow" w:hAnsi="Arial Narrow"/>
                <w:color w:val="000000"/>
                <w:sz w:val="20"/>
              </w:rPr>
            </w:pPr>
            <w:r w:rsidRPr="00C22707">
              <w:rPr>
                <w:rFonts w:ascii="Arial Narrow" w:hAnsi="Arial Narrow"/>
                <w:color w:val="000000"/>
                <w:sz w:val="20"/>
              </w:rPr>
              <w:t>Green</w:t>
            </w:r>
          </w:p>
        </w:tc>
        <w:tc>
          <w:tcPr>
            <w:tcW w:w="567" w:type="dxa"/>
            <w:tcBorders>
              <w:bottom w:val="single" w:sz="4" w:space="0" w:color="auto"/>
            </w:tcBorders>
            <w:tcMar>
              <w:left w:w="28" w:type="dxa"/>
              <w:right w:w="28" w:type="dxa"/>
            </w:tcMar>
            <w:vAlign w:val="center"/>
          </w:tcPr>
          <w:p w14:paraId="7FB50A28" w14:textId="77777777" w:rsidR="00BF3FC5" w:rsidRPr="002168E2" w:rsidRDefault="00BF3FC5" w:rsidP="002168E2">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Borders>
              <w:bottom w:val="single" w:sz="4" w:space="0" w:color="auto"/>
            </w:tcBorders>
            <w:tcMar>
              <w:left w:w="28" w:type="dxa"/>
              <w:right w:w="28" w:type="dxa"/>
            </w:tcMar>
            <w:vAlign w:val="center"/>
          </w:tcPr>
          <w:p w14:paraId="5F539EEF"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2605212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2DD57EF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0.03</w:t>
            </w:r>
          </w:p>
        </w:tc>
        <w:tc>
          <w:tcPr>
            <w:tcW w:w="709" w:type="dxa"/>
            <w:tcBorders>
              <w:bottom w:val="single" w:sz="4" w:space="0" w:color="auto"/>
            </w:tcBorders>
            <w:tcMar>
              <w:left w:w="28" w:type="dxa"/>
              <w:right w:w="28" w:type="dxa"/>
            </w:tcMar>
            <w:vAlign w:val="center"/>
          </w:tcPr>
          <w:p w14:paraId="7275244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bottom w:val="single" w:sz="4" w:space="0" w:color="auto"/>
            </w:tcBorders>
            <w:tcMar>
              <w:left w:w="28" w:type="dxa"/>
              <w:right w:w="28" w:type="dxa"/>
            </w:tcMar>
            <w:vAlign w:val="center"/>
          </w:tcPr>
          <w:p w14:paraId="12FE4B88"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2.27</w:t>
            </w:r>
          </w:p>
        </w:tc>
        <w:tc>
          <w:tcPr>
            <w:tcW w:w="709" w:type="dxa"/>
            <w:tcBorders>
              <w:bottom w:val="single" w:sz="4" w:space="0" w:color="auto"/>
            </w:tcBorders>
            <w:tcMar>
              <w:left w:w="28" w:type="dxa"/>
              <w:right w:w="28" w:type="dxa"/>
            </w:tcMar>
            <w:vAlign w:val="center"/>
          </w:tcPr>
          <w:p w14:paraId="40A464A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7DB6B9CD"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6602EAD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0.37</w:t>
            </w:r>
          </w:p>
        </w:tc>
        <w:tc>
          <w:tcPr>
            <w:tcW w:w="708" w:type="dxa"/>
            <w:tcBorders>
              <w:bottom w:val="single" w:sz="4" w:space="0" w:color="auto"/>
            </w:tcBorders>
            <w:tcMar>
              <w:left w:w="28" w:type="dxa"/>
              <w:right w:w="28" w:type="dxa"/>
            </w:tcMar>
            <w:vAlign w:val="center"/>
          </w:tcPr>
          <w:p w14:paraId="18F79C8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0.07</w:t>
            </w:r>
          </w:p>
        </w:tc>
        <w:tc>
          <w:tcPr>
            <w:tcW w:w="709" w:type="dxa"/>
            <w:tcBorders>
              <w:bottom w:val="single" w:sz="4" w:space="0" w:color="auto"/>
            </w:tcBorders>
            <w:tcMar>
              <w:left w:w="28" w:type="dxa"/>
              <w:right w:w="28" w:type="dxa"/>
            </w:tcMar>
            <w:vAlign w:val="center"/>
          </w:tcPr>
          <w:p w14:paraId="6E3C0AB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10748A2B"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61E54C3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bottom w:val="single" w:sz="4" w:space="0" w:color="auto"/>
            </w:tcBorders>
            <w:tcMar>
              <w:left w:w="28" w:type="dxa"/>
              <w:right w:w="28" w:type="dxa"/>
            </w:tcMar>
            <w:vAlign w:val="center"/>
          </w:tcPr>
          <w:p w14:paraId="34A8D2F6"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4BB1F51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051374E1"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56779E33" w14:textId="77777777" w:rsidR="00BF3FC5" w:rsidRPr="0088288C" w:rsidRDefault="00BF3FC5" w:rsidP="0088288C">
            <w:pPr>
              <w:jc w:val="center"/>
              <w:rPr>
                <w:rFonts w:ascii="Arial Narrow" w:hAnsi="Arial Narrow"/>
                <w:color w:val="000000"/>
                <w:sz w:val="18"/>
                <w:szCs w:val="18"/>
              </w:rPr>
            </w:pPr>
            <w:r w:rsidRPr="0088288C">
              <w:rPr>
                <w:rFonts w:ascii="Arial Narrow" w:hAnsi="Arial Narrow"/>
                <w:color w:val="000000"/>
                <w:sz w:val="18"/>
                <w:szCs w:val="18"/>
              </w:rPr>
              <w:t>0.4</w:t>
            </w:r>
          </w:p>
        </w:tc>
      </w:tr>
    </w:tbl>
    <w:p w14:paraId="127B5431" w14:textId="77777777" w:rsidR="008A1A24" w:rsidRDefault="008A1A24" w:rsidP="00833B1F"/>
    <w:p w14:paraId="2059A83B" w14:textId="77777777" w:rsidR="0088288C" w:rsidRDefault="0088288C">
      <w:pPr>
        <w:jc w:val="left"/>
      </w:pPr>
      <w:r>
        <w:br w:type="page"/>
      </w:r>
    </w:p>
    <w:p w14:paraId="2A979D67" w14:textId="77777777" w:rsidR="0088288C" w:rsidRPr="0088288C" w:rsidRDefault="0088288C" w:rsidP="00833B1F">
      <w:pPr>
        <w:rPr>
          <w:rStyle w:val="IntenseReference"/>
        </w:rPr>
      </w:pPr>
      <w:r w:rsidRPr="0088288C">
        <w:rPr>
          <w:rStyle w:val="IntenseReference"/>
        </w:rPr>
        <w:lastRenderedPageBreak/>
        <w:t xml:space="preserve">Table </w:t>
      </w:r>
      <w:proofErr w:type="gramStart"/>
      <w:r w:rsidRPr="0088288C">
        <w:rPr>
          <w:rStyle w:val="IntenseReference"/>
        </w:rPr>
        <w:t>A</w:t>
      </w:r>
      <w:proofErr w:type="gramEnd"/>
      <w:r w:rsidRPr="0088288C">
        <w:rPr>
          <w:rStyle w:val="IntenseReference"/>
        </w:rPr>
        <w:t xml:space="preserve"> 7 continued</w:t>
      </w:r>
    </w:p>
    <w:tbl>
      <w:tblPr>
        <w:tblW w:w="14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Caption w:val="Table A1 7 continued"/>
        <w:tblDescription w:val="Table A1 7 continued"/>
      </w:tblPr>
      <w:tblGrid>
        <w:gridCol w:w="879"/>
        <w:gridCol w:w="1843"/>
        <w:gridCol w:w="567"/>
        <w:gridCol w:w="708"/>
        <w:gridCol w:w="709"/>
        <w:gridCol w:w="709"/>
        <w:gridCol w:w="709"/>
        <w:gridCol w:w="708"/>
        <w:gridCol w:w="709"/>
        <w:gridCol w:w="709"/>
        <w:gridCol w:w="709"/>
        <w:gridCol w:w="708"/>
        <w:gridCol w:w="709"/>
        <w:gridCol w:w="709"/>
        <w:gridCol w:w="709"/>
        <w:gridCol w:w="708"/>
        <w:gridCol w:w="709"/>
        <w:gridCol w:w="709"/>
        <w:gridCol w:w="709"/>
      </w:tblGrid>
      <w:tr w:rsidR="0088288C" w:rsidRPr="002168E2" w14:paraId="38216CA8" w14:textId="77777777" w:rsidTr="00E56CF1">
        <w:trPr>
          <w:cantSplit/>
          <w:trHeight w:hRule="exact" w:val="391"/>
          <w:tblHeader/>
        </w:trPr>
        <w:tc>
          <w:tcPr>
            <w:tcW w:w="879" w:type="dxa"/>
            <w:vMerge w:val="restart"/>
            <w:shd w:val="clear" w:color="auto" w:fill="F2F2F2" w:themeFill="background1" w:themeFillShade="F2"/>
            <w:textDirection w:val="btLr"/>
          </w:tcPr>
          <w:p w14:paraId="157E3437" w14:textId="77777777" w:rsidR="0088288C" w:rsidRPr="00BF3FC5" w:rsidRDefault="0088288C" w:rsidP="00E56CF1">
            <w:pPr>
              <w:ind w:left="113" w:right="113"/>
              <w:jc w:val="center"/>
              <w:rPr>
                <w:rFonts w:ascii="Arial Narrow" w:hAnsi="Arial Narrow"/>
                <w:color w:val="000000"/>
                <w:sz w:val="20"/>
              </w:rPr>
            </w:pPr>
            <w:r w:rsidRPr="00BF3FC5">
              <w:rPr>
                <w:rFonts w:ascii="Arial Narrow" w:hAnsi="Arial Narrow"/>
                <w:color w:val="000000"/>
                <w:sz w:val="20"/>
              </w:rPr>
              <w:t>Sub/region</w:t>
            </w:r>
          </w:p>
        </w:tc>
        <w:tc>
          <w:tcPr>
            <w:tcW w:w="1843" w:type="dxa"/>
            <w:vMerge w:val="restart"/>
            <w:shd w:val="clear" w:color="auto" w:fill="F2F2F2" w:themeFill="background1" w:themeFillShade="F2"/>
            <w:tcMar>
              <w:left w:w="28" w:type="dxa"/>
              <w:right w:w="28" w:type="dxa"/>
            </w:tcMar>
            <w:vAlign w:val="center"/>
          </w:tcPr>
          <w:p w14:paraId="25A5D383" w14:textId="77777777" w:rsidR="0088288C" w:rsidRPr="00BF3FC5" w:rsidRDefault="0088288C" w:rsidP="00E56CF1">
            <w:pPr>
              <w:jc w:val="center"/>
              <w:rPr>
                <w:rFonts w:ascii="Arial Narrow" w:hAnsi="Arial Narrow"/>
                <w:b/>
                <w:color w:val="000000"/>
                <w:sz w:val="20"/>
              </w:rPr>
            </w:pPr>
          </w:p>
          <w:p w14:paraId="65AFFE89" w14:textId="77777777" w:rsidR="0088288C" w:rsidRPr="00BF3FC5" w:rsidRDefault="0088288C" w:rsidP="00E56CF1">
            <w:pPr>
              <w:jc w:val="center"/>
              <w:rPr>
                <w:rFonts w:ascii="Arial Narrow" w:hAnsi="Arial Narrow"/>
                <w:color w:val="000000"/>
                <w:sz w:val="20"/>
              </w:rPr>
            </w:pPr>
            <w:r w:rsidRPr="00BF3FC5">
              <w:rPr>
                <w:rFonts w:ascii="Arial Narrow" w:hAnsi="Arial Narrow"/>
                <w:color w:val="000000"/>
                <w:sz w:val="20"/>
              </w:rPr>
              <w:t>Reef</w:t>
            </w:r>
          </w:p>
        </w:tc>
        <w:tc>
          <w:tcPr>
            <w:tcW w:w="567" w:type="dxa"/>
            <w:vMerge w:val="restart"/>
            <w:shd w:val="clear" w:color="auto" w:fill="F2F2F2" w:themeFill="background1" w:themeFillShade="F2"/>
            <w:tcMar>
              <w:left w:w="28" w:type="dxa"/>
              <w:right w:w="28" w:type="dxa"/>
            </w:tcMar>
            <w:textDirection w:val="btLr"/>
            <w:vAlign w:val="center"/>
          </w:tcPr>
          <w:p w14:paraId="2BC4C595" w14:textId="77777777" w:rsidR="0088288C" w:rsidRPr="00BF3FC5" w:rsidRDefault="0088288C" w:rsidP="00E56CF1">
            <w:pPr>
              <w:ind w:left="113" w:right="113"/>
              <w:jc w:val="center"/>
              <w:rPr>
                <w:rFonts w:ascii="Arial Narrow" w:hAnsi="Arial Narrow"/>
                <w:color w:val="000000"/>
                <w:sz w:val="20"/>
              </w:rPr>
            </w:pPr>
            <w:r w:rsidRPr="00BF3FC5">
              <w:rPr>
                <w:rFonts w:ascii="Arial Narrow" w:hAnsi="Arial Narrow"/>
                <w:color w:val="000000"/>
                <w:sz w:val="20"/>
              </w:rPr>
              <w:t>Depth</w:t>
            </w:r>
          </w:p>
        </w:tc>
        <w:tc>
          <w:tcPr>
            <w:tcW w:w="3543" w:type="dxa"/>
            <w:gridSpan w:val="5"/>
            <w:shd w:val="clear" w:color="auto" w:fill="F2F2F2" w:themeFill="background1" w:themeFillShade="F2"/>
            <w:tcMar>
              <w:left w:w="28" w:type="dxa"/>
              <w:right w:w="28" w:type="dxa"/>
            </w:tcMar>
            <w:vAlign w:val="bottom"/>
          </w:tcPr>
          <w:p w14:paraId="36DCA99D" w14:textId="77777777" w:rsidR="0088288C" w:rsidRPr="002168E2" w:rsidRDefault="0088288C" w:rsidP="00E56CF1">
            <w:pPr>
              <w:jc w:val="center"/>
              <w:rPr>
                <w:rFonts w:ascii="Arial Narrow" w:hAnsi="Arial Narrow"/>
                <w:color w:val="000000"/>
                <w:sz w:val="20"/>
              </w:rPr>
            </w:pPr>
            <w:r>
              <w:rPr>
                <w:rFonts w:ascii="Arial Narrow" w:hAnsi="Arial Narrow"/>
                <w:color w:val="000000"/>
                <w:sz w:val="20"/>
              </w:rPr>
              <w:t>Rhodophyta (red algae)</w:t>
            </w:r>
          </w:p>
        </w:tc>
        <w:tc>
          <w:tcPr>
            <w:tcW w:w="2835" w:type="dxa"/>
            <w:gridSpan w:val="4"/>
            <w:shd w:val="clear" w:color="auto" w:fill="F2F2F2" w:themeFill="background1" w:themeFillShade="F2"/>
            <w:tcMar>
              <w:left w:w="28" w:type="dxa"/>
              <w:right w:w="28" w:type="dxa"/>
            </w:tcMar>
            <w:vAlign w:val="bottom"/>
          </w:tcPr>
          <w:p w14:paraId="4A63C6A0" w14:textId="77777777" w:rsidR="0088288C" w:rsidRPr="002168E2" w:rsidRDefault="0088288C" w:rsidP="00E56CF1">
            <w:pPr>
              <w:jc w:val="center"/>
              <w:rPr>
                <w:rFonts w:ascii="Arial Narrow" w:hAnsi="Arial Narrow"/>
                <w:color w:val="000000"/>
                <w:sz w:val="20"/>
              </w:rPr>
            </w:pPr>
            <w:r>
              <w:rPr>
                <w:rFonts w:ascii="Arial Narrow" w:hAnsi="Arial Narrow"/>
                <w:color w:val="000000"/>
                <w:sz w:val="20"/>
              </w:rPr>
              <w:t>Chlorophyta (green algae)</w:t>
            </w:r>
          </w:p>
        </w:tc>
        <w:tc>
          <w:tcPr>
            <w:tcW w:w="4962" w:type="dxa"/>
            <w:gridSpan w:val="7"/>
            <w:shd w:val="clear" w:color="auto" w:fill="F2F2F2" w:themeFill="background1" w:themeFillShade="F2"/>
            <w:tcMar>
              <w:left w:w="28" w:type="dxa"/>
              <w:right w:w="28" w:type="dxa"/>
            </w:tcMar>
            <w:vAlign w:val="bottom"/>
          </w:tcPr>
          <w:p w14:paraId="70C7B2C0" w14:textId="77777777" w:rsidR="0088288C" w:rsidRPr="002168E2" w:rsidRDefault="0088288C" w:rsidP="00E56CF1">
            <w:pPr>
              <w:jc w:val="center"/>
              <w:rPr>
                <w:rFonts w:ascii="Arial Narrow" w:hAnsi="Arial Narrow"/>
                <w:color w:val="000000"/>
                <w:sz w:val="20"/>
              </w:rPr>
            </w:pPr>
            <w:r>
              <w:rPr>
                <w:rFonts w:ascii="Arial Narrow" w:hAnsi="Arial Narrow"/>
                <w:color w:val="000000"/>
                <w:sz w:val="20"/>
              </w:rPr>
              <w:t>Phaeophyta (brown algae)</w:t>
            </w:r>
          </w:p>
        </w:tc>
      </w:tr>
      <w:tr w:rsidR="0088288C" w:rsidRPr="002168E2" w14:paraId="61F07F23" w14:textId="77777777" w:rsidTr="00E56CF1">
        <w:trPr>
          <w:cantSplit/>
          <w:trHeight w:hRule="exact" w:val="1418"/>
          <w:tblHeader/>
        </w:trPr>
        <w:tc>
          <w:tcPr>
            <w:tcW w:w="879" w:type="dxa"/>
            <w:vMerge/>
            <w:shd w:val="clear" w:color="auto" w:fill="F2F2F2" w:themeFill="background1" w:themeFillShade="F2"/>
          </w:tcPr>
          <w:p w14:paraId="75523B13" w14:textId="77777777" w:rsidR="0088288C" w:rsidRPr="002168E2" w:rsidRDefault="0088288C" w:rsidP="00E56CF1">
            <w:pPr>
              <w:jc w:val="center"/>
              <w:rPr>
                <w:rFonts w:ascii="Arial Narrow" w:hAnsi="Arial Narrow"/>
                <w:b/>
                <w:color w:val="000000"/>
                <w:sz w:val="24"/>
                <w:szCs w:val="24"/>
              </w:rPr>
            </w:pPr>
          </w:p>
        </w:tc>
        <w:tc>
          <w:tcPr>
            <w:tcW w:w="1843" w:type="dxa"/>
            <w:vMerge/>
            <w:shd w:val="clear" w:color="auto" w:fill="F2F2F2" w:themeFill="background1" w:themeFillShade="F2"/>
            <w:tcMar>
              <w:left w:w="28" w:type="dxa"/>
              <w:right w:w="28" w:type="dxa"/>
            </w:tcMar>
            <w:vAlign w:val="center"/>
          </w:tcPr>
          <w:p w14:paraId="6EB14422" w14:textId="77777777" w:rsidR="0088288C" w:rsidRPr="002168E2" w:rsidRDefault="0088288C" w:rsidP="00E56CF1">
            <w:pPr>
              <w:jc w:val="center"/>
              <w:rPr>
                <w:rFonts w:ascii="Arial Narrow" w:hAnsi="Arial Narrow"/>
                <w:b/>
                <w:color w:val="000000"/>
                <w:sz w:val="24"/>
                <w:szCs w:val="24"/>
              </w:rPr>
            </w:pPr>
          </w:p>
        </w:tc>
        <w:tc>
          <w:tcPr>
            <w:tcW w:w="567" w:type="dxa"/>
            <w:vMerge/>
            <w:shd w:val="clear" w:color="auto" w:fill="F2F2F2" w:themeFill="background1" w:themeFillShade="F2"/>
            <w:tcMar>
              <w:left w:w="28" w:type="dxa"/>
              <w:right w:w="28" w:type="dxa"/>
            </w:tcMar>
            <w:textDirection w:val="btLr"/>
            <w:vAlign w:val="center"/>
          </w:tcPr>
          <w:p w14:paraId="218FAC7D" w14:textId="77777777" w:rsidR="0088288C" w:rsidRPr="002168E2" w:rsidRDefault="0088288C" w:rsidP="00E56CF1">
            <w:pPr>
              <w:ind w:left="113" w:right="113"/>
              <w:jc w:val="center"/>
              <w:rPr>
                <w:rFonts w:ascii="Arial Narrow" w:hAnsi="Arial Narrow"/>
                <w:b/>
                <w:color w:val="000000"/>
                <w:sz w:val="20"/>
              </w:rPr>
            </w:pPr>
          </w:p>
        </w:tc>
        <w:tc>
          <w:tcPr>
            <w:tcW w:w="708" w:type="dxa"/>
            <w:shd w:val="clear" w:color="auto" w:fill="F2F2F2" w:themeFill="background1" w:themeFillShade="F2"/>
            <w:tcMar>
              <w:left w:w="28" w:type="dxa"/>
              <w:right w:w="28" w:type="dxa"/>
            </w:tcMar>
            <w:textDirection w:val="btLr"/>
            <w:vAlign w:val="bottom"/>
          </w:tcPr>
          <w:p w14:paraId="1FD8ECB0"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Hypnea</w:t>
            </w:r>
          </w:p>
        </w:tc>
        <w:tc>
          <w:tcPr>
            <w:tcW w:w="709" w:type="dxa"/>
            <w:shd w:val="clear" w:color="auto" w:fill="F2F2F2" w:themeFill="background1" w:themeFillShade="F2"/>
            <w:tcMar>
              <w:left w:w="28" w:type="dxa"/>
              <w:right w:w="28" w:type="dxa"/>
            </w:tcMar>
            <w:textDirection w:val="btLr"/>
            <w:vAlign w:val="bottom"/>
          </w:tcPr>
          <w:p w14:paraId="5FFCD508"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Peyssonnelia</w:t>
            </w:r>
          </w:p>
        </w:tc>
        <w:tc>
          <w:tcPr>
            <w:tcW w:w="709" w:type="dxa"/>
            <w:shd w:val="clear" w:color="auto" w:fill="F2F2F2" w:themeFill="background1" w:themeFillShade="F2"/>
            <w:tcMar>
              <w:left w:w="28" w:type="dxa"/>
              <w:right w:w="28" w:type="dxa"/>
            </w:tcMar>
            <w:textDirection w:val="btLr"/>
            <w:vAlign w:val="bottom"/>
          </w:tcPr>
          <w:p w14:paraId="01857D7C"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 xml:space="preserve">Calcareous </w:t>
            </w:r>
          </w:p>
        </w:tc>
        <w:tc>
          <w:tcPr>
            <w:tcW w:w="709" w:type="dxa"/>
            <w:shd w:val="clear" w:color="auto" w:fill="F2F2F2" w:themeFill="background1" w:themeFillShade="F2"/>
            <w:tcMar>
              <w:left w:w="28" w:type="dxa"/>
              <w:right w:w="28" w:type="dxa"/>
            </w:tcMar>
            <w:textDirection w:val="btLr"/>
            <w:vAlign w:val="bottom"/>
          </w:tcPr>
          <w:p w14:paraId="792BAEE6"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Asparagopsis</w:t>
            </w:r>
          </w:p>
        </w:tc>
        <w:tc>
          <w:tcPr>
            <w:tcW w:w="708" w:type="dxa"/>
            <w:shd w:val="clear" w:color="auto" w:fill="F2F2F2" w:themeFill="background1" w:themeFillShade="F2"/>
            <w:tcMar>
              <w:left w:w="28" w:type="dxa"/>
              <w:right w:w="28" w:type="dxa"/>
            </w:tcMar>
            <w:textDirection w:val="btLr"/>
            <w:vAlign w:val="bottom"/>
          </w:tcPr>
          <w:p w14:paraId="1BE197E2"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 xml:space="preserve">Other </w:t>
            </w:r>
          </w:p>
        </w:tc>
        <w:tc>
          <w:tcPr>
            <w:tcW w:w="709" w:type="dxa"/>
            <w:shd w:val="clear" w:color="auto" w:fill="F2F2F2" w:themeFill="background1" w:themeFillShade="F2"/>
            <w:tcMar>
              <w:left w:w="28" w:type="dxa"/>
              <w:right w:w="28" w:type="dxa"/>
            </w:tcMar>
            <w:textDirection w:val="btLr"/>
            <w:vAlign w:val="bottom"/>
          </w:tcPr>
          <w:p w14:paraId="388C6E87"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Neomeris</w:t>
            </w:r>
          </w:p>
        </w:tc>
        <w:tc>
          <w:tcPr>
            <w:tcW w:w="709" w:type="dxa"/>
            <w:shd w:val="clear" w:color="auto" w:fill="F2F2F2" w:themeFill="background1" w:themeFillShade="F2"/>
            <w:tcMar>
              <w:left w:w="28" w:type="dxa"/>
              <w:right w:w="28" w:type="dxa"/>
            </w:tcMar>
            <w:textDirection w:val="btLr"/>
            <w:vAlign w:val="bottom"/>
          </w:tcPr>
          <w:p w14:paraId="7E78F812"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Caulerpa</w:t>
            </w:r>
          </w:p>
        </w:tc>
        <w:tc>
          <w:tcPr>
            <w:tcW w:w="709" w:type="dxa"/>
            <w:shd w:val="clear" w:color="auto" w:fill="F2F2F2" w:themeFill="background1" w:themeFillShade="F2"/>
            <w:tcMar>
              <w:left w:w="28" w:type="dxa"/>
              <w:right w:w="28" w:type="dxa"/>
            </w:tcMar>
            <w:textDirection w:val="btLr"/>
            <w:vAlign w:val="bottom"/>
          </w:tcPr>
          <w:p w14:paraId="01D1D23D"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Halimeda</w:t>
            </w:r>
          </w:p>
        </w:tc>
        <w:tc>
          <w:tcPr>
            <w:tcW w:w="708" w:type="dxa"/>
            <w:shd w:val="clear" w:color="auto" w:fill="F2F2F2" w:themeFill="background1" w:themeFillShade="F2"/>
            <w:tcMar>
              <w:left w:w="28" w:type="dxa"/>
              <w:right w:w="28" w:type="dxa"/>
            </w:tcMar>
            <w:textDirection w:val="btLr"/>
            <w:vAlign w:val="bottom"/>
          </w:tcPr>
          <w:p w14:paraId="697B1FD6"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 xml:space="preserve">Other </w:t>
            </w:r>
          </w:p>
        </w:tc>
        <w:tc>
          <w:tcPr>
            <w:tcW w:w="709" w:type="dxa"/>
            <w:shd w:val="clear" w:color="auto" w:fill="F2F2F2" w:themeFill="background1" w:themeFillShade="F2"/>
            <w:tcMar>
              <w:left w:w="28" w:type="dxa"/>
              <w:right w:w="28" w:type="dxa"/>
            </w:tcMar>
            <w:textDirection w:val="btLr"/>
            <w:vAlign w:val="bottom"/>
          </w:tcPr>
          <w:p w14:paraId="33813EFE"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Stypopodium</w:t>
            </w:r>
          </w:p>
        </w:tc>
        <w:tc>
          <w:tcPr>
            <w:tcW w:w="709" w:type="dxa"/>
            <w:shd w:val="clear" w:color="auto" w:fill="F2F2F2" w:themeFill="background1" w:themeFillShade="F2"/>
            <w:tcMar>
              <w:left w:w="28" w:type="dxa"/>
              <w:right w:w="28" w:type="dxa"/>
            </w:tcMar>
            <w:textDirection w:val="btLr"/>
            <w:vAlign w:val="bottom"/>
          </w:tcPr>
          <w:p w14:paraId="005A767C"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Spatoglossum</w:t>
            </w:r>
          </w:p>
        </w:tc>
        <w:tc>
          <w:tcPr>
            <w:tcW w:w="709" w:type="dxa"/>
            <w:shd w:val="clear" w:color="auto" w:fill="F2F2F2" w:themeFill="background1" w:themeFillShade="F2"/>
            <w:tcMar>
              <w:left w:w="28" w:type="dxa"/>
              <w:right w:w="28" w:type="dxa"/>
            </w:tcMar>
            <w:textDirection w:val="btLr"/>
            <w:vAlign w:val="bottom"/>
          </w:tcPr>
          <w:p w14:paraId="29802F37"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Padina</w:t>
            </w:r>
          </w:p>
        </w:tc>
        <w:tc>
          <w:tcPr>
            <w:tcW w:w="708" w:type="dxa"/>
            <w:shd w:val="clear" w:color="auto" w:fill="F2F2F2" w:themeFill="background1" w:themeFillShade="F2"/>
            <w:tcMar>
              <w:left w:w="28" w:type="dxa"/>
              <w:right w:w="28" w:type="dxa"/>
            </w:tcMar>
            <w:textDirection w:val="btLr"/>
            <w:vAlign w:val="bottom"/>
          </w:tcPr>
          <w:p w14:paraId="35A0255A"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Dictyota</w:t>
            </w:r>
          </w:p>
        </w:tc>
        <w:tc>
          <w:tcPr>
            <w:tcW w:w="709" w:type="dxa"/>
            <w:shd w:val="clear" w:color="auto" w:fill="F2F2F2" w:themeFill="background1" w:themeFillShade="F2"/>
            <w:tcMar>
              <w:left w:w="28" w:type="dxa"/>
              <w:right w:w="28" w:type="dxa"/>
            </w:tcMar>
            <w:textDirection w:val="btLr"/>
            <w:vAlign w:val="bottom"/>
          </w:tcPr>
          <w:p w14:paraId="5BC5C3C9"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Lobophora</w:t>
            </w:r>
          </w:p>
        </w:tc>
        <w:tc>
          <w:tcPr>
            <w:tcW w:w="709" w:type="dxa"/>
            <w:shd w:val="clear" w:color="auto" w:fill="F2F2F2" w:themeFill="background1" w:themeFillShade="F2"/>
            <w:tcMar>
              <w:left w:w="28" w:type="dxa"/>
              <w:right w:w="28" w:type="dxa"/>
            </w:tcMar>
            <w:textDirection w:val="btLr"/>
            <w:vAlign w:val="bottom"/>
          </w:tcPr>
          <w:p w14:paraId="4CF4EAE8"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Sargassum</w:t>
            </w:r>
          </w:p>
        </w:tc>
        <w:tc>
          <w:tcPr>
            <w:tcW w:w="709" w:type="dxa"/>
            <w:shd w:val="clear" w:color="auto" w:fill="F2F2F2" w:themeFill="background1" w:themeFillShade="F2"/>
            <w:tcMar>
              <w:left w:w="28" w:type="dxa"/>
              <w:right w:w="28" w:type="dxa"/>
            </w:tcMar>
            <w:textDirection w:val="btLr"/>
            <w:vAlign w:val="bottom"/>
          </w:tcPr>
          <w:p w14:paraId="6AE4ADE8"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 xml:space="preserve">Other </w:t>
            </w:r>
          </w:p>
        </w:tc>
      </w:tr>
      <w:tr w:rsidR="0088288C" w:rsidRPr="002168E2" w14:paraId="62455948" w14:textId="77777777" w:rsidTr="00E56CF1">
        <w:trPr>
          <w:trHeight w:hRule="exact" w:val="312"/>
        </w:trPr>
        <w:tc>
          <w:tcPr>
            <w:tcW w:w="879" w:type="dxa"/>
            <w:vMerge w:val="restart"/>
            <w:tcBorders>
              <w:top w:val="nil"/>
            </w:tcBorders>
            <w:textDirection w:val="btLr"/>
            <w:vAlign w:val="center"/>
          </w:tcPr>
          <w:p w14:paraId="624A443E" w14:textId="77777777" w:rsidR="0088288C" w:rsidRPr="00C22707" w:rsidRDefault="0088288C" w:rsidP="00E56CF1">
            <w:pPr>
              <w:ind w:left="113" w:right="113"/>
              <w:jc w:val="center"/>
              <w:rPr>
                <w:rFonts w:ascii="Arial Narrow" w:hAnsi="Arial Narrow"/>
                <w:color w:val="000000"/>
                <w:sz w:val="20"/>
              </w:rPr>
            </w:pPr>
            <w:r>
              <w:rPr>
                <w:rFonts w:ascii="Arial Narrow" w:hAnsi="Arial Narrow"/>
                <w:color w:val="000000"/>
                <w:sz w:val="20"/>
              </w:rPr>
              <w:t>Herbert Tully</w:t>
            </w:r>
          </w:p>
        </w:tc>
        <w:tc>
          <w:tcPr>
            <w:tcW w:w="1843" w:type="dxa"/>
            <w:vMerge w:val="restart"/>
            <w:tcBorders>
              <w:top w:val="single" w:sz="4" w:space="0" w:color="auto"/>
            </w:tcBorders>
            <w:tcMar>
              <w:left w:w="28" w:type="dxa"/>
              <w:right w:w="28" w:type="dxa"/>
            </w:tcMar>
            <w:vAlign w:val="center"/>
          </w:tcPr>
          <w:p w14:paraId="5628F941"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Barnards</w:t>
            </w:r>
          </w:p>
        </w:tc>
        <w:tc>
          <w:tcPr>
            <w:tcW w:w="567" w:type="dxa"/>
            <w:tcBorders>
              <w:top w:val="single" w:sz="4" w:space="0" w:color="auto"/>
            </w:tcBorders>
            <w:tcMar>
              <w:left w:w="28" w:type="dxa"/>
              <w:right w:w="28" w:type="dxa"/>
            </w:tcMar>
            <w:vAlign w:val="center"/>
          </w:tcPr>
          <w:p w14:paraId="7CEF20AE"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Borders>
              <w:top w:val="single" w:sz="4" w:space="0" w:color="auto"/>
            </w:tcBorders>
            <w:tcMar>
              <w:left w:w="28" w:type="dxa"/>
              <w:right w:w="28" w:type="dxa"/>
            </w:tcMar>
            <w:vAlign w:val="center"/>
          </w:tcPr>
          <w:p w14:paraId="7CC5ACE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tcBorders>
              <w:top w:val="single" w:sz="4" w:space="0" w:color="auto"/>
            </w:tcBorders>
            <w:tcMar>
              <w:left w:w="28" w:type="dxa"/>
              <w:right w:w="28" w:type="dxa"/>
            </w:tcMar>
            <w:vAlign w:val="center"/>
          </w:tcPr>
          <w:p w14:paraId="4686A66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Borders>
              <w:top w:val="single" w:sz="4" w:space="0" w:color="auto"/>
            </w:tcBorders>
            <w:tcMar>
              <w:left w:w="28" w:type="dxa"/>
              <w:right w:w="28" w:type="dxa"/>
            </w:tcMar>
            <w:vAlign w:val="center"/>
          </w:tcPr>
          <w:p w14:paraId="36ABB0B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Borders>
              <w:top w:val="single" w:sz="4" w:space="0" w:color="auto"/>
            </w:tcBorders>
            <w:tcMar>
              <w:left w:w="28" w:type="dxa"/>
              <w:right w:w="28" w:type="dxa"/>
            </w:tcMar>
            <w:vAlign w:val="center"/>
          </w:tcPr>
          <w:p w14:paraId="73A62AE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8" w:type="dxa"/>
            <w:tcBorders>
              <w:top w:val="single" w:sz="4" w:space="0" w:color="auto"/>
            </w:tcBorders>
            <w:tcMar>
              <w:left w:w="28" w:type="dxa"/>
              <w:right w:w="28" w:type="dxa"/>
            </w:tcMar>
            <w:vAlign w:val="center"/>
          </w:tcPr>
          <w:p w14:paraId="48C8A70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0.75</w:t>
            </w:r>
          </w:p>
        </w:tc>
        <w:tc>
          <w:tcPr>
            <w:tcW w:w="709" w:type="dxa"/>
            <w:tcBorders>
              <w:top w:val="single" w:sz="4" w:space="0" w:color="auto"/>
            </w:tcBorders>
            <w:tcMar>
              <w:left w:w="28" w:type="dxa"/>
              <w:right w:w="28" w:type="dxa"/>
            </w:tcMar>
            <w:vAlign w:val="center"/>
          </w:tcPr>
          <w:p w14:paraId="54BC798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tcBorders>
            <w:tcMar>
              <w:left w:w="28" w:type="dxa"/>
              <w:right w:w="28" w:type="dxa"/>
            </w:tcMar>
            <w:vAlign w:val="center"/>
          </w:tcPr>
          <w:p w14:paraId="5D90176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1.31</w:t>
            </w:r>
          </w:p>
        </w:tc>
        <w:tc>
          <w:tcPr>
            <w:tcW w:w="709" w:type="dxa"/>
            <w:tcBorders>
              <w:top w:val="single" w:sz="4" w:space="0" w:color="auto"/>
            </w:tcBorders>
            <w:tcMar>
              <w:left w:w="28" w:type="dxa"/>
              <w:right w:w="28" w:type="dxa"/>
            </w:tcMar>
            <w:vAlign w:val="center"/>
          </w:tcPr>
          <w:p w14:paraId="7BDE839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top w:val="single" w:sz="4" w:space="0" w:color="auto"/>
            </w:tcBorders>
            <w:tcMar>
              <w:left w:w="28" w:type="dxa"/>
              <w:right w:w="28" w:type="dxa"/>
            </w:tcMar>
            <w:vAlign w:val="center"/>
          </w:tcPr>
          <w:p w14:paraId="226B020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0.75</w:t>
            </w:r>
          </w:p>
        </w:tc>
        <w:tc>
          <w:tcPr>
            <w:tcW w:w="709" w:type="dxa"/>
            <w:tcBorders>
              <w:top w:val="single" w:sz="4" w:space="0" w:color="auto"/>
            </w:tcBorders>
            <w:tcMar>
              <w:left w:w="28" w:type="dxa"/>
              <w:right w:w="28" w:type="dxa"/>
            </w:tcMar>
            <w:vAlign w:val="center"/>
          </w:tcPr>
          <w:p w14:paraId="7E39E68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tcBorders>
            <w:tcMar>
              <w:left w:w="28" w:type="dxa"/>
              <w:right w:w="28" w:type="dxa"/>
            </w:tcMar>
            <w:vAlign w:val="center"/>
          </w:tcPr>
          <w:p w14:paraId="0E4D283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top w:val="single" w:sz="4" w:space="0" w:color="auto"/>
            </w:tcBorders>
            <w:tcMar>
              <w:left w:w="28" w:type="dxa"/>
              <w:right w:w="28" w:type="dxa"/>
            </w:tcMar>
            <w:vAlign w:val="center"/>
          </w:tcPr>
          <w:p w14:paraId="410CFDA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8" w:type="dxa"/>
            <w:tcBorders>
              <w:top w:val="single" w:sz="4" w:space="0" w:color="auto"/>
            </w:tcBorders>
            <w:tcMar>
              <w:left w:w="28" w:type="dxa"/>
              <w:right w:w="28" w:type="dxa"/>
            </w:tcMar>
            <w:vAlign w:val="center"/>
          </w:tcPr>
          <w:p w14:paraId="2A6AEB0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2.19</w:t>
            </w:r>
          </w:p>
        </w:tc>
        <w:tc>
          <w:tcPr>
            <w:tcW w:w="709" w:type="dxa"/>
            <w:tcBorders>
              <w:top w:val="single" w:sz="4" w:space="0" w:color="auto"/>
            </w:tcBorders>
            <w:tcMar>
              <w:left w:w="28" w:type="dxa"/>
              <w:right w:w="28" w:type="dxa"/>
            </w:tcMar>
            <w:vAlign w:val="center"/>
          </w:tcPr>
          <w:p w14:paraId="62C7F1D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0.69</w:t>
            </w:r>
          </w:p>
        </w:tc>
        <w:tc>
          <w:tcPr>
            <w:tcW w:w="709" w:type="dxa"/>
            <w:tcBorders>
              <w:top w:val="single" w:sz="4" w:space="0" w:color="auto"/>
            </w:tcBorders>
            <w:tcMar>
              <w:left w:w="28" w:type="dxa"/>
              <w:right w:w="28" w:type="dxa"/>
            </w:tcMar>
            <w:vAlign w:val="center"/>
          </w:tcPr>
          <w:p w14:paraId="2B96A89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0.56</w:t>
            </w:r>
          </w:p>
        </w:tc>
        <w:tc>
          <w:tcPr>
            <w:tcW w:w="709" w:type="dxa"/>
            <w:tcBorders>
              <w:top w:val="single" w:sz="4" w:space="0" w:color="auto"/>
            </w:tcBorders>
            <w:tcMar>
              <w:left w:w="28" w:type="dxa"/>
              <w:right w:w="28" w:type="dxa"/>
            </w:tcMar>
            <w:vAlign w:val="center"/>
          </w:tcPr>
          <w:p w14:paraId="4DCD912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0.69</w:t>
            </w:r>
          </w:p>
        </w:tc>
      </w:tr>
      <w:tr w:rsidR="0088288C" w:rsidRPr="002168E2" w14:paraId="21080449" w14:textId="77777777" w:rsidTr="00E56CF1">
        <w:trPr>
          <w:trHeight w:hRule="exact" w:val="312"/>
        </w:trPr>
        <w:tc>
          <w:tcPr>
            <w:tcW w:w="879" w:type="dxa"/>
            <w:vMerge/>
            <w:vAlign w:val="center"/>
          </w:tcPr>
          <w:p w14:paraId="197F0523" w14:textId="77777777" w:rsidR="0088288C" w:rsidRPr="002168E2" w:rsidRDefault="0088288C" w:rsidP="00E56CF1">
            <w:pPr>
              <w:jc w:val="center"/>
              <w:rPr>
                <w:rFonts w:ascii="Arial Narrow" w:hAnsi="Arial Narrow"/>
                <w:b/>
                <w:color w:val="000000"/>
                <w:sz w:val="18"/>
                <w:szCs w:val="18"/>
              </w:rPr>
            </w:pPr>
          </w:p>
        </w:tc>
        <w:tc>
          <w:tcPr>
            <w:tcW w:w="1843" w:type="dxa"/>
            <w:vMerge/>
            <w:tcMar>
              <w:left w:w="28" w:type="dxa"/>
              <w:right w:w="28" w:type="dxa"/>
            </w:tcMar>
            <w:vAlign w:val="center"/>
          </w:tcPr>
          <w:p w14:paraId="38F4CB5C" w14:textId="77777777" w:rsidR="0088288C" w:rsidRPr="002168E2" w:rsidRDefault="0088288C" w:rsidP="00E56CF1">
            <w:pPr>
              <w:jc w:val="left"/>
              <w:rPr>
                <w:rFonts w:ascii="Arial Narrow" w:hAnsi="Arial Narrow"/>
                <w:b/>
                <w:color w:val="000000"/>
                <w:sz w:val="18"/>
                <w:szCs w:val="18"/>
              </w:rPr>
            </w:pPr>
          </w:p>
        </w:tc>
        <w:tc>
          <w:tcPr>
            <w:tcW w:w="567" w:type="dxa"/>
            <w:tcMar>
              <w:left w:w="28" w:type="dxa"/>
              <w:right w:w="28" w:type="dxa"/>
            </w:tcMar>
            <w:vAlign w:val="center"/>
          </w:tcPr>
          <w:p w14:paraId="222A5261"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4CA7116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05479A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0.31</w:t>
            </w:r>
          </w:p>
        </w:tc>
        <w:tc>
          <w:tcPr>
            <w:tcW w:w="709" w:type="dxa"/>
            <w:tcMar>
              <w:left w:w="28" w:type="dxa"/>
              <w:right w:w="28" w:type="dxa"/>
            </w:tcMar>
            <w:vAlign w:val="center"/>
          </w:tcPr>
          <w:p w14:paraId="03CC13E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tcMar>
              <w:left w:w="28" w:type="dxa"/>
              <w:right w:w="28" w:type="dxa"/>
            </w:tcMar>
            <w:vAlign w:val="center"/>
          </w:tcPr>
          <w:p w14:paraId="4725222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8" w:type="dxa"/>
            <w:tcMar>
              <w:left w:w="28" w:type="dxa"/>
              <w:right w:w="28" w:type="dxa"/>
            </w:tcMar>
            <w:vAlign w:val="center"/>
          </w:tcPr>
          <w:p w14:paraId="769CB8D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0.44</w:t>
            </w:r>
          </w:p>
        </w:tc>
        <w:tc>
          <w:tcPr>
            <w:tcW w:w="709" w:type="dxa"/>
            <w:tcMar>
              <w:left w:w="28" w:type="dxa"/>
              <w:right w:w="28" w:type="dxa"/>
            </w:tcMar>
            <w:vAlign w:val="center"/>
          </w:tcPr>
          <w:p w14:paraId="756CF00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F41B64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6FAAB5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8" w:type="dxa"/>
            <w:tcMar>
              <w:left w:w="28" w:type="dxa"/>
              <w:right w:w="28" w:type="dxa"/>
            </w:tcMar>
            <w:vAlign w:val="center"/>
          </w:tcPr>
          <w:p w14:paraId="198D0C7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32315F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40F0A3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00887A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7248BBB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0.5</w:t>
            </w:r>
          </w:p>
        </w:tc>
        <w:tc>
          <w:tcPr>
            <w:tcW w:w="709" w:type="dxa"/>
            <w:tcMar>
              <w:left w:w="28" w:type="dxa"/>
              <w:right w:w="28" w:type="dxa"/>
            </w:tcMar>
            <w:vAlign w:val="center"/>
          </w:tcPr>
          <w:p w14:paraId="6B55BE6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37689B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58D83D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r>
      <w:tr w:rsidR="0088288C" w:rsidRPr="002168E2" w14:paraId="6FEA0003" w14:textId="77777777" w:rsidTr="00E56CF1">
        <w:trPr>
          <w:trHeight w:hRule="exact" w:val="312"/>
        </w:trPr>
        <w:tc>
          <w:tcPr>
            <w:tcW w:w="879" w:type="dxa"/>
            <w:vMerge/>
            <w:vAlign w:val="center"/>
          </w:tcPr>
          <w:p w14:paraId="4B991FF0"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4C6B1599"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Bedarra</w:t>
            </w:r>
          </w:p>
        </w:tc>
        <w:tc>
          <w:tcPr>
            <w:tcW w:w="567" w:type="dxa"/>
            <w:tcMar>
              <w:left w:w="28" w:type="dxa"/>
              <w:right w:w="28" w:type="dxa"/>
            </w:tcMar>
            <w:vAlign w:val="center"/>
          </w:tcPr>
          <w:p w14:paraId="43287F80"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03B0211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1.25</w:t>
            </w:r>
          </w:p>
        </w:tc>
        <w:tc>
          <w:tcPr>
            <w:tcW w:w="709" w:type="dxa"/>
            <w:tcMar>
              <w:left w:w="28" w:type="dxa"/>
              <w:right w:w="28" w:type="dxa"/>
            </w:tcMar>
            <w:vAlign w:val="center"/>
          </w:tcPr>
          <w:p w14:paraId="16F1ABF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tcMar>
              <w:left w:w="28" w:type="dxa"/>
              <w:right w:w="28" w:type="dxa"/>
            </w:tcMar>
            <w:vAlign w:val="center"/>
          </w:tcPr>
          <w:p w14:paraId="5060242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1.25</w:t>
            </w:r>
          </w:p>
        </w:tc>
        <w:tc>
          <w:tcPr>
            <w:tcW w:w="709" w:type="dxa"/>
            <w:tcMar>
              <w:left w:w="28" w:type="dxa"/>
              <w:right w:w="28" w:type="dxa"/>
            </w:tcMar>
            <w:vAlign w:val="center"/>
          </w:tcPr>
          <w:p w14:paraId="1358208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36E4702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1.56</w:t>
            </w:r>
          </w:p>
        </w:tc>
        <w:tc>
          <w:tcPr>
            <w:tcW w:w="709" w:type="dxa"/>
            <w:tcMar>
              <w:left w:w="28" w:type="dxa"/>
              <w:right w:w="28" w:type="dxa"/>
            </w:tcMar>
            <w:vAlign w:val="center"/>
          </w:tcPr>
          <w:p w14:paraId="74B02A5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5561E9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73E00A1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74EF73D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0.31</w:t>
            </w:r>
          </w:p>
        </w:tc>
        <w:tc>
          <w:tcPr>
            <w:tcW w:w="709" w:type="dxa"/>
            <w:tcMar>
              <w:left w:w="28" w:type="dxa"/>
              <w:right w:w="28" w:type="dxa"/>
            </w:tcMar>
            <w:vAlign w:val="center"/>
          </w:tcPr>
          <w:p w14:paraId="213BB92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B3BC48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EEE0B1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8" w:type="dxa"/>
            <w:tcMar>
              <w:left w:w="28" w:type="dxa"/>
              <w:right w:w="28" w:type="dxa"/>
            </w:tcMar>
            <w:vAlign w:val="center"/>
          </w:tcPr>
          <w:p w14:paraId="5D2D1C3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1.56</w:t>
            </w:r>
          </w:p>
        </w:tc>
        <w:tc>
          <w:tcPr>
            <w:tcW w:w="709" w:type="dxa"/>
            <w:tcMar>
              <w:left w:w="28" w:type="dxa"/>
              <w:right w:w="28" w:type="dxa"/>
            </w:tcMar>
            <w:vAlign w:val="center"/>
          </w:tcPr>
          <w:p w14:paraId="26A1660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2.75</w:t>
            </w:r>
          </w:p>
        </w:tc>
        <w:tc>
          <w:tcPr>
            <w:tcW w:w="709" w:type="dxa"/>
            <w:tcMar>
              <w:left w:w="28" w:type="dxa"/>
              <w:right w:w="28" w:type="dxa"/>
            </w:tcMar>
            <w:vAlign w:val="center"/>
          </w:tcPr>
          <w:p w14:paraId="18D38C1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8.88</w:t>
            </w:r>
          </w:p>
        </w:tc>
        <w:tc>
          <w:tcPr>
            <w:tcW w:w="709" w:type="dxa"/>
            <w:tcMar>
              <w:left w:w="28" w:type="dxa"/>
              <w:right w:w="28" w:type="dxa"/>
            </w:tcMar>
            <w:vAlign w:val="center"/>
          </w:tcPr>
          <w:p w14:paraId="06B1D94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2.38</w:t>
            </w:r>
          </w:p>
        </w:tc>
      </w:tr>
      <w:tr w:rsidR="0088288C" w:rsidRPr="002168E2" w14:paraId="42529FA1" w14:textId="77777777" w:rsidTr="00E56CF1">
        <w:trPr>
          <w:trHeight w:hRule="exact" w:val="312"/>
        </w:trPr>
        <w:tc>
          <w:tcPr>
            <w:tcW w:w="879" w:type="dxa"/>
            <w:vMerge/>
            <w:vAlign w:val="center"/>
          </w:tcPr>
          <w:p w14:paraId="7F0F7743"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0F5F2F11" w14:textId="77777777" w:rsidR="0088288C" w:rsidRPr="00C22707" w:rsidRDefault="0088288C" w:rsidP="00E56CF1">
            <w:pPr>
              <w:jc w:val="center"/>
              <w:rPr>
                <w:rFonts w:ascii="Arial Narrow" w:hAnsi="Arial Narrow"/>
                <w:color w:val="000000"/>
                <w:sz w:val="20"/>
              </w:rPr>
            </w:pPr>
          </w:p>
        </w:tc>
        <w:tc>
          <w:tcPr>
            <w:tcW w:w="567" w:type="dxa"/>
            <w:tcMar>
              <w:left w:w="28" w:type="dxa"/>
              <w:right w:w="28" w:type="dxa"/>
            </w:tcMar>
            <w:vAlign w:val="center"/>
          </w:tcPr>
          <w:p w14:paraId="519D5E0A"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1D2D8EA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7C79C5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0.31</w:t>
            </w:r>
          </w:p>
        </w:tc>
        <w:tc>
          <w:tcPr>
            <w:tcW w:w="709" w:type="dxa"/>
            <w:tcMar>
              <w:left w:w="28" w:type="dxa"/>
              <w:right w:w="28" w:type="dxa"/>
            </w:tcMar>
            <w:vAlign w:val="center"/>
          </w:tcPr>
          <w:p w14:paraId="3FC6EFA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DE5DA2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05EDD76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106CE20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C282A6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BF018B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74F1407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6438F6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8E1C28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7F099E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044CD2C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w:t>
            </w:r>
          </w:p>
        </w:tc>
        <w:tc>
          <w:tcPr>
            <w:tcW w:w="709" w:type="dxa"/>
            <w:tcMar>
              <w:left w:w="28" w:type="dxa"/>
              <w:right w:w="28" w:type="dxa"/>
            </w:tcMar>
            <w:vAlign w:val="center"/>
          </w:tcPr>
          <w:p w14:paraId="123E644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tcMar>
              <w:left w:w="28" w:type="dxa"/>
              <w:right w:w="28" w:type="dxa"/>
            </w:tcMar>
            <w:vAlign w:val="center"/>
          </w:tcPr>
          <w:p w14:paraId="7E98A3D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40D18E7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r>
      <w:tr w:rsidR="0088288C" w:rsidRPr="002168E2" w14:paraId="25D32394" w14:textId="77777777" w:rsidTr="00E56CF1">
        <w:trPr>
          <w:trHeight w:hRule="exact" w:val="312"/>
        </w:trPr>
        <w:tc>
          <w:tcPr>
            <w:tcW w:w="879" w:type="dxa"/>
            <w:vMerge/>
            <w:vAlign w:val="center"/>
          </w:tcPr>
          <w:p w14:paraId="76C2B2C2"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2650C36D"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Dunk North</w:t>
            </w:r>
          </w:p>
        </w:tc>
        <w:tc>
          <w:tcPr>
            <w:tcW w:w="567" w:type="dxa"/>
            <w:tcMar>
              <w:left w:w="28" w:type="dxa"/>
              <w:right w:w="28" w:type="dxa"/>
            </w:tcMar>
            <w:vAlign w:val="center"/>
          </w:tcPr>
          <w:p w14:paraId="0365E553"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771B418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6BAD772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78C0623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0785A6F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2D63EFE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3.88</w:t>
            </w:r>
          </w:p>
        </w:tc>
        <w:tc>
          <w:tcPr>
            <w:tcW w:w="709" w:type="dxa"/>
            <w:tcMar>
              <w:left w:w="28" w:type="dxa"/>
              <w:right w:w="28" w:type="dxa"/>
            </w:tcMar>
            <w:vAlign w:val="center"/>
          </w:tcPr>
          <w:p w14:paraId="6DF67EE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0.94</w:t>
            </w:r>
          </w:p>
        </w:tc>
        <w:tc>
          <w:tcPr>
            <w:tcW w:w="709" w:type="dxa"/>
            <w:tcMar>
              <w:left w:w="28" w:type="dxa"/>
              <w:right w:w="28" w:type="dxa"/>
            </w:tcMar>
            <w:vAlign w:val="center"/>
          </w:tcPr>
          <w:p w14:paraId="246E460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581F8C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5631A98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0.56</w:t>
            </w:r>
          </w:p>
        </w:tc>
        <w:tc>
          <w:tcPr>
            <w:tcW w:w="709" w:type="dxa"/>
            <w:tcMar>
              <w:left w:w="28" w:type="dxa"/>
              <w:right w:w="28" w:type="dxa"/>
            </w:tcMar>
            <w:vAlign w:val="center"/>
          </w:tcPr>
          <w:p w14:paraId="4A41ABE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46DCE6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393684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8" w:type="dxa"/>
            <w:tcMar>
              <w:left w:w="28" w:type="dxa"/>
              <w:right w:w="28" w:type="dxa"/>
            </w:tcMar>
            <w:vAlign w:val="center"/>
          </w:tcPr>
          <w:p w14:paraId="1914747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0.75</w:t>
            </w:r>
          </w:p>
        </w:tc>
        <w:tc>
          <w:tcPr>
            <w:tcW w:w="709" w:type="dxa"/>
            <w:tcMar>
              <w:left w:w="28" w:type="dxa"/>
              <w:right w:w="28" w:type="dxa"/>
            </w:tcMar>
            <w:vAlign w:val="center"/>
          </w:tcPr>
          <w:p w14:paraId="40C4B8B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3.31</w:t>
            </w:r>
          </w:p>
        </w:tc>
        <w:tc>
          <w:tcPr>
            <w:tcW w:w="709" w:type="dxa"/>
            <w:tcMar>
              <w:left w:w="28" w:type="dxa"/>
              <w:right w:w="28" w:type="dxa"/>
            </w:tcMar>
            <w:vAlign w:val="center"/>
          </w:tcPr>
          <w:p w14:paraId="55EE58B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15.13</w:t>
            </w:r>
          </w:p>
        </w:tc>
        <w:tc>
          <w:tcPr>
            <w:tcW w:w="709" w:type="dxa"/>
            <w:tcMar>
              <w:left w:w="28" w:type="dxa"/>
              <w:right w:w="28" w:type="dxa"/>
            </w:tcMar>
            <w:vAlign w:val="center"/>
          </w:tcPr>
          <w:p w14:paraId="33CEF67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r>
      <w:tr w:rsidR="0088288C" w:rsidRPr="002168E2" w14:paraId="6E5A9BA6" w14:textId="77777777" w:rsidTr="00E56CF1">
        <w:trPr>
          <w:trHeight w:hRule="exact" w:val="312"/>
        </w:trPr>
        <w:tc>
          <w:tcPr>
            <w:tcW w:w="879" w:type="dxa"/>
            <w:vMerge/>
            <w:vAlign w:val="center"/>
          </w:tcPr>
          <w:p w14:paraId="3008BC82" w14:textId="77777777" w:rsidR="0088288C" w:rsidRPr="002168E2" w:rsidRDefault="0088288C" w:rsidP="00E56CF1">
            <w:pPr>
              <w:jc w:val="center"/>
              <w:rPr>
                <w:rFonts w:ascii="Arial Narrow" w:hAnsi="Arial Narrow"/>
                <w:b/>
                <w:color w:val="000000"/>
                <w:sz w:val="18"/>
                <w:szCs w:val="18"/>
              </w:rPr>
            </w:pPr>
          </w:p>
        </w:tc>
        <w:tc>
          <w:tcPr>
            <w:tcW w:w="1843" w:type="dxa"/>
            <w:vMerge/>
            <w:tcMar>
              <w:left w:w="28" w:type="dxa"/>
              <w:right w:w="28" w:type="dxa"/>
            </w:tcMar>
            <w:vAlign w:val="center"/>
          </w:tcPr>
          <w:p w14:paraId="5A34959A" w14:textId="77777777" w:rsidR="0088288C" w:rsidRPr="002168E2" w:rsidRDefault="0088288C" w:rsidP="00E56CF1">
            <w:pPr>
              <w:jc w:val="left"/>
              <w:rPr>
                <w:rFonts w:ascii="Arial Narrow" w:hAnsi="Arial Narrow"/>
                <w:b/>
                <w:color w:val="000000"/>
                <w:sz w:val="18"/>
                <w:szCs w:val="18"/>
              </w:rPr>
            </w:pPr>
          </w:p>
        </w:tc>
        <w:tc>
          <w:tcPr>
            <w:tcW w:w="567" w:type="dxa"/>
            <w:tcMar>
              <w:left w:w="28" w:type="dxa"/>
              <w:right w:w="28" w:type="dxa"/>
            </w:tcMar>
            <w:vAlign w:val="center"/>
          </w:tcPr>
          <w:p w14:paraId="2E5C0EA3"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1CAA46F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B70B9E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0.38</w:t>
            </w:r>
          </w:p>
        </w:tc>
        <w:tc>
          <w:tcPr>
            <w:tcW w:w="709" w:type="dxa"/>
            <w:tcMar>
              <w:left w:w="28" w:type="dxa"/>
              <w:right w:w="28" w:type="dxa"/>
            </w:tcMar>
            <w:vAlign w:val="center"/>
          </w:tcPr>
          <w:p w14:paraId="3E98ED1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0.5</w:t>
            </w:r>
          </w:p>
        </w:tc>
        <w:tc>
          <w:tcPr>
            <w:tcW w:w="709" w:type="dxa"/>
            <w:tcMar>
              <w:left w:w="28" w:type="dxa"/>
              <w:right w:w="28" w:type="dxa"/>
            </w:tcMar>
            <w:vAlign w:val="center"/>
          </w:tcPr>
          <w:p w14:paraId="0BCD911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842BB4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3.19</w:t>
            </w:r>
          </w:p>
        </w:tc>
        <w:tc>
          <w:tcPr>
            <w:tcW w:w="709" w:type="dxa"/>
            <w:tcMar>
              <w:left w:w="28" w:type="dxa"/>
              <w:right w:w="28" w:type="dxa"/>
            </w:tcMar>
            <w:vAlign w:val="center"/>
          </w:tcPr>
          <w:p w14:paraId="6317499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F6E110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0C90DD3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2C844BD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6A5F744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AFC2EC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79AFBC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3FB9F4C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1.06</w:t>
            </w:r>
          </w:p>
        </w:tc>
        <w:tc>
          <w:tcPr>
            <w:tcW w:w="709" w:type="dxa"/>
            <w:tcMar>
              <w:left w:w="28" w:type="dxa"/>
              <w:right w:w="28" w:type="dxa"/>
            </w:tcMar>
            <w:vAlign w:val="center"/>
          </w:tcPr>
          <w:p w14:paraId="5BEF8CC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1.25</w:t>
            </w:r>
          </w:p>
        </w:tc>
        <w:tc>
          <w:tcPr>
            <w:tcW w:w="709" w:type="dxa"/>
            <w:tcMar>
              <w:left w:w="28" w:type="dxa"/>
              <w:right w:w="28" w:type="dxa"/>
            </w:tcMar>
            <w:vAlign w:val="center"/>
          </w:tcPr>
          <w:p w14:paraId="0FF92B2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1.38</w:t>
            </w:r>
          </w:p>
        </w:tc>
        <w:tc>
          <w:tcPr>
            <w:tcW w:w="709" w:type="dxa"/>
            <w:tcMar>
              <w:left w:w="28" w:type="dxa"/>
              <w:right w:w="28" w:type="dxa"/>
            </w:tcMar>
            <w:vAlign w:val="center"/>
          </w:tcPr>
          <w:p w14:paraId="64FA389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r>
      <w:tr w:rsidR="0088288C" w:rsidRPr="002168E2" w14:paraId="24A360CD" w14:textId="77777777" w:rsidTr="00E56CF1">
        <w:trPr>
          <w:trHeight w:hRule="exact" w:val="312"/>
        </w:trPr>
        <w:tc>
          <w:tcPr>
            <w:tcW w:w="879" w:type="dxa"/>
            <w:vMerge/>
            <w:vAlign w:val="center"/>
          </w:tcPr>
          <w:p w14:paraId="25122D7C"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4567C364"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Dunk South</w:t>
            </w:r>
          </w:p>
        </w:tc>
        <w:tc>
          <w:tcPr>
            <w:tcW w:w="567" w:type="dxa"/>
            <w:tcMar>
              <w:left w:w="28" w:type="dxa"/>
              <w:right w:w="28" w:type="dxa"/>
            </w:tcMar>
            <w:vAlign w:val="center"/>
          </w:tcPr>
          <w:p w14:paraId="38BFA8E6"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2BBF43A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393AED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33A859E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1.44</w:t>
            </w:r>
          </w:p>
        </w:tc>
        <w:tc>
          <w:tcPr>
            <w:tcW w:w="709" w:type="dxa"/>
            <w:tcMar>
              <w:left w:w="28" w:type="dxa"/>
              <w:right w:w="28" w:type="dxa"/>
            </w:tcMar>
            <w:vAlign w:val="center"/>
          </w:tcPr>
          <w:p w14:paraId="5C8D07C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296FF42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3.63</w:t>
            </w:r>
          </w:p>
        </w:tc>
        <w:tc>
          <w:tcPr>
            <w:tcW w:w="709" w:type="dxa"/>
            <w:tcMar>
              <w:left w:w="28" w:type="dxa"/>
              <w:right w:w="28" w:type="dxa"/>
            </w:tcMar>
            <w:vAlign w:val="center"/>
          </w:tcPr>
          <w:p w14:paraId="46F618A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A1C265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4F6C9F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1AAFE39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0.38</w:t>
            </w:r>
          </w:p>
        </w:tc>
        <w:tc>
          <w:tcPr>
            <w:tcW w:w="709" w:type="dxa"/>
            <w:tcMar>
              <w:left w:w="28" w:type="dxa"/>
              <w:right w:w="28" w:type="dxa"/>
            </w:tcMar>
            <w:vAlign w:val="center"/>
          </w:tcPr>
          <w:p w14:paraId="68BA511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0.69</w:t>
            </w:r>
          </w:p>
        </w:tc>
        <w:tc>
          <w:tcPr>
            <w:tcW w:w="709" w:type="dxa"/>
            <w:tcMar>
              <w:left w:w="28" w:type="dxa"/>
              <w:right w:w="28" w:type="dxa"/>
            </w:tcMar>
            <w:vAlign w:val="center"/>
          </w:tcPr>
          <w:p w14:paraId="4EC7007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436A4FF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8" w:type="dxa"/>
            <w:tcMar>
              <w:left w:w="28" w:type="dxa"/>
              <w:right w:w="28" w:type="dxa"/>
            </w:tcMar>
            <w:vAlign w:val="center"/>
          </w:tcPr>
          <w:p w14:paraId="6089A18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1.38</w:t>
            </w:r>
          </w:p>
        </w:tc>
        <w:tc>
          <w:tcPr>
            <w:tcW w:w="709" w:type="dxa"/>
            <w:tcMar>
              <w:left w:w="28" w:type="dxa"/>
              <w:right w:w="28" w:type="dxa"/>
            </w:tcMar>
            <w:vAlign w:val="center"/>
          </w:tcPr>
          <w:p w14:paraId="1B075F4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8.25</w:t>
            </w:r>
          </w:p>
        </w:tc>
        <w:tc>
          <w:tcPr>
            <w:tcW w:w="709" w:type="dxa"/>
            <w:tcMar>
              <w:left w:w="28" w:type="dxa"/>
              <w:right w:w="28" w:type="dxa"/>
            </w:tcMar>
            <w:vAlign w:val="center"/>
          </w:tcPr>
          <w:p w14:paraId="04DE5A4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21.44</w:t>
            </w:r>
          </w:p>
        </w:tc>
        <w:tc>
          <w:tcPr>
            <w:tcW w:w="709" w:type="dxa"/>
            <w:tcMar>
              <w:left w:w="28" w:type="dxa"/>
              <w:right w:w="28" w:type="dxa"/>
            </w:tcMar>
            <w:vAlign w:val="center"/>
          </w:tcPr>
          <w:p w14:paraId="613AB7A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0.94</w:t>
            </w:r>
          </w:p>
        </w:tc>
      </w:tr>
      <w:tr w:rsidR="0088288C" w:rsidRPr="002168E2" w14:paraId="1B8E3CA0" w14:textId="77777777" w:rsidTr="00E56CF1">
        <w:trPr>
          <w:trHeight w:hRule="exact" w:val="312"/>
        </w:trPr>
        <w:tc>
          <w:tcPr>
            <w:tcW w:w="879" w:type="dxa"/>
            <w:vMerge/>
            <w:vAlign w:val="center"/>
          </w:tcPr>
          <w:p w14:paraId="2AC54CA0"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6E1959C8"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5D964EAE"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6A55615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883672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1418E6E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1A5F44C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53DE286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w:t>
            </w:r>
          </w:p>
        </w:tc>
        <w:tc>
          <w:tcPr>
            <w:tcW w:w="709" w:type="dxa"/>
            <w:tcMar>
              <w:left w:w="28" w:type="dxa"/>
              <w:right w:w="28" w:type="dxa"/>
            </w:tcMar>
            <w:vAlign w:val="center"/>
          </w:tcPr>
          <w:p w14:paraId="0CC02A3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32162E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2DC956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135C8DE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60BD7A2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004788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690694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8" w:type="dxa"/>
            <w:tcMar>
              <w:left w:w="28" w:type="dxa"/>
              <w:right w:w="28" w:type="dxa"/>
            </w:tcMar>
            <w:vAlign w:val="center"/>
          </w:tcPr>
          <w:p w14:paraId="0D24606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0.5</w:t>
            </w:r>
          </w:p>
        </w:tc>
        <w:tc>
          <w:tcPr>
            <w:tcW w:w="709" w:type="dxa"/>
            <w:tcMar>
              <w:left w:w="28" w:type="dxa"/>
              <w:right w:w="28" w:type="dxa"/>
            </w:tcMar>
            <w:vAlign w:val="center"/>
          </w:tcPr>
          <w:p w14:paraId="47940AF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2.25</w:t>
            </w:r>
          </w:p>
        </w:tc>
        <w:tc>
          <w:tcPr>
            <w:tcW w:w="709" w:type="dxa"/>
            <w:tcMar>
              <w:left w:w="28" w:type="dxa"/>
              <w:right w:w="28" w:type="dxa"/>
            </w:tcMar>
            <w:vAlign w:val="center"/>
          </w:tcPr>
          <w:p w14:paraId="1574951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34898A5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57AE7EA7" w14:textId="77777777" w:rsidTr="00E56CF1">
        <w:trPr>
          <w:trHeight w:hRule="exact" w:val="312"/>
        </w:trPr>
        <w:tc>
          <w:tcPr>
            <w:tcW w:w="879" w:type="dxa"/>
            <w:vMerge w:val="restart"/>
            <w:textDirection w:val="btLr"/>
            <w:vAlign w:val="center"/>
          </w:tcPr>
          <w:p w14:paraId="3AB87EFF" w14:textId="77777777" w:rsidR="0088288C" w:rsidRPr="00C22707" w:rsidRDefault="0088288C" w:rsidP="00E56CF1">
            <w:pPr>
              <w:ind w:left="113" w:right="113"/>
              <w:jc w:val="center"/>
              <w:rPr>
                <w:rFonts w:ascii="Arial Narrow" w:hAnsi="Arial Narrow"/>
                <w:color w:val="000000"/>
                <w:sz w:val="20"/>
              </w:rPr>
            </w:pPr>
            <w:r>
              <w:rPr>
                <w:rFonts w:ascii="Arial Narrow" w:hAnsi="Arial Narrow"/>
                <w:color w:val="000000"/>
                <w:sz w:val="20"/>
              </w:rPr>
              <w:t>Burdekin</w:t>
            </w:r>
          </w:p>
        </w:tc>
        <w:tc>
          <w:tcPr>
            <w:tcW w:w="1843" w:type="dxa"/>
            <w:vMerge w:val="restart"/>
            <w:tcMar>
              <w:left w:w="28" w:type="dxa"/>
              <w:right w:w="28" w:type="dxa"/>
            </w:tcMar>
            <w:vAlign w:val="center"/>
          </w:tcPr>
          <w:p w14:paraId="52ECD14E"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Palms East</w:t>
            </w:r>
          </w:p>
        </w:tc>
        <w:tc>
          <w:tcPr>
            <w:tcW w:w="567" w:type="dxa"/>
            <w:tcMar>
              <w:left w:w="28" w:type="dxa"/>
              <w:right w:w="28" w:type="dxa"/>
            </w:tcMar>
            <w:vAlign w:val="center"/>
          </w:tcPr>
          <w:p w14:paraId="622680EA"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7A2C7A3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7591DF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0E071E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D7EF34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1A47B96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CA01FE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5F57E7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601A45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280AD39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2.5</w:t>
            </w:r>
          </w:p>
        </w:tc>
        <w:tc>
          <w:tcPr>
            <w:tcW w:w="709" w:type="dxa"/>
            <w:tcMar>
              <w:left w:w="28" w:type="dxa"/>
              <w:right w:w="28" w:type="dxa"/>
            </w:tcMar>
            <w:vAlign w:val="center"/>
          </w:tcPr>
          <w:p w14:paraId="4264C30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E9A44E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F51FA3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36F978A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1B95B88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9D5703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C3F691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r>
      <w:tr w:rsidR="0088288C" w:rsidRPr="002168E2" w14:paraId="2C44CF04" w14:textId="77777777" w:rsidTr="0088288C">
        <w:trPr>
          <w:trHeight w:hRule="exact" w:val="312"/>
        </w:trPr>
        <w:tc>
          <w:tcPr>
            <w:tcW w:w="879" w:type="dxa"/>
            <w:vMerge/>
          </w:tcPr>
          <w:p w14:paraId="5C3D9F9D"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432126CC"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69DA3500"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7330397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C1A26E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252880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0.63</w:t>
            </w:r>
          </w:p>
        </w:tc>
        <w:tc>
          <w:tcPr>
            <w:tcW w:w="709" w:type="dxa"/>
            <w:tcMar>
              <w:left w:w="28" w:type="dxa"/>
              <w:right w:w="28" w:type="dxa"/>
            </w:tcMar>
            <w:vAlign w:val="center"/>
          </w:tcPr>
          <w:p w14:paraId="2339BC9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7905390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5869E6F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1CF2DC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41C428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3B2FF14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6.81</w:t>
            </w:r>
          </w:p>
        </w:tc>
        <w:tc>
          <w:tcPr>
            <w:tcW w:w="709" w:type="dxa"/>
            <w:tcMar>
              <w:left w:w="28" w:type="dxa"/>
              <w:right w:w="28" w:type="dxa"/>
            </w:tcMar>
            <w:vAlign w:val="center"/>
          </w:tcPr>
          <w:p w14:paraId="394732C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B734F1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1AED11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7A97689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D946CE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221CFA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628F4D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340687EF" w14:textId="77777777" w:rsidTr="0088288C">
        <w:trPr>
          <w:trHeight w:hRule="exact" w:val="312"/>
        </w:trPr>
        <w:tc>
          <w:tcPr>
            <w:tcW w:w="879" w:type="dxa"/>
            <w:vMerge/>
          </w:tcPr>
          <w:p w14:paraId="66C6A52B"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6DBB3EDB"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Palms West</w:t>
            </w:r>
          </w:p>
        </w:tc>
        <w:tc>
          <w:tcPr>
            <w:tcW w:w="567" w:type="dxa"/>
            <w:tcMar>
              <w:left w:w="28" w:type="dxa"/>
              <w:right w:w="28" w:type="dxa"/>
            </w:tcMar>
            <w:vAlign w:val="center"/>
          </w:tcPr>
          <w:p w14:paraId="43674867"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6C51602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8E3602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5EBE4C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5B4536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41F0573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C4F50D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9DD433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868592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6631855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4D50F5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CBAEB1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9DA248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00B73D7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0BD8E1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301DBD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95C466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1AB30510" w14:textId="77777777" w:rsidTr="0088288C">
        <w:trPr>
          <w:trHeight w:hRule="exact" w:val="312"/>
        </w:trPr>
        <w:tc>
          <w:tcPr>
            <w:tcW w:w="879" w:type="dxa"/>
            <w:vMerge/>
          </w:tcPr>
          <w:p w14:paraId="7999A879"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16E12332"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560FE4BE"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3AC733F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721C75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5E89C4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7BF796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47A12DB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0D62F83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8D9BED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47BC61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5B6AC40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9EF4DC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C87DA8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2D85ED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21BA3A9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06765D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9BAA38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82125C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r>
      <w:tr w:rsidR="0088288C" w:rsidRPr="002168E2" w14:paraId="1A43E8AB" w14:textId="77777777" w:rsidTr="0088288C">
        <w:trPr>
          <w:trHeight w:hRule="exact" w:val="312"/>
        </w:trPr>
        <w:tc>
          <w:tcPr>
            <w:tcW w:w="879" w:type="dxa"/>
            <w:vMerge/>
          </w:tcPr>
          <w:p w14:paraId="60D60496"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0D7ADD2A"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Lady Elliot</w:t>
            </w:r>
          </w:p>
        </w:tc>
        <w:tc>
          <w:tcPr>
            <w:tcW w:w="567" w:type="dxa"/>
            <w:tcMar>
              <w:left w:w="28" w:type="dxa"/>
              <w:right w:w="28" w:type="dxa"/>
            </w:tcMar>
            <w:vAlign w:val="center"/>
          </w:tcPr>
          <w:p w14:paraId="3D835299"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7204963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4.94</w:t>
            </w:r>
          </w:p>
        </w:tc>
        <w:tc>
          <w:tcPr>
            <w:tcW w:w="709" w:type="dxa"/>
            <w:tcMar>
              <w:left w:w="28" w:type="dxa"/>
              <w:right w:w="28" w:type="dxa"/>
            </w:tcMar>
            <w:vAlign w:val="center"/>
          </w:tcPr>
          <w:p w14:paraId="3503A5A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4.69</w:t>
            </w:r>
          </w:p>
        </w:tc>
        <w:tc>
          <w:tcPr>
            <w:tcW w:w="709" w:type="dxa"/>
            <w:tcMar>
              <w:left w:w="28" w:type="dxa"/>
              <w:right w:w="28" w:type="dxa"/>
            </w:tcMar>
            <w:vAlign w:val="center"/>
          </w:tcPr>
          <w:p w14:paraId="67F5EFD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60FE3F6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14D4274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3.31</w:t>
            </w:r>
          </w:p>
        </w:tc>
        <w:tc>
          <w:tcPr>
            <w:tcW w:w="709" w:type="dxa"/>
            <w:tcMar>
              <w:left w:w="28" w:type="dxa"/>
              <w:right w:w="28" w:type="dxa"/>
            </w:tcMar>
            <w:vAlign w:val="center"/>
          </w:tcPr>
          <w:p w14:paraId="29F3406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3FAB46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3E8302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2D8C4CD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A6DAE7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CCC33C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0EB13A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8" w:type="dxa"/>
            <w:tcMar>
              <w:left w:w="28" w:type="dxa"/>
              <w:right w:w="28" w:type="dxa"/>
            </w:tcMar>
            <w:vAlign w:val="center"/>
          </w:tcPr>
          <w:p w14:paraId="755E275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0.44</w:t>
            </w:r>
          </w:p>
        </w:tc>
        <w:tc>
          <w:tcPr>
            <w:tcW w:w="709" w:type="dxa"/>
            <w:tcMar>
              <w:left w:w="28" w:type="dxa"/>
              <w:right w:w="28" w:type="dxa"/>
            </w:tcMar>
            <w:vAlign w:val="center"/>
          </w:tcPr>
          <w:p w14:paraId="3818127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0E8A362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674D445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0.31</w:t>
            </w:r>
          </w:p>
        </w:tc>
      </w:tr>
      <w:tr w:rsidR="0088288C" w:rsidRPr="002168E2" w14:paraId="468DD839" w14:textId="77777777" w:rsidTr="0088288C">
        <w:trPr>
          <w:trHeight w:hRule="exact" w:val="312"/>
        </w:trPr>
        <w:tc>
          <w:tcPr>
            <w:tcW w:w="879" w:type="dxa"/>
            <w:vMerge/>
          </w:tcPr>
          <w:p w14:paraId="3A41B5E6"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05EC00DD"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49E9DCA0"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2BC1C4C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3A6302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1.5</w:t>
            </w:r>
          </w:p>
        </w:tc>
        <w:tc>
          <w:tcPr>
            <w:tcW w:w="709" w:type="dxa"/>
            <w:tcMar>
              <w:left w:w="28" w:type="dxa"/>
              <w:right w:w="28" w:type="dxa"/>
            </w:tcMar>
            <w:vAlign w:val="center"/>
          </w:tcPr>
          <w:p w14:paraId="599119C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2E98006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18543FF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2.88</w:t>
            </w:r>
          </w:p>
        </w:tc>
        <w:tc>
          <w:tcPr>
            <w:tcW w:w="709" w:type="dxa"/>
            <w:tcMar>
              <w:left w:w="28" w:type="dxa"/>
              <w:right w:w="28" w:type="dxa"/>
            </w:tcMar>
            <w:vAlign w:val="center"/>
          </w:tcPr>
          <w:p w14:paraId="7326CAA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23A814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97D60D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29F839B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2CA409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141D0CB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97EA2B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4A357AE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0.44</w:t>
            </w:r>
          </w:p>
        </w:tc>
        <w:tc>
          <w:tcPr>
            <w:tcW w:w="709" w:type="dxa"/>
            <w:tcMar>
              <w:left w:w="28" w:type="dxa"/>
              <w:right w:w="28" w:type="dxa"/>
            </w:tcMar>
            <w:vAlign w:val="center"/>
          </w:tcPr>
          <w:p w14:paraId="00B8FF1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41F8D1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973B25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0.31</w:t>
            </w:r>
          </w:p>
        </w:tc>
      </w:tr>
      <w:tr w:rsidR="0088288C" w:rsidRPr="002168E2" w14:paraId="603FF3C4" w14:textId="77777777" w:rsidTr="0088288C">
        <w:trPr>
          <w:trHeight w:hRule="exact" w:val="312"/>
        </w:trPr>
        <w:tc>
          <w:tcPr>
            <w:tcW w:w="879" w:type="dxa"/>
            <w:vMerge/>
          </w:tcPr>
          <w:p w14:paraId="4AACDF05"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64F49443"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Pandora</w:t>
            </w:r>
          </w:p>
        </w:tc>
        <w:tc>
          <w:tcPr>
            <w:tcW w:w="567" w:type="dxa"/>
            <w:tcMar>
              <w:left w:w="28" w:type="dxa"/>
              <w:right w:w="28" w:type="dxa"/>
            </w:tcMar>
            <w:vAlign w:val="center"/>
          </w:tcPr>
          <w:p w14:paraId="15E8B931"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1C15410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66C742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9B1928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C4F171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1.31</w:t>
            </w:r>
          </w:p>
        </w:tc>
        <w:tc>
          <w:tcPr>
            <w:tcW w:w="708" w:type="dxa"/>
            <w:tcMar>
              <w:left w:w="28" w:type="dxa"/>
              <w:right w:w="28" w:type="dxa"/>
            </w:tcMar>
            <w:vAlign w:val="center"/>
          </w:tcPr>
          <w:p w14:paraId="3135A33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Mar>
              <w:left w:w="28" w:type="dxa"/>
              <w:right w:w="28" w:type="dxa"/>
            </w:tcMar>
            <w:vAlign w:val="center"/>
          </w:tcPr>
          <w:p w14:paraId="71C3A1D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792490A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ACEC8C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39F8B62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0.38</w:t>
            </w:r>
          </w:p>
        </w:tc>
        <w:tc>
          <w:tcPr>
            <w:tcW w:w="709" w:type="dxa"/>
            <w:tcMar>
              <w:left w:w="28" w:type="dxa"/>
              <w:right w:w="28" w:type="dxa"/>
            </w:tcMar>
            <w:vAlign w:val="center"/>
          </w:tcPr>
          <w:p w14:paraId="1571FEA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142C40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96804D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0.38</w:t>
            </w:r>
          </w:p>
        </w:tc>
        <w:tc>
          <w:tcPr>
            <w:tcW w:w="708" w:type="dxa"/>
            <w:tcMar>
              <w:left w:w="28" w:type="dxa"/>
              <w:right w:w="28" w:type="dxa"/>
            </w:tcMar>
            <w:vAlign w:val="center"/>
          </w:tcPr>
          <w:p w14:paraId="768E3E9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0.81</w:t>
            </w:r>
          </w:p>
        </w:tc>
        <w:tc>
          <w:tcPr>
            <w:tcW w:w="709" w:type="dxa"/>
            <w:tcMar>
              <w:left w:w="28" w:type="dxa"/>
              <w:right w:w="28" w:type="dxa"/>
            </w:tcMar>
            <w:vAlign w:val="center"/>
          </w:tcPr>
          <w:p w14:paraId="4A04E1B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3.44</w:t>
            </w:r>
          </w:p>
        </w:tc>
        <w:tc>
          <w:tcPr>
            <w:tcW w:w="709" w:type="dxa"/>
            <w:tcMar>
              <w:left w:w="28" w:type="dxa"/>
              <w:right w:w="28" w:type="dxa"/>
            </w:tcMar>
            <w:vAlign w:val="center"/>
          </w:tcPr>
          <w:p w14:paraId="38539A1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26.89</w:t>
            </w:r>
          </w:p>
        </w:tc>
        <w:tc>
          <w:tcPr>
            <w:tcW w:w="709" w:type="dxa"/>
            <w:tcMar>
              <w:left w:w="28" w:type="dxa"/>
              <w:right w:w="28" w:type="dxa"/>
            </w:tcMar>
            <w:vAlign w:val="center"/>
          </w:tcPr>
          <w:p w14:paraId="7A4C680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2.75</w:t>
            </w:r>
          </w:p>
        </w:tc>
      </w:tr>
      <w:tr w:rsidR="0088288C" w:rsidRPr="002168E2" w14:paraId="037F898E" w14:textId="77777777" w:rsidTr="0088288C">
        <w:trPr>
          <w:trHeight w:hRule="exact" w:val="312"/>
        </w:trPr>
        <w:tc>
          <w:tcPr>
            <w:tcW w:w="879" w:type="dxa"/>
            <w:vMerge/>
          </w:tcPr>
          <w:p w14:paraId="10777F99"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5366B871"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26BEB92B"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Borders>
              <w:bottom w:val="single" w:sz="4" w:space="0" w:color="auto"/>
            </w:tcBorders>
            <w:tcMar>
              <w:left w:w="28" w:type="dxa"/>
              <w:right w:w="28" w:type="dxa"/>
            </w:tcMar>
            <w:vAlign w:val="center"/>
          </w:tcPr>
          <w:p w14:paraId="7DD2729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0D83387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7E1A01D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46C4D84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3.56</w:t>
            </w:r>
          </w:p>
        </w:tc>
        <w:tc>
          <w:tcPr>
            <w:tcW w:w="708" w:type="dxa"/>
            <w:tcBorders>
              <w:bottom w:val="single" w:sz="4" w:space="0" w:color="auto"/>
            </w:tcBorders>
            <w:tcMar>
              <w:left w:w="28" w:type="dxa"/>
              <w:right w:w="28" w:type="dxa"/>
            </w:tcMar>
            <w:vAlign w:val="center"/>
          </w:tcPr>
          <w:p w14:paraId="08A96FA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0.56</w:t>
            </w:r>
          </w:p>
        </w:tc>
        <w:tc>
          <w:tcPr>
            <w:tcW w:w="709" w:type="dxa"/>
            <w:tcBorders>
              <w:bottom w:val="single" w:sz="4" w:space="0" w:color="auto"/>
            </w:tcBorders>
            <w:tcMar>
              <w:left w:w="28" w:type="dxa"/>
              <w:right w:w="28" w:type="dxa"/>
            </w:tcMar>
            <w:vAlign w:val="center"/>
          </w:tcPr>
          <w:p w14:paraId="672D80C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57B16E9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4CEB6D3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Borders>
              <w:bottom w:val="single" w:sz="4" w:space="0" w:color="auto"/>
            </w:tcBorders>
            <w:tcMar>
              <w:left w:w="28" w:type="dxa"/>
              <w:right w:w="28" w:type="dxa"/>
            </w:tcMar>
            <w:vAlign w:val="center"/>
          </w:tcPr>
          <w:p w14:paraId="7EC9CE3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tcBorders>
              <w:bottom w:val="single" w:sz="4" w:space="0" w:color="auto"/>
            </w:tcBorders>
            <w:tcMar>
              <w:left w:w="28" w:type="dxa"/>
              <w:right w:w="28" w:type="dxa"/>
            </w:tcMar>
            <w:vAlign w:val="center"/>
          </w:tcPr>
          <w:p w14:paraId="1EF8074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2C3B910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04384EE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0.31</w:t>
            </w:r>
          </w:p>
        </w:tc>
        <w:tc>
          <w:tcPr>
            <w:tcW w:w="708" w:type="dxa"/>
            <w:tcBorders>
              <w:bottom w:val="single" w:sz="4" w:space="0" w:color="auto"/>
            </w:tcBorders>
            <w:tcMar>
              <w:left w:w="28" w:type="dxa"/>
              <w:right w:w="28" w:type="dxa"/>
            </w:tcMar>
            <w:vAlign w:val="center"/>
          </w:tcPr>
          <w:p w14:paraId="7F38C49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1.81</w:t>
            </w:r>
          </w:p>
        </w:tc>
        <w:tc>
          <w:tcPr>
            <w:tcW w:w="709" w:type="dxa"/>
            <w:tcBorders>
              <w:bottom w:val="single" w:sz="4" w:space="0" w:color="auto"/>
            </w:tcBorders>
            <w:tcMar>
              <w:left w:w="28" w:type="dxa"/>
              <w:right w:w="28" w:type="dxa"/>
            </w:tcMar>
            <w:vAlign w:val="center"/>
          </w:tcPr>
          <w:p w14:paraId="3FD9F32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4.69</w:t>
            </w:r>
          </w:p>
        </w:tc>
        <w:tc>
          <w:tcPr>
            <w:tcW w:w="709" w:type="dxa"/>
            <w:tcBorders>
              <w:bottom w:val="single" w:sz="4" w:space="0" w:color="auto"/>
            </w:tcBorders>
            <w:tcMar>
              <w:left w:w="28" w:type="dxa"/>
              <w:right w:w="28" w:type="dxa"/>
            </w:tcMar>
            <w:vAlign w:val="center"/>
          </w:tcPr>
          <w:p w14:paraId="2751D80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2.31</w:t>
            </w:r>
          </w:p>
        </w:tc>
        <w:tc>
          <w:tcPr>
            <w:tcW w:w="709" w:type="dxa"/>
            <w:tcBorders>
              <w:bottom w:val="single" w:sz="4" w:space="0" w:color="auto"/>
            </w:tcBorders>
            <w:tcMar>
              <w:left w:w="28" w:type="dxa"/>
              <w:right w:w="28" w:type="dxa"/>
            </w:tcMar>
            <w:vAlign w:val="center"/>
          </w:tcPr>
          <w:p w14:paraId="09D9CC4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r>
      <w:tr w:rsidR="0088288C" w:rsidRPr="002168E2" w14:paraId="3CCA9A08" w14:textId="77777777" w:rsidTr="0088288C">
        <w:trPr>
          <w:trHeight w:hRule="exact" w:val="312"/>
        </w:trPr>
        <w:tc>
          <w:tcPr>
            <w:tcW w:w="879" w:type="dxa"/>
            <w:vMerge/>
          </w:tcPr>
          <w:p w14:paraId="4ECCCF6C" w14:textId="77777777" w:rsidR="0088288C" w:rsidRPr="00C22707" w:rsidRDefault="0088288C" w:rsidP="00E56CF1">
            <w:pPr>
              <w:jc w:val="center"/>
              <w:rPr>
                <w:rFonts w:ascii="Arial Narrow" w:hAnsi="Arial Narrow"/>
                <w:color w:val="000000"/>
                <w:sz w:val="20"/>
              </w:rPr>
            </w:pPr>
          </w:p>
        </w:tc>
        <w:tc>
          <w:tcPr>
            <w:tcW w:w="1843" w:type="dxa"/>
            <w:tcMar>
              <w:left w:w="28" w:type="dxa"/>
              <w:right w:w="28" w:type="dxa"/>
            </w:tcMar>
            <w:vAlign w:val="center"/>
          </w:tcPr>
          <w:p w14:paraId="223E3CFA"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Pandora North</w:t>
            </w:r>
          </w:p>
        </w:tc>
        <w:tc>
          <w:tcPr>
            <w:tcW w:w="567" w:type="dxa"/>
            <w:tcMar>
              <w:left w:w="28" w:type="dxa"/>
              <w:right w:w="28" w:type="dxa"/>
            </w:tcMar>
            <w:vAlign w:val="center"/>
          </w:tcPr>
          <w:p w14:paraId="48B5F506"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0785B57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2F90026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0.07</w:t>
            </w:r>
          </w:p>
        </w:tc>
        <w:tc>
          <w:tcPr>
            <w:tcW w:w="709" w:type="dxa"/>
            <w:vAlign w:val="center"/>
          </w:tcPr>
          <w:p w14:paraId="42B917A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0.03</w:t>
            </w:r>
          </w:p>
        </w:tc>
        <w:tc>
          <w:tcPr>
            <w:tcW w:w="709" w:type="dxa"/>
            <w:vAlign w:val="center"/>
          </w:tcPr>
          <w:p w14:paraId="51CCA97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1.23</w:t>
            </w:r>
          </w:p>
        </w:tc>
        <w:tc>
          <w:tcPr>
            <w:tcW w:w="708" w:type="dxa"/>
            <w:vAlign w:val="center"/>
          </w:tcPr>
          <w:p w14:paraId="338E57F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1.13</w:t>
            </w:r>
          </w:p>
        </w:tc>
        <w:tc>
          <w:tcPr>
            <w:tcW w:w="709" w:type="dxa"/>
            <w:vAlign w:val="center"/>
          </w:tcPr>
          <w:p w14:paraId="76D1130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4DD459F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668B87B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vAlign w:val="center"/>
          </w:tcPr>
          <w:p w14:paraId="11E3039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0.17</w:t>
            </w:r>
          </w:p>
        </w:tc>
        <w:tc>
          <w:tcPr>
            <w:tcW w:w="709" w:type="dxa"/>
            <w:vAlign w:val="center"/>
          </w:tcPr>
          <w:p w14:paraId="4D0CF4C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0517FA2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03E4349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0.17</w:t>
            </w:r>
          </w:p>
        </w:tc>
        <w:tc>
          <w:tcPr>
            <w:tcW w:w="708" w:type="dxa"/>
            <w:vAlign w:val="center"/>
          </w:tcPr>
          <w:p w14:paraId="64C21B7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1.67</w:t>
            </w:r>
          </w:p>
        </w:tc>
        <w:tc>
          <w:tcPr>
            <w:tcW w:w="709" w:type="dxa"/>
            <w:vAlign w:val="center"/>
          </w:tcPr>
          <w:p w14:paraId="05A5385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5.2</w:t>
            </w:r>
          </w:p>
        </w:tc>
        <w:tc>
          <w:tcPr>
            <w:tcW w:w="709" w:type="dxa"/>
            <w:vAlign w:val="center"/>
          </w:tcPr>
          <w:p w14:paraId="2E6F48B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3.67</w:t>
            </w:r>
          </w:p>
        </w:tc>
        <w:tc>
          <w:tcPr>
            <w:tcW w:w="709" w:type="dxa"/>
            <w:vAlign w:val="center"/>
          </w:tcPr>
          <w:p w14:paraId="7E451F3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0.7</w:t>
            </w:r>
          </w:p>
        </w:tc>
      </w:tr>
      <w:tr w:rsidR="0088288C" w:rsidRPr="002168E2" w14:paraId="13385FC8" w14:textId="77777777" w:rsidTr="0088288C">
        <w:trPr>
          <w:trHeight w:hRule="exact" w:val="312"/>
        </w:trPr>
        <w:tc>
          <w:tcPr>
            <w:tcW w:w="879" w:type="dxa"/>
            <w:vMerge/>
          </w:tcPr>
          <w:p w14:paraId="4383E8DE" w14:textId="77777777" w:rsidR="0088288C" w:rsidRPr="00C22707" w:rsidRDefault="0088288C" w:rsidP="00E56CF1">
            <w:pPr>
              <w:jc w:val="center"/>
              <w:rPr>
                <w:rFonts w:ascii="Arial Narrow" w:hAnsi="Arial Narrow"/>
                <w:color w:val="000000"/>
                <w:sz w:val="20"/>
              </w:rPr>
            </w:pPr>
          </w:p>
        </w:tc>
        <w:tc>
          <w:tcPr>
            <w:tcW w:w="1843" w:type="dxa"/>
            <w:tcMar>
              <w:left w:w="28" w:type="dxa"/>
              <w:right w:w="28" w:type="dxa"/>
            </w:tcMar>
            <w:vAlign w:val="center"/>
          </w:tcPr>
          <w:p w14:paraId="36895CD3"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Havannah</w:t>
            </w:r>
          </w:p>
          <w:p w14:paraId="4EBACBC4"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North</w:t>
            </w:r>
          </w:p>
        </w:tc>
        <w:tc>
          <w:tcPr>
            <w:tcW w:w="567" w:type="dxa"/>
            <w:tcMar>
              <w:left w:w="28" w:type="dxa"/>
              <w:right w:w="28" w:type="dxa"/>
            </w:tcMar>
            <w:vAlign w:val="center"/>
          </w:tcPr>
          <w:p w14:paraId="6F27F21F"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6A8079E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5DD0BF3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vAlign w:val="center"/>
          </w:tcPr>
          <w:p w14:paraId="2C44CBA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6646306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vAlign w:val="center"/>
          </w:tcPr>
          <w:p w14:paraId="2DBC55C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2D33BC7D"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34D2D14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16B3E17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vAlign w:val="center"/>
          </w:tcPr>
          <w:p w14:paraId="0DDD8D6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0.56</w:t>
            </w:r>
          </w:p>
        </w:tc>
        <w:tc>
          <w:tcPr>
            <w:tcW w:w="709" w:type="dxa"/>
            <w:vAlign w:val="center"/>
          </w:tcPr>
          <w:p w14:paraId="0786E6A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vAlign w:val="center"/>
          </w:tcPr>
          <w:p w14:paraId="5D4BC25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3E6BD22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vAlign w:val="center"/>
          </w:tcPr>
          <w:p w14:paraId="496B269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vAlign w:val="center"/>
          </w:tcPr>
          <w:p w14:paraId="2EB4870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vAlign w:val="center"/>
          </w:tcPr>
          <w:p w14:paraId="5EAD3AB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vAlign w:val="center"/>
          </w:tcPr>
          <w:p w14:paraId="36B32FA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r>
      <w:tr w:rsidR="0088288C" w:rsidRPr="002168E2" w14:paraId="0E260306" w14:textId="77777777" w:rsidTr="0088288C">
        <w:trPr>
          <w:trHeight w:hRule="exact" w:val="312"/>
        </w:trPr>
        <w:tc>
          <w:tcPr>
            <w:tcW w:w="879" w:type="dxa"/>
            <w:vMerge/>
          </w:tcPr>
          <w:p w14:paraId="74BF3905"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66FB6BF3"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Magnetic</w:t>
            </w:r>
          </w:p>
        </w:tc>
        <w:tc>
          <w:tcPr>
            <w:tcW w:w="567" w:type="dxa"/>
            <w:tcMar>
              <w:left w:w="28" w:type="dxa"/>
              <w:right w:w="28" w:type="dxa"/>
            </w:tcMar>
            <w:vAlign w:val="center"/>
          </w:tcPr>
          <w:p w14:paraId="56694249"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1F20D1C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491C57F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tcMar>
              <w:left w:w="28" w:type="dxa"/>
              <w:right w:w="28" w:type="dxa"/>
            </w:tcMar>
            <w:vAlign w:val="center"/>
          </w:tcPr>
          <w:p w14:paraId="5F66AF89"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016905B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350C38D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0.38</w:t>
            </w:r>
          </w:p>
        </w:tc>
        <w:tc>
          <w:tcPr>
            <w:tcW w:w="709" w:type="dxa"/>
            <w:tcMar>
              <w:left w:w="28" w:type="dxa"/>
              <w:right w:w="28" w:type="dxa"/>
            </w:tcMar>
            <w:vAlign w:val="center"/>
          </w:tcPr>
          <w:p w14:paraId="30EE166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38DF5C6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Mar>
              <w:left w:w="28" w:type="dxa"/>
              <w:right w:w="28" w:type="dxa"/>
            </w:tcMar>
            <w:vAlign w:val="center"/>
          </w:tcPr>
          <w:p w14:paraId="6BE7D25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tcMar>
              <w:left w:w="28" w:type="dxa"/>
              <w:right w:w="28" w:type="dxa"/>
            </w:tcMar>
            <w:vAlign w:val="center"/>
          </w:tcPr>
          <w:p w14:paraId="377D0E5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4.38</w:t>
            </w:r>
          </w:p>
        </w:tc>
        <w:tc>
          <w:tcPr>
            <w:tcW w:w="709" w:type="dxa"/>
            <w:tcMar>
              <w:left w:w="28" w:type="dxa"/>
              <w:right w:w="28" w:type="dxa"/>
            </w:tcMar>
            <w:vAlign w:val="center"/>
          </w:tcPr>
          <w:p w14:paraId="539C55C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tcMar>
              <w:left w:w="28" w:type="dxa"/>
              <w:right w:w="28" w:type="dxa"/>
            </w:tcMar>
            <w:vAlign w:val="center"/>
          </w:tcPr>
          <w:p w14:paraId="2F92BCC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tcMar>
              <w:left w:w="28" w:type="dxa"/>
              <w:right w:w="28" w:type="dxa"/>
            </w:tcMar>
            <w:vAlign w:val="center"/>
          </w:tcPr>
          <w:p w14:paraId="2B602AA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8" w:type="dxa"/>
            <w:tcMar>
              <w:left w:w="28" w:type="dxa"/>
              <w:right w:w="28" w:type="dxa"/>
            </w:tcMar>
            <w:vAlign w:val="center"/>
          </w:tcPr>
          <w:p w14:paraId="235224A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3.25</w:t>
            </w:r>
          </w:p>
        </w:tc>
        <w:tc>
          <w:tcPr>
            <w:tcW w:w="709" w:type="dxa"/>
            <w:tcMar>
              <w:left w:w="28" w:type="dxa"/>
              <w:right w:w="28" w:type="dxa"/>
            </w:tcMar>
            <w:vAlign w:val="center"/>
          </w:tcPr>
          <w:p w14:paraId="2154495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8</w:t>
            </w:r>
          </w:p>
        </w:tc>
        <w:tc>
          <w:tcPr>
            <w:tcW w:w="709" w:type="dxa"/>
            <w:tcMar>
              <w:left w:w="28" w:type="dxa"/>
              <w:right w:w="28" w:type="dxa"/>
            </w:tcMar>
            <w:vAlign w:val="center"/>
          </w:tcPr>
          <w:p w14:paraId="398F984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4.69</w:t>
            </w:r>
          </w:p>
        </w:tc>
        <w:tc>
          <w:tcPr>
            <w:tcW w:w="709" w:type="dxa"/>
            <w:tcMar>
              <w:left w:w="28" w:type="dxa"/>
              <w:right w:w="28" w:type="dxa"/>
            </w:tcMar>
            <w:vAlign w:val="center"/>
          </w:tcPr>
          <w:p w14:paraId="54D1C2A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w:t>
            </w:r>
          </w:p>
        </w:tc>
      </w:tr>
      <w:tr w:rsidR="0088288C" w:rsidRPr="002168E2" w14:paraId="44DD1E5F" w14:textId="77777777" w:rsidTr="0088288C">
        <w:trPr>
          <w:trHeight w:hRule="exact" w:val="312"/>
        </w:trPr>
        <w:tc>
          <w:tcPr>
            <w:tcW w:w="879" w:type="dxa"/>
            <w:vMerge/>
            <w:tcBorders>
              <w:bottom w:val="single" w:sz="4" w:space="0" w:color="auto"/>
            </w:tcBorders>
          </w:tcPr>
          <w:p w14:paraId="634EBC0B" w14:textId="77777777" w:rsidR="0088288C" w:rsidRPr="00C22707" w:rsidRDefault="0088288C" w:rsidP="00E56CF1">
            <w:pPr>
              <w:jc w:val="center"/>
              <w:rPr>
                <w:rFonts w:ascii="Arial Narrow" w:hAnsi="Arial Narrow"/>
                <w:color w:val="000000"/>
                <w:sz w:val="20"/>
              </w:rPr>
            </w:pPr>
          </w:p>
        </w:tc>
        <w:tc>
          <w:tcPr>
            <w:tcW w:w="1843" w:type="dxa"/>
            <w:vMerge/>
            <w:tcBorders>
              <w:bottom w:val="single" w:sz="4" w:space="0" w:color="auto"/>
            </w:tcBorders>
            <w:tcMar>
              <w:left w:w="28" w:type="dxa"/>
              <w:right w:w="28" w:type="dxa"/>
            </w:tcMar>
            <w:vAlign w:val="center"/>
          </w:tcPr>
          <w:p w14:paraId="5E90DB0B" w14:textId="77777777" w:rsidR="0088288C" w:rsidRPr="00C22707" w:rsidRDefault="0088288C" w:rsidP="00E56CF1">
            <w:pPr>
              <w:jc w:val="left"/>
              <w:rPr>
                <w:rFonts w:ascii="Arial Narrow" w:hAnsi="Arial Narrow"/>
                <w:color w:val="000000"/>
                <w:sz w:val="20"/>
              </w:rPr>
            </w:pPr>
          </w:p>
        </w:tc>
        <w:tc>
          <w:tcPr>
            <w:tcW w:w="567" w:type="dxa"/>
            <w:tcBorders>
              <w:bottom w:val="single" w:sz="4" w:space="0" w:color="auto"/>
            </w:tcBorders>
            <w:tcMar>
              <w:left w:w="28" w:type="dxa"/>
              <w:right w:w="28" w:type="dxa"/>
            </w:tcMar>
            <w:vAlign w:val="center"/>
          </w:tcPr>
          <w:p w14:paraId="76302828"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Borders>
              <w:bottom w:val="single" w:sz="4" w:space="0" w:color="auto"/>
            </w:tcBorders>
            <w:tcMar>
              <w:left w:w="28" w:type="dxa"/>
              <w:right w:w="28" w:type="dxa"/>
            </w:tcMar>
            <w:vAlign w:val="center"/>
          </w:tcPr>
          <w:p w14:paraId="30818DB4"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7525FFF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4DD89A5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0.07</w:t>
            </w:r>
          </w:p>
        </w:tc>
        <w:tc>
          <w:tcPr>
            <w:tcW w:w="709" w:type="dxa"/>
            <w:tcBorders>
              <w:bottom w:val="single" w:sz="4" w:space="0" w:color="auto"/>
            </w:tcBorders>
            <w:tcMar>
              <w:left w:w="28" w:type="dxa"/>
              <w:right w:w="28" w:type="dxa"/>
            </w:tcMar>
            <w:vAlign w:val="center"/>
          </w:tcPr>
          <w:p w14:paraId="09A4E048"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4.2</w:t>
            </w:r>
          </w:p>
        </w:tc>
        <w:tc>
          <w:tcPr>
            <w:tcW w:w="708" w:type="dxa"/>
            <w:tcBorders>
              <w:bottom w:val="single" w:sz="4" w:space="0" w:color="auto"/>
            </w:tcBorders>
            <w:tcMar>
              <w:left w:w="28" w:type="dxa"/>
              <w:right w:w="28" w:type="dxa"/>
            </w:tcMar>
            <w:vAlign w:val="center"/>
          </w:tcPr>
          <w:p w14:paraId="153CEF3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0.93</w:t>
            </w:r>
          </w:p>
        </w:tc>
        <w:tc>
          <w:tcPr>
            <w:tcW w:w="709" w:type="dxa"/>
            <w:tcBorders>
              <w:bottom w:val="single" w:sz="4" w:space="0" w:color="auto"/>
            </w:tcBorders>
            <w:tcMar>
              <w:left w:w="28" w:type="dxa"/>
              <w:right w:w="28" w:type="dxa"/>
            </w:tcMar>
            <w:vAlign w:val="center"/>
          </w:tcPr>
          <w:p w14:paraId="5DB2E32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0.03</w:t>
            </w:r>
          </w:p>
        </w:tc>
        <w:tc>
          <w:tcPr>
            <w:tcW w:w="709" w:type="dxa"/>
            <w:tcBorders>
              <w:bottom w:val="single" w:sz="4" w:space="0" w:color="auto"/>
            </w:tcBorders>
            <w:tcMar>
              <w:left w:w="28" w:type="dxa"/>
              <w:right w:w="28" w:type="dxa"/>
            </w:tcMar>
            <w:vAlign w:val="center"/>
          </w:tcPr>
          <w:p w14:paraId="32C05F6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0.33</w:t>
            </w:r>
          </w:p>
        </w:tc>
        <w:tc>
          <w:tcPr>
            <w:tcW w:w="709" w:type="dxa"/>
            <w:tcBorders>
              <w:bottom w:val="single" w:sz="4" w:space="0" w:color="auto"/>
            </w:tcBorders>
            <w:tcMar>
              <w:left w:w="28" w:type="dxa"/>
              <w:right w:w="28" w:type="dxa"/>
            </w:tcMar>
            <w:vAlign w:val="center"/>
          </w:tcPr>
          <w:p w14:paraId="1917BF6B"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0.3</w:t>
            </w:r>
          </w:p>
        </w:tc>
        <w:tc>
          <w:tcPr>
            <w:tcW w:w="708" w:type="dxa"/>
            <w:tcBorders>
              <w:bottom w:val="single" w:sz="4" w:space="0" w:color="auto"/>
            </w:tcBorders>
            <w:tcMar>
              <w:left w:w="28" w:type="dxa"/>
              <w:right w:w="28" w:type="dxa"/>
            </w:tcMar>
            <w:vAlign w:val="center"/>
          </w:tcPr>
          <w:p w14:paraId="3F1721A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0.4</w:t>
            </w:r>
          </w:p>
        </w:tc>
        <w:tc>
          <w:tcPr>
            <w:tcW w:w="709" w:type="dxa"/>
            <w:tcBorders>
              <w:bottom w:val="single" w:sz="4" w:space="0" w:color="auto"/>
            </w:tcBorders>
            <w:tcMar>
              <w:left w:w="28" w:type="dxa"/>
              <w:right w:w="28" w:type="dxa"/>
            </w:tcMar>
            <w:vAlign w:val="center"/>
          </w:tcPr>
          <w:p w14:paraId="757386F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6C0EB15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tcBorders>
              <w:bottom w:val="single" w:sz="4" w:space="0" w:color="auto"/>
            </w:tcBorders>
            <w:tcMar>
              <w:left w:w="28" w:type="dxa"/>
              <w:right w:w="28" w:type="dxa"/>
            </w:tcMar>
            <w:vAlign w:val="center"/>
          </w:tcPr>
          <w:p w14:paraId="0AB716A1"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3.2</w:t>
            </w:r>
          </w:p>
        </w:tc>
        <w:tc>
          <w:tcPr>
            <w:tcW w:w="708" w:type="dxa"/>
            <w:tcBorders>
              <w:bottom w:val="single" w:sz="4" w:space="0" w:color="auto"/>
            </w:tcBorders>
            <w:tcMar>
              <w:left w:w="28" w:type="dxa"/>
              <w:right w:w="28" w:type="dxa"/>
            </w:tcMar>
            <w:vAlign w:val="center"/>
          </w:tcPr>
          <w:p w14:paraId="2CEBC9E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1.07</w:t>
            </w:r>
          </w:p>
        </w:tc>
        <w:tc>
          <w:tcPr>
            <w:tcW w:w="709" w:type="dxa"/>
            <w:tcBorders>
              <w:bottom w:val="single" w:sz="4" w:space="0" w:color="auto"/>
            </w:tcBorders>
            <w:tcMar>
              <w:left w:w="28" w:type="dxa"/>
              <w:right w:w="28" w:type="dxa"/>
            </w:tcMar>
            <w:vAlign w:val="center"/>
          </w:tcPr>
          <w:p w14:paraId="6CAC505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7.27</w:t>
            </w:r>
          </w:p>
        </w:tc>
        <w:tc>
          <w:tcPr>
            <w:tcW w:w="709" w:type="dxa"/>
            <w:tcBorders>
              <w:bottom w:val="single" w:sz="4" w:space="0" w:color="auto"/>
            </w:tcBorders>
            <w:tcMar>
              <w:left w:w="28" w:type="dxa"/>
              <w:right w:w="28" w:type="dxa"/>
            </w:tcMar>
            <w:vAlign w:val="center"/>
          </w:tcPr>
          <w:p w14:paraId="2994169E"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4.57</w:t>
            </w:r>
          </w:p>
        </w:tc>
        <w:tc>
          <w:tcPr>
            <w:tcW w:w="709" w:type="dxa"/>
            <w:tcBorders>
              <w:bottom w:val="single" w:sz="4" w:space="0" w:color="auto"/>
            </w:tcBorders>
            <w:tcMar>
              <w:left w:w="28" w:type="dxa"/>
              <w:right w:w="28" w:type="dxa"/>
            </w:tcMar>
            <w:vAlign w:val="center"/>
          </w:tcPr>
          <w:p w14:paraId="3134779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w:t>
            </w:r>
          </w:p>
        </w:tc>
      </w:tr>
      <w:tr w:rsidR="0088288C" w:rsidRPr="002168E2" w14:paraId="46A19515" w14:textId="77777777" w:rsidTr="0088288C">
        <w:trPr>
          <w:trHeight w:hRule="exact" w:val="312"/>
        </w:trPr>
        <w:tc>
          <w:tcPr>
            <w:tcW w:w="879" w:type="dxa"/>
            <w:vMerge/>
          </w:tcPr>
          <w:p w14:paraId="71E2EAAA" w14:textId="77777777" w:rsidR="0088288C" w:rsidRPr="002168E2" w:rsidRDefault="0088288C" w:rsidP="00E56CF1">
            <w:pPr>
              <w:jc w:val="center"/>
              <w:rPr>
                <w:rFonts w:ascii="Arial Narrow" w:hAnsi="Arial Narrow"/>
                <w:b/>
                <w:color w:val="000000"/>
                <w:sz w:val="18"/>
                <w:szCs w:val="18"/>
              </w:rPr>
            </w:pPr>
          </w:p>
        </w:tc>
        <w:tc>
          <w:tcPr>
            <w:tcW w:w="1843" w:type="dxa"/>
            <w:vMerge/>
            <w:tcMar>
              <w:left w:w="28" w:type="dxa"/>
              <w:right w:w="28" w:type="dxa"/>
            </w:tcMar>
            <w:vAlign w:val="center"/>
          </w:tcPr>
          <w:p w14:paraId="295178E4" w14:textId="77777777" w:rsidR="0088288C" w:rsidRPr="002168E2" w:rsidRDefault="0088288C" w:rsidP="00E56CF1">
            <w:pPr>
              <w:jc w:val="center"/>
              <w:rPr>
                <w:rFonts w:ascii="Arial Narrow" w:hAnsi="Arial Narrow"/>
                <w:b/>
                <w:color w:val="000000"/>
                <w:sz w:val="18"/>
                <w:szCs w:val="18"/>
              </w:rPr>
            </w:pPr>
          </w:p>
        </w:tc>
        <w:tc>
          <w:tcPr>
            <w:tcW w:w="567" w:type="dxa"/>
            <w:tcMar>
              <w:left w:w="28" w:type="dxa"/>
              <w:right w:w="28" w:type="dxa"/>
            </w:tcMar>
            <w:vAlign w:val="center"/>
          </w:tcPr>
          <w:p w14:paraId="3597837E"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109C494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6B2D2D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0.5</w:t>
            </w:r>
          </w:p>
        </w:tc>
        <w:tc>
          <w:tcPr>
            <w:tcW w:w="709" w:type="dxa"/>
            <w:noWrap/>
            <w:tcMar>
              <w:left w:w="28" w:type="dxa"/>
              <w:right w:w="28" w:type="dxa"/>
            </w:tcMar>
            <w:vAlign w:val="center"/>
          </w:tcPr>
          <w:p w14:paraId="25509ED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w:t>
            </w:r>
          </w:p>
        </w:tc>
        <w:tc>
          <w:tcPr>
            <w:tcW w:w="709" w:type="dxa"/>
            <w:noWrap/>
            <w:tcMar>
              <w:left w:w="28" w:type="dxa"/>
              <w:right w:w="28" w:type="dxa"/>
            </w:tcMar>
            <w:vAlign w:val="center"/>
          </w:tcPr>
          <w:p w14:paraId="20E95753"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32C7C2C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4.56</w:t>
            </w:r>
          </w:p>
        </w:tc>
        <w:tc>
          <w:tcPr>
            <w:tcW w:w="709" w:type="dxa"/>
            <w:noWrap/>
            <w:tcMar>
              <w:left w:w="28" w:type="dxa"/>
              <w:right w:w="28" w:type="dxa"/>
            </w:tcMar>
            <w:vAlign w:val="center"/>
          </w:tcPr>
          <w:p w14:paraId="3487110C"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CA5D64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119F7E6"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0.06</w:t>
            </w:r>
          </w:p>
        </w:tc>
        <w:tc>
          <w:tcPr>
            <w:tcW w:w="708" w:type="dxa"/>
            <w:noWrap/>
            <w:tcMar>
              <w:left w:w="28" w:type="dxa"/>
              <w:right w:w="28" w:type="dxa"/>
            </w:tcMar>
            <w:vAlign w:val="center"/>
          </w:tcPr>
          <w:p w14:paraId="1C47FC7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noWrap/>
            <w:tcMar>
              <w:left w:w="28" w:type="dxa"/>
              <w:right w:w="28" w:type="dxa"/>
            </w:tcMar>
            <w:vAlign w:val="center"/>
          </w:tcPr>
          <w:p w14:paraId="10AC0BEA"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noWrap/>
            <w:tcMar>
              <w:left w:w="28" w:type="dxa"/>
              <w:right w:w="28" w:type="dxa"/>
            </w:tcMar>
            <w:vAlign w:val="center"/>
          </w:tcPr>
          <w:p w14:paraId="3351BE77"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204A66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676FDE8F"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1.88</w:t>
            </w:r>
          </w:p>
        </w:tc>
        <w:tc>
          <w:tcPr>
            <w:tcW w:w="709" w:type="dxa"/>
            <w:noWrap/>
            <w:tcMar>
              <w:left w:w="28" w:type="dxa"/>
              <w:right w:w="28" w:type="dxa"/>
            </w:tcMar>
            <w:vAlign w:val="center"/>
          </w:tcPr>
          <w:p w14:paraId="49B9EF70"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8.06</w:t>
            </w:r>
          </w:p>
        </w:tc>
        <w:tc>
          <w:tcPr>
            <w:tcW w:w="709" w:type="dxa"/>
            <w:noWrap/>
            <w:tcMar>
              <w:left w:w="28" w:type="dxa"/>
              <w:right w:w="28" w:type="dxa"/>
            </w:tcMar>
            <w:vAlign w:val="center"/>
          </w:tcPr>
          <w:p w14:paraId="7D236D35"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0.75</w:t>
            </w:r>
          </w:p>
        </w:tc>
        <w:tc>
          <w:tcPr>
            <w:tcW w:w="709" w:type="dxa"/>
            <w:noWrap/>
            <w:tcMar>
              <w:left w:w="28" w:type="dxa"/>
              <w:right w:w="28" w:type="dxa"/>
            </w:tcMar>
            <w:vAlign w:val="center"/>
          </w:tcPr>
          <w:p w14:paraId="53217C12" w14:textId="77777777" w:rsidR="0088288C" w:rsidRPr="0088288C" w:rsidRDefault="0088288C" w:rsidP="0088288C">
            <w:pPr>
              <w:jc w:val="center"/>
              <w:rPr>
                <w:rFonts w:ascii="Arial Narrow" w:hAnsi="Arial Narrow"/>
                <w:color w:val="000000"/>
                <w:sz w:val="18"/>
                <w:szCs w:val="18"/>
              </w:rPr>
            </w:pPr>
            <w:r w:rsidRPr="0088288C">
              <w:rPr>
                <w:rFonts w:ascii="Arial Narrow" w:hAnsi="Arial Narrow"/>
                <w:color w:val="000000"/>
                <w:sz w:val="18"/>
                <w:szCs w:val="18"/>
              </w:rPr>
              <w:t>0.81</w:t>
            </w:r>
          </w:p>
        </w:tc>
      </w:tr>
    </w:tbl>
    <w:p w14:paraId="3FE1189A" w14:textId="77777777" w:rsidR="0088288C" w:rsidRDefault="0088288C"/>
    <w:p w14:paraId="39799AD8" w14:textId="77777777" w:rsidR="00655477" w:rsidRPr="0088288C" w:rsidRDefault="00655477" w:rsidP="00655477">
      <w:pPr>
        <w:rPr>
          <w:rStyle w:val="IntenseReference"/>
        </w:rPr>
      </w:pPr>
      <w:r w:rsidRPr="0088288C">
        <w:rPr>
          <w:rStyle w:val="IntenseReference"/>
        </w:rPr>
        <w:t xml:space="preserve">Table </w:t>
      </w:r>
      <w:proofErr w:type="gramStart"/>
      <w:r w:rsidRPr="0088288C">
        <w:rPr>
          <w:rStyle w:val="IntenseReference"/>
        </w:rPr>
        <w:t>A</w:t>
      </w:r>
      <w:proofErr w:type="gramEnd"/>
      <w:r w:rsidRPr="0088288C">
        <w:rPr>
          <w:rStyle w:val="IntenseReference"/>
        </w:rPr>
        <w:t xml:space="preserve"> 7 continued</w:t>
      </w:r>
    </w:p>
    <w:tbl>
      <w:tblPr>
        <w:tblW w:w="14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Caption w:val="Table A1 7 continued"/>
        <w:tblDescription w:val="Table A1 7 continued"/>
      </w:tblPr>
      <w:tblGrid>
        <w:gridCol w:w="879"/>
        <w:gridCol w:w="1843"/>
        <w:gridCol w:w="567"/>
        <w:gridCol w:w="708"/>
        <w:gridCol w:w="709"/>
        <w:gridCol w:w="709"/>
        <w:gridCol w:w="709"/>
        <w:gridCol w:w="708"/>
        <w:gridCol w:w="709"/>
        <w:gridCol w:w="709"/>
        <w:gridCol w:w="709"/>
        <w:gridCol w:w="708"/>
        <w:gridCol w:w="709"/>
        <w:gridCol w:w="709"/>
        <w:gridCol w:w="709"/>
        <w:gridCol w:w="708"/>
        <w:gridCol w:w="709"/>
        <w:gridCol w:w="709"/>
        <w:gridCol w:w="709"/>
      </w:tblGrid>
      <w:tr w:rsidR="0088288C" w:rsidRPr="002168E2" w14:paraId="59954017" w14:textId="77777777" w:rsidTr="00E56CF1">
        <w:trPr>
          <w:cantSplit/>
          <w:trHeight w:hRule="exact" w:val="391"/>
          <w:tblHeader/>
        </w:trPr>
        <w:tc>
          <w:tcPr>
            <w:tcW w:w="879" w:type="dxa"/>
            <w:vMerge w:val="restart"/>
            <w:shd w:val="clear" w:color="auto" w:fill="F2F2F2" w:themeFill="background1" w:themeFillShade="F2"/>
            <w:textDirection w:val="btLr"/>
          </w:tcPr>
          <w:p w14:paraId="09363494" w14:textId="77777777" w:rsidR="0088288C" w:rsidRPr="00BF3FC5" w:rsidRDefault="0088288C" w:rsidP="00E56CF1">
            <w:pPr>
              <w:ind w:left="113" w:right="113"/>
              <w:jc w:val="center"/>
              <w:rPr>
                <w:rFonts w:ascii="Arial Narrow" w:hAnsi="Arial Narrow"/>
                <w:color w:val="000000"/>
                <w:sz w:val="20"/>
              </w:rPr>
            </w:pPr>
            <w:r w:rsidRPr="00BF3FC5">
              <w:rPr>
                <w:rFonts w:ascii="Arial Narrow" w:hAnsi="Arial Narrow"/>
                <w:color w:val="000000"/>
                <w:sz w:val="20"/>
              </w:rPr>
              <w:lastRenderedPageBreak/>
              <w:t>Sub/region</w:t>
            </w:r>
          </w:p>
        </w:tc>
        <w:tc>
          <w:tcPr>
            <w:tcW w:w="1843" w:type="dxa"/>
            <w:vMerge w:val="restart"/>
            <w:shd w:val="clear" w:color="auto" w:fill="F2F2F2" w:themeFill="background1" w:themeFillShade="F2"/>
            <w:tcMar>
              <w:left w:w="28" w:type="dxa"/>
              <w:right w:w="28" w:type="dxa"/>
            </w:tcMar>
            <w:vAlign w:val="center"/>
          </w:tcPr>
          <w:p w14:paraId="7F8BB8A6" w14:textId="77777777" w:rsidR="0088288C" w:rsidRPr="00BF3FC5" w:rsidRDefault="0088288C" w:rsidP="00E56CF1">
            <w:pPr>
              <w:jc w:val="center"/>
              <w:rPr>
                <w:rFonts w:ascii="Arial Narrow" w:hAnsi="Arial Narrow"/>
                <w:b/>
                <w:color w:val="000000"/>
                <w:sz w:val="20"/>
              </w:rPr>
            </w:pPr>
          </w:p>
          <w:p w14:paraId="2E37C2EC" w14:textId="77777777" w:rsidR="0088288C" w:rsidRPr="00BF3FC5" w:rsidRDefault="0088288C" w:rsidP="00E56CF1">
            <w:pPr>
              <w:jc w:val="center"/>
              <w:rPr>
                <w:rFonts w:ascii="Arial Narrow" w:hAnsi="Arial Narrow"/>
                <w:color w:val="000000"/>
                <w:sz w:val="20"/>
              </w:rPr>
            </w:pPr>
            <w:r w:rsidRPr="00BF3FC5">
              <w:rPr>
                <w:rFonts w:ascii="Arial Narrow" w:hAnsi="Arial Narrow"/>
                <w:color w:val="000000"/>
                <w:sz w:val="20"/>
              </w:rPr>
              <w:t>Reef</w:t>
            </w:r>
          </w:p>
        </w:tc>
        <w:tc>
          <w:tcPr>
            <w:tcW w:w="567" w:type="dxa"/>
            <w:vMerge w:val="restart"/>
            <w:shd w:val="clear" w:color="auto" w:fill="F2F2F2" w:themeFill="background1" w:themeFillShade="F2"/>
            <w:tcMar>
              <w:left w:w="28" w:type="dxa"/>
              <w:right w:w="28" w:type="dxa"/>
            </w:tcMar>
            <w:textDirection w:val="btLr"/>
            <w:vAlign w:val="center"/>
          </w:tcPr>
          <w:p w14:paraId="2C3DB313" w14:textId="77777777" w:rsidR="0088288C" w:rsidRPr="00BF3FC5" w:rsidRDefault="0088288C" w:rsidP="00E56CF1">
            <w:pPr>
              <w:ind w:left="113" w:right="113"/>
              <w:jc w:val="center"/>
              <w:rPr>
                <w:rFonts w:ascii="Arial Narrow" w:hAnsi="Arial Narrow"/>
                <w:color w:val="000000"/>
                <w:sz w:val="20"/>
              </w:rPr>
            </w:pPr>
            <w:r w:rsidRPr="00BF3FC5">
              <w:rPr>
                <w:rFonts w:ascii="Arial Narrow" w:hAnsi="Arial Narrow"/>
                <w:color w:val="000000"/>
                <w:sz w:val="20"/>
              </w:rPr>
              <w:t>Depth</w:t>
            </w:r>
          </w:p>
        </w:tc>
        <w:tc>
          <w:tcPr>
            <w:tcW w:w="3543" w:type="dxa"/>
            <w:gridSpan w:val="5"/>
            <w:shd w:val="clear" w:color="auto" w:fill="F2F2F2" w:themeFill="background1" w:themeFillShade="F2"/>
            <w:tcMar>
              <w:left w:w="28" w:type="dxa"/>
              <w:right w:w="28" w:type="dxa"/>
            </w:tcMar>
            <w:vAlign w:val="bottom"/>
          </w:tcPr>
          <w:p w14:paraId="560BA37D" w14:textId="77777777" w:rsidR="0088288C" w:rsidRPr="002168E2" w:rsidRDefault="0088288C" w:rsidP="00E56CF1">
            <w:pPr>
              <w:jc w:val="center"/>
              <w:rPr>
                <w:rFonts w:ascii="Arial Narrow" w:hAnsi="Arial Narrow"/>
                <w:color w:val="000000"/>
                <w:sz w:val="20"/>
              </w:rPr>
            </w:pPr>
            <w:r>
              <w:rPr>
                <w:rFonts w:ascii="Arial Narrow" w:hAnsi="Arial Narrow"/>
                <w:color w:val="000000"/>
                <w:sz w:val="20"/>
              </w:rPr>
              <w:t>Rhodophyta (red algae)</w:t>
            </w:r>
          </w:p>
        </w:tc>
        <w:tc>
          <w:tcPr>
            <w:tcW w:w="2835" w:type="dxa"/>
            <w:gridSpan w:val="4"/>
            <w:shd w:val="clear" w:color="auto" w:fill="F2F2F2" w:themeFill="background1" w:themeFillShade="F2"/>
            <w:tcMar>
              <w:left w:w="28" w:type="dxa"/>
              <w:right w:w="28" w:type="dxa"/>
            </w:tcMar>
            <w:vAlign w:val="bottom"/>
          </w:tcPr>
          <w:p w14:paraId="178BC61C" w14:textId="77777777" w:rsidR="0088288C" w:rsidRPr="002168E2" w:rsidRDefault="0088288C" w:rsidP="00E56CF1">
            <w:pPr>
              <w:jc w:val="center"/>
              <w:rPr>
                <w:rFonts w:ascii="Arial Narrow" w:hAnsi="Arial Narrow"/>
                <w:color w:val="000000"/>
                <w:sz w:val="20"/>
              </w:rPr>
            </w:pPr>
            <w:r>
              <w:rPr>
                <w:rFonts w:ascii="Arial Narrow" w:hAnsi="Arial Narrow"/>
                <w:color w:val="000000"/>
                <w:sz w:val="20"/>
              </w:rPr>
              <w:t>Chlorophyta (green algae)</w:t>
            </w:r>
          </w:p>
        </w:tc>
        <w:tc>
          <w:tcPr>
            <w:tcW w:w="4962" w:type="dxa"/>
            <w:gridSpan w:val="7"/>
            <w:shd w:val="clear" w:color="auto" w:fill="F2F2F2" w:themeFill="background1" w:themeFillShade="F2"/>
            <w:tcMar>
              <w:left w:w="28" w:type="dxa"/>
              <w:right w:w="28" w:type="dxa"/>
            </w:tcMar>
            <w:vAlign w:val="bottom"/>
          </w:tcPr>
          <w:p w14:paraId="683BCF86" w14:textId="77777777" w:rsidR="0088288C" w:rsidRPr="002168E2" w:rsidRDefault="0088288C" w:rsidP="00E56CF1">
            <w:pPr>
              <w:jc w:val="center"/>
              <w:rPr>
                <w:rFonts w:ascii="Arial Narrow" w:hAnsi="Arial Narrow"/>
                <w:color w:val="000000"/>
                <w:sz w:val="20"/>
              </w:rPr>
            </w:pPr>
            <w:r>
              <w:rPr>
                <w:rFonts w:ascii="Arial Narrow" w:hAnsi="Arial Narrow"/>
                <w:color w:val="000000"/>
                <w:sz w:val="20"/>
              </w:rPr>
              <w:t>Phaeophyta (brown algae)</w:t>
            </w:r>
          </w:p>
        </w:tc>
      </w:tr>
      <w:tr w:rsidR="0088288C" w:rsidRPr="002168E2" w14:paraId="6F2999F8" w14:textId="77777777" w:rsidTr="00E56CF1">
        <w:trPr>
          <w:cantSplit/>
          <w:trHeight w:hRule="exact" w:val="1418"/>
          <w:tblHeader/>
        </w:trPr>
        <w:tc>
          <w:tcPr>
            <w:tcW w:w="879" w:type="dxa"/>
            <w:vMerge/>
            <w:shd w:val="clear" w:color="auto" w:fill="F2F2F2" w:themeFill="background1" w:themeFillShade="F2"/>
          </w:tcPr>
          <w:p w14:paraId="4DC88839" w14:textId="77777777" w:rsidR="0088288C" w:rsidRPr="002168E2" w:rsidRDefault="0088288C" w:rsidP="00E56CF1">
            <w:pPr>
              <w:jc w:val="center"/>
              <w:rPr>
                <w:rFonts w:ascii="Arial Narrow" w:hAnsi="Arial Narrow"/>
                <w:b/>
                <w:color w:val="000000"/>
                <w:sz w:val="24"/>
                <w:szCs w:val="24"/>
              </w:rPr>
            </w:pPr>
          </w:p>
        </w:tc>
        <w:tc>
          <w:tcPr>
            <w:tcW w:w="1843" w:type="dxa"/>
            <w:vMerge/>
            <w:shd w:val="clear" w:color="auto" w:fill="F2F2F2" w:themeFill="background1" w:themeFillShade="F2"/>
            <w:tcMar>
              <w:left w:w="28" w:type="dxa"/>
              <w:right w:w="28" w:type="dxa"/>
            </w:tcMar>
            <w:vAlign w:val="center"/>
          </w:tcPr>
          <w:p w14:paraId="211ED2B1" w14:textId="77777777" w:rsidR="0088288C" w:rsidRPr="002168E2" w:rsidRDefault="0088288C" w:rsidP="00E56CF1">
            <w:pPr>
              <w:jc w:val="center"/>
              <w:rPr>
                <w:rFonts w:ascii="Arial Narrow" w:hAnsi="Arial Narrow"/>
                <w:b/>
                <w:color w:val="000000"/>
                <w:sz w:val="24"/>
                <w:szCs w:val="24"/>
              </w:rPr>
            </w:pPr>
          </w:p>
        </w:tc>
        <w:tc>
          <w:tcPr>
            <w:tcW w:w="567" w:type="dxa"/>
            <w:vMerge/>
            <w:shd w:val="clear" w:color="auto" w:fill="F2F2F2" w:themeFill="background1" w:themeFillShade="F2"/>
            <w:tcMar>
              <w:left w:w="28" w:type="dxa"/>
              <w:right w:w="28" w:type="dxa"/>
            </w:tcMar>
            <w:textDirection w:val="btLr"/>
            <w:vAlign w:val="center"/>
          </w:tcPr>
          <w:p w14:paraId="36859DED" w14:textId="77777777" w:rsidR="0088288C" w:rsidRPr="002168E2" w:rsidRDefault="0088288C" w:rsidP="00E56CF1">
            <w:pPr>
              <w:ind w:left="113" w:right="113"/>
              <w:jc w:val="center"/>
              <w:rPr>
                <w:rFonts w:ascii="Arial Narrow" w:hAnsi="Arial Narrow"/>
                <w:b/>
                <w:color w:val="000000"/>
                <w:sz w:val="20"/>
              </w:rPr>
            </w:pPr>
          </w:p>
        </w:tc>
        <w:tc>
          <w:tcPr>
            <w:tcW w:w="708" w:type="dxa"/>
            <w:shd w:val="clear" w:color="auto" w:fill="F2F2F2" w:themeFill="background1" w:themeFillShade="F2"/>
            <w:tcMar>
              <w:left w:w="28" w:type="dxa"/>
              <w:right w:w="28" w:type="dxa"/>
            </w:tcMar>
            <w:textDirection w:val="btLr"/>
            <w:vAlign w:val="bottom"/>
          </w:tcPr>
          <w:p w14:paraId="3F086DD5"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Hypnea</w:t>
            </w:r>
          </w:p>
        </w:tc>
        <w:tc>
          <w:tcPr>
            <w:tcW w:w="709" w:type="dxa"/>
            <w:shd w:val="clear" w:color="auto" w:fill="F2F2F2" w:themeFill="background1" w:themeFillShade="F2"/>
            <w:tcMar>
              <w:left w:w="28" w:type="dxa"/>
              <w:right w:w="28" w:type="dxa"/>
            </w:tcMar>
            <w:textDirection w:val="btLr"/>
            <w:vAlign w:val="bottom"/>
          </w:tcPr>
          <w:p w14:paraId="416A4AF6"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Peyssonnelia</w:t>
            </w:r>
          </w:p>
        </w:tc>
        <w:tc>
          <w:tcPr>
            <w:tcW w:w="709" w:type="dxa"/>
            <w:shd w:val="clear" w:color="auto" w:fill="F2F2F2" w:themeFill="background1" w:themeFillShade="F2"/>
            <w:tcMar>
              <w:left w:w="28" w:type="dxa"/>
              <w:right w:w="28" w:type="dxa"/>
            </w:tcMar>
            <w:textDirection w:val="btLr"/>
            <w:vAlign w:val="bottom"/>
          </w:tcPr>
          <w:p w14:paraId="25CA9D41"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 xml:space="preserve">Calcareous </w:t>
            </w:r>
          </w:p>
        </w:tc>
        <w:tc>
          <w:tcPr>
            <w:tcW w:w="709" w:type="dxa"/>
            <w:shd w:val="clear" w:color="auto" w:fill="F2F2F2" w:themeFill="background1" w:themeFillShade="F2"/>
            <w:tcMar>
              <w:left w:w="28" w:type="dxa"/>
              <w:right w:w="28" w:type="dxa"/>
            </w:tcMar>
            <w:textDirection w:val="btLr"/>
            <w:vAlign w:val="bottom"/>
          </w:tcPr>
          <w:p w14:paraId="68FF90F1"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Asparagopsis</w:t>
            </w:r>
          </w:p>
        </w:tc>
        <w:tc>
          <w:tcPr>
            <w:tcW w:w="708" w:type="dxa"/>
            <w:shd w:val="clear" w:color="auto" w:fill="F2F2F2" w:themeFill="background1" w:themeFillShade="F2"/>
            <w:tcMar>
              <w:left w:w="28" w:type="dxa"/>
              <w:right w:w="28" w:type="dxa"/>
            </w:tcMar>
            <w:textDirection w:val="btLr"/>
            <w:vAlign w:val="bottom"/>
          </w:tcPr>
          <w:p w14:paraId="2F684E96"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 xml:space="preserve">Other </w:t>
            </w:r>
          </w:p>
        </w:tc>
        <w:tc>
          <w:tcPr>
            <w:tcW w:w="709" w:type="dxa"/>
            <w:shd w:val="clear" w:color="auto" w:fill="F2F2F2" w:themeFill="background1" w:themeFillShade="F2"/>
            <w:tcMar>
              <w:left w:w="28" w:type="dxa"/>
              <w:right w:w="28" w:type="dxa"/>
            </w:tcMar>
            <w:textDirection w:val="btLr"/>
            <w:vAlign w:val="bottom"/>
          </w:tcPr>
          <w:p w14:paraId="4F9B8C96"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Neomeris</w:t>
            </w:r>
          </w:p>
        </w:tc>
        <w:tc>
          <w:tcPr>
            <w:tcW w:w="709" w:type="dxa"/>
            <w:shd w:val="clear" w:color="auto" w:fill="F2F2F2" w:themeFill="background1" w:themeFillShade="F2"/>
            <w:tcMar>
              <w:left w:w="28" w:type="dxa"/>
              <w:right w:w="28" w:type="dxa"/>
            </w:tcMar>
            <w:textDirection w:val="btLr"/>
            <w:vAlign w:val="bottom"/>
          </w:tcPr>
          <w:p w14:paraId="1D6D23E5"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Caulerpa</w:t>
            </w:r>
          </w:p>
        </w:tc>
        <w:tc>
          <w:tcPr>
            <w:tcW w:w="709" w:type="dxa"/>
            <w:shd w:val="clear" w:color="auto" w:fill="F2F2F2" w:themeFill="background1" w:themeFillShade="F2"/>
            <w:tcMar>
              <w:left w:w="28" w:type="dxa"/>
              <w:right w:w="28" w:type="dxa"/>
            </w:tcMar>
            <w:textDirection w:val="btLr"/>
            <w:vAlign w:val="bottom"/>
          </w:tcPr>
          <w:p w14:paraId="7F06D404"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Halimeda</w:t>
            </w:r>
          </w:p>
        </w:tc>
        <w:tc>
          <w:tcPr>
            <w:tcW w:w="708" w:type="dxa"/>
            <w:shd w:val="clear" w:color="auto" w:fill="F2F2F2" w:themeFill="background1" w:themeFillShade="F2"/>
            <w:tcMar>
              <w:left w:w="28" w:type="dxa"/>
              <w:right w:w="28" w:type="dxa"/>
            </w:tcMar>
            <w:textDirection w:val="btLr"/>
            <w:vAlign w:val="bottom"/>
          </w:tcPr>
          <w:p w14:paraId="440096C3"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 xml:space="preserve">Other </w:t>
            </w:r>
          </w:p>
        </w:tc>
        <w:tc>
          <w:tcPr>
            <w:tcW w:w="709" w:type="dxa"/>
            <w:shd w:val="clear" w:color="auto" w:fill="F2F2F2" w:themeFill="background1" w:themeFillShade="F2"/>
            <w:tcMar>
              <w:left w:w="28" w:type="dxa"/>
              <w:right w:w="28" w:type="dxa"/>
            </w:tcMar>
            <w:textDirection w:val="btLr"/>
            <w:vAlign w:val="bottom"/>
          </w:tcPr>
          <w:p w14:paraId="65A493AD"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Stypopodium</w:t>
            </w:r>
          </w:p>
        </w:tc>
        <w:tc>
          <w:tcPr>
            <w:tcW w:w="709" w:type="dxa"/>
            <w:shd w:val="clear" w:color="auto" w:fill="F2F2F2" w:themeFill="background1" w:themeFillShade="F2"/>
            <w:tcMar>
              <w:left w:w="28" w:type="dxa"/>
              <w:right w:w="28" w:type="dxa"/>
            </w:tcMar>
            <w:textDirection w:val="btLr"/>
            <w:vAlign w:val="bottom"/>
          </w:tcPr>
          <w:p w14:paraId="75C22FB5"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Spatoglossum</w:t>
            </w:r>
          </w:p>
        </w:tc>
        <w:tc>
          <w:tcPr>
            <w:tcW w:w="709" w:type="dxa"/>
            <w:shd w:val="clear" w:color="auto" w:fill="F2F2F2" w:themeFill="background1" w:themeFillShade="F2"/>
            <w:tcMar>
              <w:left w:w="28" w:type="dxa"/>
              <w:right w:w="28" w:type="dxa"/>
            </w:tcMar>
            <w:textDirection w:val="btLr"/>
            <w:vAlign w:val="bottom"/>
          </w:tcPr>
          <w:p w14:paraId="35AD271E"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Padina</w:t>
            </w:r>
          </w:p>
        </w:tc>
        <w:tc>
          <w:tcPr>
            <w:tcW w:w="708" w:type="dxa"/>
            <w:shd w:val="clear" w:color="auto" w:fill="F2F2F2" w:themeFill="background1" w:themeFillShade="F2"/>
            <w:tcMar>
              <w:left w:w="28" w:type="dxa"/>
              <w:right w:w="28" w:type="dxa"/>
            </w:tcMar>
            <w:textDirection w:val="btLr"/>
            <w:vAlign w:val="bottom"/>
          </w:tcPr>
          <w:p w14:paraId="4EC2872F"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Dictyota</w:t>
            </w:r>
          </w:p>
        </w:tc>
        <w:tc>
          <w:tcPr>
            <w:tcW w:w="709" w:type="dxa"/>
            <w:shd w:val="clear" w:color="auto" w:fill="F2F2F2" w:themeFill="background1" w:themeFillShade="F2"/>
            <w:tcMar>
              <w:left w:w="28" w:type="dxa"/>
              <w:right w:w="28" w:type="dxa"/>
            </w:tcMar>
            <w:textDirection w:val="btLr"/>
            <w:vAlign w:val="bottom"/>
          </w:tcPr>
          <w:p w14:paraId="17C8F563"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Lobophora</w:t>
            </w:r>
          </w:p>
        </w:tc>
        <w:tc>
          <w:tcPr>
            <w:tcW w:w="709" w:type="dxa"/>
            <w:shd w:val="clear" w:color="auto" w:fill="F2F2F2" w:themeFill="background1" w:themeFillShade="F2"/>
            <w:tcMar>
              <w:left w:w="28" w:type="dxa"/>
              <w:right w:w="28" w:type="dxa"/>
            </w:tcMar>
            <w:textDirection w:val="btLr"/>
            <w:vAlign w:val="bottom"/>
          </w:tcPr>
          <w:p w14:paraId="137A8C3E"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Sargassum</w:t>
            </w:r>
          </w:p>
        </w:tc>
        <w:tc>
          <w:tcPr>
            <w:tcW w:w="709" w:type="dxa"/>
            <w:shd w:val="clear" w:color="auto" w:fill="F2F2F2" w:themeFill="background1" w:themeFillShade="F2"/>
            <w:tcMar>
              <w:left w:w="28" w:type="dxa"/>
              <w:right w:w="28" w:type="dxa"/>
            </w:tcMar>
            <w:textDirection w:val="btLr"/>
            <w:vAlign w:val="bottom"/>
          </w:tcPr>
          <w:p w14:paraId="5F62DF9E" w14:textId="77777777" w:rsidR="0088288C" w:rsidRPr="002168E2" w:rsidRDefault="0088288C" w:rsidP="00E56CF1">
            <w:pPr>
              <w:ind w:left="113" w:right="113"/>
              <w:rPr>
                <w:rFonts w:ascii="Arial Narrow" w:hAnsi="Arial Narrow"/>
                <w:color w:val="000000"/>
                <w:sz w:val="20"/>
              </w:rPr>
            </w:pPr>
            <w:r w:rsidRPr="002168E2">
              <w:rPr>
                <w:rFonts w:ascii="Arial Narrow" w:hAnsi="Arial Narrow"/>
                <w:color w:val="000000"/>
                <w:sz w:val="20"/>
              </w:rPr>
              <w:t xml:space="preserve">Other </w:t>
            </w:r>
          </w:p>
        </w:tc>
      </w:tr>
      <w:tr w:rsidR="0088288C" w:rsidRPr="002168E2" w14:paraId="598ACEC1" w14:textId="77777777" w:rsidTr="00E56CF1">
        <w:trPr>
          <w:trHeight w:hRule="exact" w:val="312"/>
        </w:trPr>
        <w:tc>
          <w:tcPr>
            <w:tcW w:w="879" w:type="dxa"/>
            <w:vMerge w:val="restart"/>
            <w:tcBorders>
              <w:top w:val="nil"/>
            </w:tcBorders>
            <w:textDirection w:val="btLr"/>
            <w:vAlign w:val="center"/>
          </w:tcPr>
          <w:p w14:paraId="2A04BCAD" w14:textId="77777777" w:rsidR="0088288C" w:rsidRPr="00C22707" w:rsidRDefault="0088288C" w:rsidP="00E56CF1">
            <w:pPr>
              <w:ind w:left="113" w:right="113"/>
              <w:jc w:val="center"/>
              <w:rPr>
                <w:rFonts w:ascii="Arial Narrow" w:hAnsi="Arial Narrow"/>
                <w:color w:val="000000"/>
                <w:sz w:val="20"/>
              </w:rPr>
            </w:pPr>
            <w:r>
              <w:rPr>
                <w:rFonts w:ascii="Arial Narrow" w:hAnsi="Arial Narrow"/>
                <w:color w:val="000000"/>
                <w:sz w:val="20"/>
              </w:rPr>
              <w:t>Mackay Whitsunday</w:t>
            </w:r>
          </w:p>
        </w:tc>
        <w:tc>
          <w:tcPr>
            <w:tcW w:w="1843" w:type="dxa"/>
            <w:vMerge w:val="restart"/>
            <w:tcBorders>
              <w:top w:val="nil"/>
            </w:tcBorders>
            <w:tcMar>
              <w:left w:w="28" w:type="dxa"/>
              <w:right w:w="28" w:type="dxa"/>
            </w:tcMar>
            <w:vAlign w:val="center"/>
          </w:tcPr>
          <w:p w14:paraId="12C6FCD0"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Double Cone</w:t>
            </w:r>
          </w:p>
        </w:tc>
        <w:tc>
          <w:tcPr>
            <w:tcW w:w="567" w:type="dxa"/>
            <w:tcBorders>
              <w:top w:val="nil"/>
            </w:tcBorders>
            <w:tcMar>
              <w:left w:w="28" w:type="dxa"/>
              <w:right w:w="28" w:type="dxa"/>
            </w:tcMar>
            <w:vAlign w:val="center"/>
          </w:tcPr>
          <w:p w14:paraId="76DD615F"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Borders>
              <w:top w:val="nil"/>
            </w:tcBorders>
            <w:tcMar>
              <w:left w:w="28" w:type="dxa"/>
              <w:right w:w="28" w:type="dxa"/>
            </w:tcMar>
            <w:vAlign w:val="center"/>
          </w:tcPr>
          <w:p w14:paraId="25ED60FD"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0.5</w:t>
            </w:r>
          </w:p>
        </w:tc>
        <w:tc>
          <w:tcPr>
            <w:tcW w:w="709" w:type="dxa"/>
            <w:tcBorders>
              <w:top w:val="nil"/>
            </w:tcBorders>
            <w:tcMar>
              <w:left w:w="28" w:type="dxa"/>
              <w:right w:w="28" w:type="dxa"/>
            </w:tcMar>
            <w:vAlign w:val="center"/>
          </w:tcPr>
          <w:p w14:paraId="1EAE9DE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0.5</w:t>
            </w:r>
          </w:p>
        </w:tc>
        <w:tc>
          <w:tcPr>
            <w:tcW w:w="709" w:type="dxa"/>
            <w:tcBorders>
              <w:top w:val="nil"/>
            </w:tcBorders>
            <w:tcMar>
              <w:left w:w="28" w:type="dxa"/>
              <w:right w:w="28" w:type="dxa"/>
            </w:tcMar>
            <w:vAlign w:val="center"/>
          </w:tcPr>
          <w:p w14:paraId="2BEC988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Borders>
              <w:top w:val="nil"/>
            </w:tcBorders>
            <w:tcMar>
              <w:left w:w="28" w:type="dxa"/>
              <w:right w:w="28" w:type="dxa"/>
            </w:tcMar>
            <w:vAlign w:val="center"/>
          </w:tcPr>
          <w:p w14:paraId="2EA39B2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Borders>
              <w:top w:val="nil"/>
            </w:tcBorders>
            <w:tcMar>
              <w:left w:w="28" w:type="dxa"/>
              <w:right w:w="28" w:type="dxa"/>
            </w:tcMar>
            <w:vAlign w:val="center"/>
          </w:tcPr>
          <w:p w14:paraId="5583FE8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1.81</w:t>
            </w:r>
          </w:p>
        </w:tc>
        <w:tc>
          <w:tcPr>
            <w:tcW w:w="709" w:type="dxa"/>
            <w:tcBorders>
              <w:top w:val="nil"/>
            </w:tcBorders>
            <w:tcMar>
              <w:left w:w="28" w:type="dxa"/>
              <w:right w:w="28" w:type="dxa"/>
            </w:tcMar>
            <w:vAlign w:val="center"/>
          </w:tcPr>
          <w:p w14:paraId="43C89FA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Borders>
              <w:top w:val="nil"/>
            </w:tcBorders>
            <w:tcMar>
              <w:left w:w="28" w:type="dxa"/>
              <w:right w:w="28" w:type="dxa"/>
            </w:tcMar>
            <w:vAlign w:val="center"/>
          </w:tcPr>
          <w:p w14:paraId="02A22B0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Borders>
              <w:top w:val="nil"/>
            </w:tcBorders>
            <w:tcMar>
              <w:left w:w="28" w:type="dxa"/>
              <w:right w:w="28" w:type="dxa"/>
            </w:tcMar>
            <w:vAlign w:val="center"/>
          </w:tcPr>
          <w:p w14:paraId="225A79F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Borders>
              <w:top w:val="nil"/>
            </w:tcBorders>
            <w:tcMar>
              <w:left w:w="28" w:type="dxa"/>
              <w:right w:w="28" w:type="dxa"/>
            </w:tcMar>
            <w:vAlign w:val="center"/>
          </w:tcPr>
          <w:p w14:paraId="04052C2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Borders>
              <w:top w:val="nil"/>
            </w:tcBorders>
            <w:tcMar>
              <w:left w:w="28" w:type="dxa"/>
              <w:right w:w="28" w:type="dxa"/>
            </w:tcMar>
            <w:vAlign w:val="center"/>
          </w:tcPr>
          <w:p w14:paraId="557BD2F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Borders>
              <w:top w:val="nil"/>
            </w:tcBorders>
            <w:tcMar>
              <w:left w:w="28" w:type="dxa"/>
              <w:right w:w="28" w:type="dxa"/>
            </w:tcMar>
            <w:vAlign w:val="center"/>
          </w:tcPr>
          <w:p w14:paraId="0A5874A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Borders>
              <w:top w:val="nil"/>
            </w:tcBorders>
            <w:tcMar>
              <w:left w:w="28" w:type="dxa"/>
              <w:right w:w="28" w:type="dxa"/>
            </w:tcMar>
            <w:vAlign w:val="center"/>
          </w:tcPr>
          <w:p w14:paraId="7E7F928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Borders>
              <w:top w:val="nil"/>
            </w:tcBorders>
            <w:tcMar>
              <w:left w:w="28" w:type="dxa"/>
              <w:right w:w="28" w:type="dxa"/>
            </w:tcMar>
            <w:vAlign w:val="center"/>
          </w:tcPr>
          <w:p w14:paraId="7F25A59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0.63</w:t>
            </w:r>
          </w:p>
        </w:tc>
        <w:tc>
          <w:tcPr>
            <w:tcW w:w="709" w:type="dxa"/>
            <w:tcBorders>
              <w:top w:val="nil"/>
            </w:tcBorders>
            <w:tcMar>
              <w:left w:w="28" w:type="dxa"/>
              <w:right w:w="28" w:type="dxa"/>
            </w:tcMar>
            <w:vAlign w:val="center"/>
          </w:tcPr>
          <w:p w14:paraId="624EED5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13.06</w:t>
            </w:r>
          </w:p>
        </w:tc>
        <w:tc>
          <w:tcPr>
            <w:tcW w:w="709" w:type="dxa"/>
            <w:tcBorders>
              <w:top w:val="nil"/>
            </w:tcBorders>
            <w:tcMar>
              <w:left w:w="28" w:type="dxa"/>
              <w:right w:w="28" w:type="dxa"/>
            </w:tcMar>
            <w:vAlign w:val="center"/>
          </w:tcPr>
          <w:p w14:paraId="08F33DA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16.31</w:t>
            </w:r>
          </w:p>
        </w:tc>
        <w:tc>
          <w:tcPr>
            <w:tcW w:w="709" w:type="dxa"/>
            <w:tcBorders>
              <w:top w:val="nil"/>
            </w:tcBorders>
            <w:tcMar>
              <w:left w:w="28" w:type="dxa"/>
              <w:right w:w="28" w:type="dxa"/>
            </w:tcMar>
            <w:vAlign w:val="center"/>
          </w:tcPr>
          <w:p w14:paraId="7691FC5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1.06</w:t>
            </w:r>
          </w:p>
        </w:tc>
      </w:tr>
      <w:tr w:rsidR="0088288C" w:rsidRPr="002168E2" w14:paraId="77FB6B32" w14:textId="77777777" w:rsidTr="00655477">
        <w:trPr>
          <w:trHeight w:hRule="exact" w:val="312"/>
        </w:trPr>
        <w:tc>
          <w:tcPr>
            <w:tcW w:w="879" w:type="dxa"/>
            <w:vMerge/>
          </w:tcPr>
          <w:p w14:paraId="3D2A95A9"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25BC3C2E"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415D64A3"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36EA965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609621E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0.75</w:t>
            </w:r>
          </w:p>
        </w:tc>
        <w:tc>
          <w:tcPr>
            <w:tcW w:w="709" w:type="dxa"/>
            <w:tcMar>
              <w:left w:w="28" w:type="dxa"/>
              <w:right w:w="28" w:type="dxa"/>
            </w:tcMar>
            <w:vAlign w:val="center"/>
          </w:tcPr>
          <w:p w14:paraId="7A9F91C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0.63</w:t>
            </w:r>
          </w:p>
        </w:tc>
        <w:tc>
          <w:tcPr>
            <w:tcW w:w="709" w:type="dxa"/>
            <w:tcMar>
              <w:left w:w="28" w:type="dxa"/>
              <w:right w:w="28" w:type="dxa"/>
            </w:tcMar>
            <w:vAlign w:val="center"/>
          </w:tcPr>
          <w:p w14:paraId="56A7761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716A86F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2.88</w:t>
            </w:r>
          </w:p>
        </w:tc>
        <w:tc>
          <w:tcPr>
            <w:tcW w:w="709" w:type="dxa"/>
            <w:tcMar>
              <w:left w:w="28" w:type="dxa"/>
              <w:right w:w="28" w:type="dxa"/>
            </w:tcMar>
            <w:vAlign w:val="center"/>
          </w:tcPr>
          <w:p w14:paraId="1EC831B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128ACC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1078F99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0C0C625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0.13</w:t>
            </w:r>
          </w:p>
        </w:tc>
        <w:tc>
          <w:tcPr>
            <w:tcW w:w="709" w:type="dxa"/>
            <w:tcMar>
              <w:left w:w="28" w:type="dxa"/>
              <w:right w:w="28" w:type="dxa"/>
            </w:tcMar>
            <w:vAlign w:val="center"/>
          </w:tcPr>
          <w:p w14:paraId="522556F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D86427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22B1CE9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1A4E4EA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6.63</w:t>
            </w:r>
          </w:p>
        </w:tc>
        <w:tc>
          <w:tcPr>
            <w:tcW w:w="709" w:type="dxa"/>
            <w:tcMar>
              <w:left w:w="28" w:type="dxa"/>
              <w:right w:w="28" w:type="dxa"/>
            </w:tcMar>
            <w:vAlign w:val="center"/>
          </w:tcPr>
          <w:p w14:paraId="492BCBB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2.63</w:t>
            </w:r>
          </w:p>
        </w:tc>
        <w:tc>
          <w:tcPr>
            <w:tcW w:w="709" w:type="dxa"/>
            <w:tcMar>
              <w:left w:w="28" w:type="dxa"/>
              <w:right w:w="28" w:type="dxa"/>
            </w:tcMar>
            <w:vAlign w:val="center"/>
          </w:tcPr>
          <w:p w14:paraId="3033C33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9.06</w:t>
            </w:r>
          </w:p>
        </w:tc>
        <w:tc>
          <w:tcPr>
            <w:tcW w:w="709" w:type="dxa"/>
            <w:tcMar>
              <w:left w:w="28" w:type="dxa"/>
              <w:right w:w="28" w:type="dxa"/>
            </w:tcMar>
            <w:vAlign w:val="center"/>
          </w:tcPr>
          <w:p w14:paraId="4CD3E4C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3.94</w:t>
            </w:r>
          </w:p>
        </w:tc>
      </w:tr>
      <w:tr w:rsidR="0088288C" w:rsidRPr="002168E2" w14:paraId="71D79718" w14:textId="77777777" w:rsidTr="00655477">
        <w:trPr>
          <w:trHeight w:hRule="exact" w:val="312"/>
        </w:trPr>
        <w:tc>
          <w:tcPr>
            <w:tcW w:w="879" w:type="dxa"/>
            <w:vMerge/>
          </w:tcPr>
          <w:p w14:paraId="034C4804"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207375D5"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Hook</w:t>
            </w:r>
          </w:p>
        </w:tc>
        <w:tc>
          <w:tcPr>
            <w:tcW w:w="567" w:type="dxa"/>
            <w:tcMar>
              <w:left w:w="28" w:type="dxa"/>
              <w:right w:w="28" w:type="dxa"/>
            </w:tcMar>
            <w:vAlign w:val="center"/>
          </w:tcPr>
          <w:p w14:paraId="087C1E96"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1CAE1F6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EF8AEF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55D9BD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3314E7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459C1B9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10DC8E4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84B531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CBFB1F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611BEA8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701697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C375F4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34E31D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79DA7D7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4E0C03D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3DFC1F3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C45EE6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4C78F64A" w14:textId="77777777" w:rsidTr="00655477">
        <w:trPr>
          <w:trHeight w:hRule="exact" w:val="312"/>
        </w:trPr>
        <w:tc>
          <w:tcPr>
            <w:tcW w:w="879" w:type="dxa"/>
            <w:vMerge/>
          </w:tcPr>
          <w:p w14:paraId="76CC5DF7"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193DBC74"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70735B05"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1477C77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22B71B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67B5C19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42D05E0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4EB2FCE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0.13</w:t>
            </w:r>
          </w:p>
        </w:tc>
        <w:tc>
          <w:tcPr>
            <w:tcW w:w="709" w:type="dxa"/>
            <w:tcMar>
              <w:left w:w="28" w:type="dxa"/>
              <w:right w:w="28" w:type="dxa"/>
            </w:tcMar>
            <w:vAlign w:val="center"/>
          </w:tcPr>
          <w:p w14:paraId="439D91D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EF005F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920FAE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7145DED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08281B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49B66E4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6B20AE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27597A6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EBA126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360770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16C2DBD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731F7BAA" w14:textId="77777777" w:rsidTr="00655477">
        <w:trPr>
          <w:trHeight w:hRule="exact" w:val="312"/>
        </w:trPr>
        <w:tc>
          <w:tcPr>
            <w:tcW w:w="879" w:type="dxa"/>
            <w:vMerge/>
          </w:tcPr>
          <w:p w14:paraId="578D4248"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6134B658"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Daydream</w:t>
            </w:r>
          </w:p>
        </w:tc>
        <w:tc>
          <w:tcPr>
            <w:tcW w:w="567" w:type="dxa"/>
            <w:tcMar>
              <w:left w:w="28" w:type="dxa"/>
              <w:right w:w="28" w:type="dxa"/>
            </w:tcMar>
            <w:vAlign w:val="center"/>
          </w:tcPr>
          <w:p w14:paraId="3E444747"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5C6F4B8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4B25B7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96C4FC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B3E6EAD"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7528985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31695C5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208062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8E1589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780F8E4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7D3729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5E021D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127EE8C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29B60D6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482D688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11101F1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286A97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4F122544" w14:textId="77777777" w:rsidTr="00655477">
        <w:trPr>
          <w:trHeight w:hRule="exact" w:val="312"/>
        </w:trPr>
        <w:tc>
          <w:tcPr>
            <w:tcW w:w="879" w:type="dxa"/>
            <w:vMerge/>
          </w:tcPr>
          <w:p w14:paraId="19D80F43"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10CE4367"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53FC7386"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16E8C2D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A8829F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4BEE3D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A37735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7C51A2D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0.38</w:t>
            </w:r>
          </w:p>
        </w:tc>
        <w:tc>
          <w:tcPr>
            <w:tcW w:w="709" w:type="dxa"/>
            <w:tcMar>
              <w:left w:w="28" w:type="dxa"/>
              <w:right w:w="28" w:type="dxa"/>
            </w:tcMar>
            <w:vAlign w:val="center"/>
          </w:tcPr>
          <w:p w14:paraId="62E09C5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DDBBE0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2150FD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0D0E99E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4322B9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13BF64C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089D1C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32409A1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363B73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5379DEC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563572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2F5F9B8C" w14:textId="77777777" w:rsidTr="00655477">
        <w:trPr>
          <w:trHeight w:hRule="exact" w:val="312"/>
        </w:trPr>
        <w:tc>
          <w:tcPr>
            <w:tcW w:w="879" w:type="dxa"/>
            <w:vMerge/>
          </w:tcPr>
          <w:p w14:paraId="062C75DA"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72B1DEFE"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Shute Harbour</w:t>
            </w:r>
          </w:p>
        </w:tc>
        <w:tc>
          <w:tcPr>
            <w:tcW w:w="567" w:type="dxa"/>
            <w:tcMar>
              <w:left w:w="28" w:type="dxa"/>
              <w:right w:w="28" w:type="dxa"/>
            </w:tcMar>
            <w:vAlign w:val="center"/>
          </w:tcPr>
          <w:p w14:paraId="2CC4BC52"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12796DF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77D080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72A8F5B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6E64D4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5C2FB62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D6C88D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7CB0F5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418C8B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45D8BFDD"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74561A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BBFC10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65DB57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8" w:type="dxa"/>
            <w:tcMar>
              <w:left w:w="28" w:type="dxa"/>
              <w:right w:w="28" w:type="dxa"/>
            </w:tcMar>
            <w:vAlign w:val="center"/>
          </w:tcPr>
          <w:p w14:paraId="040844D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4C46C50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1.44</w:t>
            </w:r>
          </w:p>
        </w:tc>
        <w:tc>
          <w:tcPr>
            <w:tcW w:w="709" w:type="dxa"/>
            <w:tcMar>
              <w:left w:w="28" w:type="dxa"/>
              <w:right w:w="28" w:type="dxa"/>
            </w:tcMar>
            <w:vAlign w:val="center"/>
          </w:tcPr>
          <w:p w14:paraId="52006E5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596A5B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19604356" w14:textId="77777777" w:rsidTr="00655477">
        <w:trPr>
          <w:trHeight w:hRule="exact" w:val="312"/>
        </w:trPr>
        <w:tc>
          <w:tcPr>
            <w:tcW w:w="879" w:type="dxa"/>
            <w:vMerge/>
          </w:tcPr>
          <w:p w14:paraId="01DF0355"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638F9391"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161D0AA8"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732E858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AC481B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3FB18AB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19239FF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06BDA36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0.31</w:t>
            </w:r>
          </w:p>
        </w:tc>
        <w:tc>
          <w:tcPr>
            <w:tcW w:w="709" w:type="dxa"/>
            <w:tcMar>
              <w:left w:w="28" w:type="dxa"/>
              <w:right w:w="28" w:type="dxa"/>
            </w:tcMar>
            <w:vAlign w:val="center"/>
          </w:tcPr>
          <w:p w14:paraId="3431540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63711BD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5468AD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7E47F06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8DE8B0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C87EBF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57583C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084D6A1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1CEBFDC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0.75</w:t>
            </w:r>
          </w:p>
        </w:tc>
        <w:tc>
          <w:tcPr>
            <w:tcW w:w="709" w:type="dxa"/>
            <w:tcMar>
              <w:left w:w="28" w:type="dxa"/>
              <w:right w:w="28" w:type="dxa"/>
            </w:tcMar>
            <w:vAlign w:val="center"/>
          </w:tcPr>
          <w:p w14:paraId="247373B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C2B04B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0.13</w:t>
            </w:r>
          </w:p>
        </w:tc>
      </w:tr>
      <w:tr w:rsidR="0088288C" w:rsidRPr="002168E2" w14:paraId="133E9A6A" w14:textId="77777777" w:rsidTr="00655477">
        <w:trPr>
          <w:trHeight w:hRule="exact" w:val="312"/>
        </w:trPr>
        <w:tc>
          <w:tcPr>
            <w:tcW w:w="879" w:type="dxa"/>
            <w:vMerge/>
          </w:tcPr>
          <w:p w14:paraId="1D03FAE8"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3CBD66C1"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Pine</w:t>
            </w:r>
          </w:p>
        </w:tc>
        <w:tc>
          <w:tcPr>
            <w:tcW w:w="567" w:type="dxa"/>
            <w:tcMar>
              <w:left w:w="28" w:type="dxa"/>
              <w:right w:w="28" w:type="dxa"/>
            </w:tcMar>
            <w:vAlign w:val="center"/>
          </w:tcPr>
          <w:p w14:paraId="491BD719"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4C17C3E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46C27AD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DF027E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tcMar>
              <w:left w:w="28" w:type="dxa"/>
              <w:right w:w="28" w:type="dxa"/>
            </w:tcMar>
            <w:vAlign w:val="center"/>
          </w:tcPr>
          <w:p w14:paraId="7136DA6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606557F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0.19</w:t>
            </w:r>
          </w:p>
        </w:tc>
        <w:tc>
          <w:tcPr>
            <w:tcW w:w="709" w:type="dxa"/>
            <w:tcMar>
              <w:left w:w="28" w:type="dxa"/>
              <w:right w:w="28" w:type="dxa"/>
            </w:tcMar>
            <w:vAlign w:val="center"/>
          </w:tcPr>
          <w:p w14:paraId="2AEC819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4E333B3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1E72A46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2F193EC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768A702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7FE28F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C75813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32E9EDE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35853C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0.44</w:t>
            </w:r>
          </w:p>
        </w:tc>
        <w:tc>
          <w:tcPr>
            <w:tcW w:w="709" w:type="dxa"/>
            <w:tcMar>
              <w:left w:w="28" w:type="dxa"/>
              <w:right w:w="28" w:type="dxa"/>
            </w:tcMar>
            <w:vAlign w:val="center"/>
          </w:tcPr>
          <w:p w14:paraId="7E925D6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016BC3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621839CF" w14:textId="77777777" w:rsidTr="00655477">
        <w:trPr>
          <w:trHeight w:hRule="exact" w:val="312"/>
        </w:trPr>
        <w:tc>
          <w:tcPr>
            <w:tcW w:w="879" w:type="dxa"/>
            <w:vMerge/>
          </w:tcPr>
          <w:p w14:paraId="63B69C96"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6FA21CA7"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39321DAB"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tcMar>
              <w:left w:w="28" w:type="dxa"/>
              <w:right w:w="28" w:type="dxa"/>
            </w:tcMar>
            <w:vAlign w:val="center"/>
          </w:tcPr>
          <w:p w14:paraId="52A8EB4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55711E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6856C89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64597A5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57B6DAE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0.63</w:t>
            </w:r>
          </w:p>
        </w:tc>
        <w:tc>
          <w:tcPr>
            <w:tcW w:w="709" w:type="dxa"/>
            <w:tcMar>
              <w:left w:w="28" w:type="dxa"/>
              <w:right w:w="28" w:type="dxa"/>
            </w:tcMar>
            <w:vAlign w:val="center"/>
          </w:tcPr>
          <w:p w14:paraId="1CF9C45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4ED017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035DE1E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43AF890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4028709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6A7325C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E7DC2A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19A1355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8883F0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0.57</w:t>
            </w:r>
          </w:p>
        </w:tc>
        <w:tc>
          <w:tcPr>
            <w:tcW w:w="709" w:type="dxa"/>
            <w:tcMar>
              <w:left w:w="28" w:type="dxa"/>
              <w:right w:w="28" w:type="dxa"/>
            </w:tcMar>
            <w:vAlign w:val="center"/>
          </w:tcPr>
          <w:p w14:paraId="7DE76D2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2542B9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0BBF26B8" w14:textId="77777777" w:rsidTr="00655477">
        <w:trPr>
          <w:trHeight w:hRule="exact" w:val="312"/>
        </w:trPr>
        <w:tc>
          <w:tcPr>
            <w:tcW w:w="879" w:type="dxa"/>
            <w:vMerge/>
          </w:tcPr>
          <w:p w14:paraId="566E95C3"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6B743254"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Dent</w:t>
            </w:r>
          </w:p>
          <w:p w14:paraId="63BBAE35"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32172476"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tcMar>
              <w:left w:w="28" w:type="dxa"/>
              <w:right w:w="28" w:type="dxa"/>
            </w:tcMar>
            <w:vAlign w:val="center"/>
          </w:tcPr>
          <w:p w14:paraId="3CDE8A5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0.44</w:t>
            </w:r>
          </w:p>
        </w:tc>
        <w:tc>
          <w:tcPr>
            <w:tcW w:w="709" w:type="dxa"/>
            <w:tcMar>
              <w:left w:w="28" w:type="dxa"/>
              <w:right w:w="28" w:type="dxa"/>
            </w:tcMar>
            <w:vAlign w:val="center"/>
          </w:tcPr>
          <w:p w14:paraId="406E5D1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0.19</w:t>
            </w:r>
          </w:p>
        </w:tc>
        <w:tc>
          <w:tcPr>
            <w:tcW w:w="709" w:type="dxa"/>
            <w:tcMar>
              <w:left w:w="28" w:type="dxa"/>
              <w:right w:w="28" w:type="dxa"/>
            </w:tcMar>
            <w:vAlign w:val="center"/>
          </w:tcPr>
          <w:p w14:paraId="64F6E0C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0.19</w:t>
            </w:r>
          </w:p>
        </w:tc>
        <w:tc>
          <w:tcPr>
            <w:tcW w:w="709" w:type="dxa"/>
            <w:tcMar>
              <w:left w:w="28" w:type="dxa"/>
              <w:right w:w="28" w:type="dxa"/>
            </w:tcMar>
            <w:vAlign w:val="center"/>
          </w:tcPr>
          <w:p w14:paraId="6E19F17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7450F41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2.38</w:t>
            </w:r>
          </w:p>
        </w:tc>
        <w:tc>
          <w:tcPr>
            <w:tcW w:w="709" w:type="dxa"/>
            <w:tcMar>
              <w:left w:w="28" w:type="dxa"/>
              <w:right w:w="28" w:type="dxa"/>
            </w:tcMar>
            <w:vAlign w:val="center"/>
          </w:tcPr>
          <w:p w14:paraId="60AFECA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8163FE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689E18B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tcMar>
              <w:left w:w="28" w:type="dxa"/>
              <w:right w:w="28" w:type="dxa"/>
            </w:tcMar>
            <w:vAlign w:val="center"/>
          </w:tcPr>
          <w:p w14:paraId="1428281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63969F8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24728EC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59DB48F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8" w:type="dxa"/>
            <w:tcMar>
              <w:left w:w="28" w:type="dxa"/>
              <w:right w:w="28" w:type="dxa"/>
            </w:tcMar>
            <w:vAlign w:val="center"/>
          </w:tcPr>
          <w:p w14:paraId="4C8C320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tcMar>
              <w:left w:w="28" w:type="dxa"/>
              <w:right w:w="28" w:type="dxa"/>
            </w:tcMar>
            <w:vAlign w:val="center"/>
          </w:tcPr>
          <w:p w14:paraId="39683D1D"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6.5</w:t>
            </w:r>
          </w:p>
        </w:tc>
        <w:tc>
          <w:tcPr>
            <w:tcW w:w="709" w:type="dxa"/>
            <w:tcMar>
              <w:left w:w="28" w:type="dxa"/>
              <w:right w:w="28" w:type="dxa"/>
            </w:tcMar>
            <w:vAlign w:val="center"/>
          </w:tcPr>
          <w:p w14:paraId="6EFD641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3</w:t>
            </w:r>
          </w:p>
        </w:tc>
        <w:tc>
          <w:tcPr>
            <w:tcW w:w="709" w:type="dxa"/>
            <w:tcMar>
              <w:left w:w="28" w:type="dxa"/>
              <w:right w:w="28" w:type="dxa"/>
            </w:tcMar>
            <w:vAlign w:val="center"/>
          </w:tcPr>
          <w:p w14:paraId="09F4B48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7E8A0D67" w14:textId="77777777" w:rsidTr="00655477">
        <w:trPr>
          <w:trHeight w:hRule="exact" w:val="312"/>
        </w:trPr>
        <w:tc>
          <w:tcPr>
            <w:tcW w:w="879" w:type="dxa"/>
            <w:vMerge/>
          </w:tcPr>
          <w:p w14:paraId="3F3D1BBD" w14:textId="77777777" w:rsidR="0088288C" w:rsidRPr="002168E2" w:rsidRDefault="0088288C" w:rsidP="00E56CF1">
            <w:pPr>
              <w:jc w:val="center"/>
              <w:rPr>
                <w:rFonts w:ascii="Arial Narrow" w:hAnsi="Arial Narrow"/>
                <w:b/>
                <w:color w:val="000000"/>
                <w:sz w:val="18"/>
                <w:szCs w:val="18"/>
              </w:rPr>
            </w:pPr>
          </w:p>
        </w:tc>
        <w:tc>
          <w:tcPr>
            <w:tcW w:w="1843" w:type="dxa"/>
            <w:vMerge/>
            <w:tcMar>
              <w:left w:w="28" w:type="dxa"/>
              <w:right w:w="28" w:type="dxa"/>
            </w:tcMar>
            <w:vAlign w:val="center"/>
          </w:tcPr>
          <w:p w14:paraId="265DF2A9" w14:textId="77777777" w:rsidR="0088288C" w:rsidRPr="002168E2" w:rsidRDefault="0088288C" w:rsidP="00E56CF1">
            <w:pPr>
              <w:jc w:val="center"/>
              <w:rPr>
                <w:rFonts w:ascii="Arial Narrow" w:hAnsi="Arial Narrow"/>
                <w:b/>
                <w:color w:val="000000"/>
                <w:sz w:val="18"/>
                <w:szCs w:val="18"/>
              </w:rPr>
            </w:pPr>
          </w:p>
        </w:tc>
        <w:tc>
          <w:tcPr>
            <w:tcW w:w="567" w:type="dxa"/>
            <w:tcMar>
              <w:left w:w="28" w:type="dxa"/>
              <w:right w:w="28" w:type="dxa"/>
            </w:tcMar>
            <w:vAlign w:val="center"/>
          </w:tcPr>
          <w:p w14:paraId="7D32FE6E"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2857B54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47D22D4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0.44</w:t>
            </w:r>
          </w:p>
        </w:tc>
        <w:tc>
          <w:tcPr>
            <w:tcW w:w="709" w:type="dxa"/>
            <w:noWrap/>
            <w:tcMar>
              <w:left w:w="28" w:type="dxa"/>
              <w:right w:w="28" w:type="dxa"/>
            </w:tcMar>
            <w:vAlign w:val="center"/>
          </w:tcPr>
          <w:p w14:paraId="651EBC8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67335D6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389455B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0.63</w:t>
            </w:r>
          </w:p>
        </w:tc>
        <w:tc>
          <w:tcPr>
            <w:tcW w:w="709" w:type="dxa"/>
            <w:noWrap/>
            <w:tcMar>
              <w:left w:w="28" w:type="dxa"/>
              <w:right w:w="28" w:type="dxa"/>
            </w:tcMar>
            <w:vAlign w:val="center"/>
          </w:tcPr>
          <w:p w14:paraId="2DA9715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586E46B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199AA23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8" w:type="dxa"/>
            <w:noWrap/>
            <w:tcMar>
              <w:left w:w="28" w:type="dxa"/>
              <w:right w:w="28" w:type="dxa"/>
            </w:tcMar>
            <w:vAlign w:val="center"/>
          </w:tcPr>
          <w:p w14:paraId="5C4E988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4E3E973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523BCB7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5AFA17D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4772152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0.19</w:t>
            </w:r>
          </w:p>
        </w:tc>
        <w:tc>
          <w:tcPr>
            <w:tcW w:w="709" w:type="dxa"/>
            <w:noWrap/>
            <w:tcMar>
              <w:left w:w="28" w:type="dxa"/>
              <w:right w:w="28" w:type="dxa"/>
            </w:tcMar>
            <w:vAlign w:val="center"/>
          </w:tcPr>
          <w:p w14:paraId="7EA28F3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7.5</w:t>
            </w:r>
          </w:p>
        </w:tc>
        <w:tc>
          <w:tcPr>
            <w:tcW w:w="709" w:type="dxa"/>
            <w:noWrap/>
            <w:tcMar>
              <w:left w:w="28" w:type="dxa"/>
              <w:right w:w="28" w:type="dxa"/>
            </w:tcMar>
            <w:vAlign w:val="center"/>
          </w:tcPr>
          <w:p w14:paraId="3D5E5D6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0.13</w:t>
            </w:r>
          </w:p>
        </w:tc>
        <w:tc>
          <w:tcPr>
            <w:tcW w:w="709" w:type="dxa"/>
            <w:noWrap/>
            <w:tcMar>
              <w:left w:w="28" w:type="dxa"/>
              <w:right w:w="28" w:type="dxa"/>
            </w:tcMar>
            <w:vAlign w:val="center"/>
          </w:tcPr>
          <w:p w14:paraId="6832C3AF"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0.13</w:t>
            </w:r>
          </w:p>
        </w:tc>
      </w:tr>
      <w:tr w:rsidR="0088288C" w:rsidRPr="002168E2" w14:paraId="266BD3D3" w14:textId="77777777" w:rsidTr="00655477">
        <w:trPr>
          <w:trHeight w:hRule="exact" w:val="312"/>
        </w:trPr>
        <w:tc>
          <w:tcPr>
            <w:tcW w:w="879" w:type="dxa"/>
            <w:vMerge/>
          </w:tcPr>
          <w:p w14:paraId="113119CA" w14:textId="77777777" w:rsidR="0088288C" w:rsidRPr="00C22707" w:rsidRDefault="0088288C" w:rsidP="00E56CF1">
            <w:pPr>
              <w:jc w:val="center"/>
              <w:rPr>
                <w:rFonts w:ascii="Arial Narrow" w:hAnsi="Arial Narrow"/>
                <w:color w:val="000000"/>
                <w:sz w:val="20"/>
              </w:rPr>
            </w:pPr>
          </w:p>
        </w:tc>
        <w:tc>
          <w:tcPr>
            <w:tcW w:w="1843" w:type="dxa"/>
            <w:vMerge w:val="restart"/>
            <w:tcMar>
              <w:left w:w="28" w:type="dxa"/>
              <w:right w:w="28" w:type="dxa"/>
            </w:tcMar>
            <w:vAlign w:val="center"/>
          </w:tcPr>
          <w:p w14:paraId="23B7071E"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Seaforth</w:t>
            </w:r>
          </w:p>
        </w:tc>
        <w:tc>
          <w:tcPr>
            <w:tcW w:w="567" w:type="dxa"/>
            <w:tcMar>
              <w:left w:w="28" w:type="dxa"/>
              <w:right w:w="28" w:type="dxa"/>
            </w:tcMar>
            <w:vAlign w:val="center"/>
          </w:tcPr>
          <w:p w14:paraId="3F98CE3C"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noWrap/>
            <w:tcMar>
              <w:left w:w="28" w:type="dxa"/>
              <w:right w:w="28" w:type="dxa"/>
            </w:tcMar>
            <w:vAlign w:val="center"/>
          </w:tcPr>
          <w:p w14:paraId="642CA07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1F142EA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0.31</w:t>
            </w:r>
          </w:p>
        </w:tc>
        <w:tc>
          <w:tcPr>
            <w:tcW w:w="709" w:type="dxa"/>
            <w:noWrap/>
            <w:tcMar>
              <w:left w:w="28" w:type="dxa"/>
              <w:right w:w="28" w:type="dxa"/>
            </w:tcMar>
            <w:vAlign w:val="center"/>
          </w:tcPr>
          <w:p w14:paraId="644E6C1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noWrap/>
            <w:tcMar>
              <w:left w:w="28" w:type="dxa"/>
              <w:right w:w="28" w:type="dxa"/>
            </w:tcMar>
            <w:vAlign w:val="center"/>
          </w:tcPr>
          <w:p w14:paraId="2F95D41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21F694D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0BB8696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3CAF51F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2CE8D65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8" w:type="dxa"/>
            <w:noWrap/>
            <w:tcMar>
              <w:left w:w="28" w:type="dxa"/>
              <w:right w:w="28" w:type="dxa"/>
            </w:tcMar>
            <w:vAlign w:val="center"/>
          </w:tcPr>
          <w:p w14:paraId="7B72838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noWrap/>
            <w:tcMar>
              <w:left w:w="28" w:type="dxa"/>
              <w:right w:w="28" w:type="dxa"/>
            </w:tcMar>
            <w:vAlign w:val="center"/>
          </w:tcPr>
          <w:p w14:paraId="732C519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06430AC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5500ACE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15F5565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7FFDDADC"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48C21DE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5A02546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4C6A851A" w14:textId="77777777" w:rsidTr="00655477">
        <w:trPr>
          <w:trHeight w:hRule="exact" w:val="312"/>
        </w:trPr>
        <w:tc>
          <w:tcPr>
            <w:tcW w:w="879" w:type="dxa"/>
            <w:vMerge/>
          </w:tcPr>
          <w:p w14:paraId="11A9FD2D" w14:textId="77777777" w:rsidR="0088288C" w:rsidRPr="00C22707" w:rsidRDefault="0088288C" w:rsidP="00E56CF1">
            <w:pPr>
              <w:jc w:val="center"/>
              <w:rPr>
                <w:rFonts w:ascii="Arial Narrow" w:hAnsi="Arial Narrow"/>
                <w:color w:val="000000"/>
                <w:sz w:val="20"/>
              </w:rPr>
            </w:pPr>
          </w:p>
        </w:tc>
        <w:tc>
          <w:tcPr>
            <w:tcW w:w="1843" w:type="dxa"/>
            <w:vMerge/>
            <w:tcMar>
              <w:left w:w="28" w:type="dxa"/>
              <w:right w:w="28" w:type="dxa"/>
            </w:tcMar>
            <w:vAlign w:val="center"/>
          </w:tcPr>
          <w:p w14:paraId="416271AD" w14:textId="77777777" w:rsidR="0088288C" w:rsidRPr="00C22707" w:rsidRDefault="0088288C" w:rsidP="00E56CF1">
            <w:pPr>
              <w:jc w:val="left"/>
              <w:rPr>
                <w:rFonts w:ascii="Arial Narrow" w:hAnsi="Arial Narrow"/>
                <w:color w:val="000000"/>
                <w:sz w:val="20"/>
              </w:rPr>
            </w:pPr>
          </w:p>
        </w:tc>
        <w:tc>
          <w:tcPr>
            <w:tcW w:w="567" w:type="dxa"/>
            <w:tcMar>
              <w:left w:w="28" w:type="dxa"/>
              <w:right w:w="28" w:type="dxa"/>
            </w:tcMar>
            <w:vAlign w:val="center"/>
          </w:tcPr>
          <w:p w14:paraId="78AFDAE0"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0D6CCC3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21E267B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0.44</w:t>
            </w:r>
          </w:p>
        </w:tc>
        <w:tc>
          <w:tcPr>
            <w:tcW w:w="709" w:type="dxa"/>
            <w:noWrap/>
            <w:tcMar>
              <w:left w:w="28" w:type="dxa"/>
              <w:right w:w="28" w:type="dxa"/>
            </w:tcMar>
            <w:vAlign w:val="center"/>
          </w:tcPr>
          <w:p w14:paraId="05B1B14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0CE9889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7629E65D"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4077720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415D395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306DF2E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050BA2F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2A78AA6A"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722E6A9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79BB102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186742C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4C7945A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0.25</w:t>
            </w:r>
          </w:p>
        </w:tc>
        <w:tc>
          <w:tcPr>
            <w:tcW w:w="709" w:type="dxa"/>
            <w:noWrap/>
            <w:tcMar>
              <w:left w:w="28" w:type="dxa"/>
              <w:right w:w="28" w:type="dxa"/>
            </w:tcMar>
            <w:vAlign w:val="center"/>
          </w:tcPr>
          <w:p w14:paraId="6370DE9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7C18546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r w:rsidR="0088288C" w:rsidRPr="002168E2" w14:paraId="20ACB1F8" w14:textId="77777777" w:rsidTr="00655477">
        <w:trPr>
          <w:trHeight w:hRule="exact" w:val="312"/>
        </w:trPr>
        <w:tc>
          <w:tcPr>
            <w:tcW w:w="879" w:type="dxa"/>
            <w:vMerge/>
          </w:tcPr>
          <w:p w14:paraId="2D810B31" w14:textId="77777777" w:rsidR="0088288C" w:rsidRPr="00C22707" w:rsidRDefault="0088288C" w:rsidP="00E56CF1">
            <w:pPr>
              <w:jc w:val="center"/>
              <w:rPr>
                <w:rFonts w:ascii="Arial Narrow" w:hAnsi="Arial Narrow"/>
                <w:color w:val="000000"/>
                <w:sz w:val="20"/>
              </w:rPr>
            </w:pPr>
          </w:p>
        </w:tc>
        <w:tc>
          <w:tcPr>
            <w:tcW w:w="1843" w:type="dxa"/>
            <w:tcMar>
              <w:left w:w="28" w:type="dxa"/>
              <w:right w:w="28" w:type="dxa"/>
            </w:tcMar>
            <w:vAlign w:val="center"/>
          </w:tcPr>
          <w:p w14:paraId="4A971AFC"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Border</w:t>
            </w:r>
          </w:p>
        </w:tc>
        <w:tc>
          <w:tcPr>
            <w:tcW w:w="567" w:type="dxa"/>
            <w:tcMar>
              <w:left w:w="28" w:type="dxa"/>
              <w:right w:w="28" w:type="dxa"/>
            </w:tcMar>
            <w:vAlign w:val="center"/>
          </w:tcPr>
          <w:p w14:paraId="21F31AA1"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0651473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3.88</w:t>
            </w:r>
          </w:p>
        </w:tc>
        <w:tc>
          <w:tcPr>
            <w:tcW w:w="709" w:type="dxa"/>
            <w:noWrap/>
            <w:tcMar>
              <w:left w:w="28" w:type="dxa"/>
              <w:right w:w="28" w:type="dxa"/>
            </w:tcMar>
            <w:vAlign w:val="center"/>
          </w:tcPr>
          <w:p w14:paraId="7726C43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noWrap/>
            <w:tcMar>
              <w:left w:w="28" w:type="dxa"/>
              <w:right w:w="28" w:type="dxa"/>
            </w:tcMar>
            <w:vAlign w:val="center"/>
          </w:tcPr>
          <w:p w14:paraId="2541DEF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1.25</w:t>
            </w:r>
          </w:p>
        </w:tc>
        <w:tc>
          <w:tcPr>
            <w:tcW w:w="709" w:type="dxa"/>
            <w:noWrap/>
            <w:tcMar>
              <w:left w:w="28" w:type="dxa"/>
              <w:right w:w="28" w:type="dxa"/>
            </w:tcMar>
            <w:vAlign w:val="center"/>
          </w:tcPr>
          <w:p w14:paraId="6B12E50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4EE8DB5D"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2</w:t>
            </w:r>
          </w:p>
        </w:tc>
        <w:tc>
          <w:tcPr>
            <w:tcW w:w="709" w:type="dxa"/>
            <w:noWrap/>
            <w:tcMar>
              <w:left w:w="28" w:type="dxa"/>
              <w:right w:w="28" w:type="dxa"/>
            </w:tcMar>
            <w:vAlign w:val="center"/>
          </w:tcPr>
          <w:p w14:paraId="5634640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32EDB02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638B21E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6B9F958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0.31</w:t>
            </w:r>
          </w:p>
        </w:tc>
        <w:tc>
          <w:tcPr>
            <w:tcW w:w="709" w:type="dxa"/>
            <w:noWrap/>
            <w:tcMar>
              <w:left w:w="28" w:type="dxa"/>
              <w:right w:w="28" w:type="dxa"/>
            </w:tcMar>
            <w:vAlign w:val="center"/>
          </w:tcPr>
          <w:p w14:paraId="6438E96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765F3AF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3E66A73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1.31</w:t>
            </w:r>
          </w:p>
        </w:tc>
        <w:tc>
          <w:tcPr>
            <w:tcW w:w="708" w:type="dxa"/>
            <w:noWrap/>
            <w:tcMar>
              <w:left w:w="28" w:type="dxa"/>
              <w:right w:w="28" w:type="dxa"/>
            </w:tcMar>
            <w:vAlign w:val="center"/>
          </w:tcPr>
          <w:p w14:paraId="0329E8E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0.13</w:t>
            </w:r>
          </w:p>
        </w:tc>
        <w:tc>
          <w:tcPr>
            <w:tcW w:w="709" w:type="dxa"/>
            <w:noWrap/>
            <w:tcMar>
              <w:left w:w="28" w:type="dxa"/>
              <w:right w:w="28" w:type="dxa"/>
            </w:tcMar>
            <w:vAlign w:val="center"/>
          </w:tcPr>
          <w:p w14:paraId="79D8024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2.31</w:t>
            </w:r>
          </w:p>
        </w:tc>
        <w:tc>
          <w:tcPr>
            <w:tcW w:w="709" w:type="dxa"/>
            <w:noWrap/>
            <w:tcMar>
              <w:left w:w="28" w:type="dxa"/>
              <w:right w:w="28" w:type="dxa"/>
            </w:tcMar>
            <w:vAlign w:val="center"/>
          </w:tcPr>
          <w:p w14:paraId="6EDBAE3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2.13</w:t>
            </w:r>
          </w:p>
        </w:tc>
        <w:tc>
          <w:tcPr>
            <w:tcW w:w="709" w:type="dxa"/>
            <w:noWrap/>
            <w:tcMar>
              <w:left w:w="28" w:type="dxa"/>
              <w:right w:w="28" w:type="dxa"/>
            </w:tcMar>
            <w:vAlign w:val="center"/>
          </w:tcPr>
          <w:p w14:paraId="7CB757B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0.75</w:t>
            </w:r>
          </w:p>
        </w:tc>
      </w:tr>
      <w:tr w:rsidR="0088288C" w:rsidRPr="002168E2" w14:paraId="39439E98" w14:textId="77777777" w:rsidTr="00655477">
        <w:trPr>
          <w:trHeight w:hRule="exact" w:val="312"/>
        </w:trPr>
        <w:tc>
          <w:tcPr>
            <w:tcW w:w="879" w:type="dxa"/>
            <w:vMerge/>
          </w:tcPr>
          <w:p w14:paraId="1C342A46" w14:textId="77777777" w:rsidR="0088288C" w:rsidRPr="00C22707" w:rsidRDefault="0088288C" w:rsidP="00E56CF1">
            <w:pPr>
              <w:jc w:val="center"/>
              <w:rPr>
                <w:rFonts w:ascii="Arial Narrow" w:hAnsi="Arial Narrow"/>
                <w:color w:val="000000"/>
                <w:sz w:val="20"/>
              </w:rPr>
            </w:pPr>
          </w:p>
        </w:tc>
        <w:tc>
          <w:tcPr>
            <w:tcW w:w="1843" w:type="dxa"/>
            <w:tcMar>
              <w:left w:w="28" w:type="dxa"/>
              <w:right w:w="28" w:type="dxa"/>
            </w:tcMar>
            <w:vAlign w:val="center"/>
          </w:tcPr>
          <w:p w14:paraId="1846753B"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Hayman</w:t>
            </w:r>
          </w:p>
        </w:tc>
        <w:tc>
          <w:tcPr>
            <w:tcW w:w="567" w:type="dxa"/>
            <w:tcMar>
              <w:left w:w="28" w:type="dxa"/>
              <w:right w:w="28" w:type="dxa"/>
            </w:tcMar>
            <w:vAlign w:val="center"/>
          </w:tcPr>
          <w:p w14:paraId="620C1BF1"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0598DFA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54C8706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288D8A8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4.13</w:t>
            </w:r>
          </w:p>
        </w:tc>
        <w:tc>
          <w:tcPr>
            <w:tcW w:w="709" w:type="dxa"/>
            <w:noWrap/>
            <w:tcMar>
              <w:left w:w="28" w:type="dxa"/>
              <w:right w:w="28" w:type="dxa"/>
            </w:tcMar>
            <w:vAlign w:val="center"/>
          </w:tcPr>
          <w:p w14:paraId="5908CFE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421C05B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0.5</w:t>
            </w:r>
          </w:p>
        </w:tc>
        <w:tc>
          <w:tcPr>
            <w:tcW w:w="709" w:type="dxa"/>
            <w:noWrap/>
            <w:tcMar>
              <w:left w:w="28" w:type="dxa"/>
              <w:right w:w="28" w:type="dxa"/>
            </w:tcMar>
            <w:vAlign w:val="center"/>
          </w:tcPr>
          <w:p w14:paraId="4813230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21349C1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noWrap/>
            <w:tcMar>
              <w:left w:w="28" w:type="dxa"/>
              <w:right w:w="28" w:type="dxa"/>
            </w:tcMar>
            <w:vAlign w:val="center"/>
          </w:tcPr>
          <w:p w14:paraId="7A53F2B1"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8" w:type="dxa"/>
            <w:noWrap/>
            <w:tcMar>
              <w:left w:w="28" w:type="dxa"/>
              <w:right w:w="28" w:type="dxa"/>
            </w:tcMar>
            <w:vAlign w:val="center"/>
          </w:tcPr>
          <w:p w14:paraId="01926B3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6926BFB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0E95C0ED"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2217033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0.44</w:t>
            </w:r>
          </w:p>
        </w:tc>
        <w:tc>
          <w:tcPr>
            <w:tcW w:w="708" w:type="dxa"/>
            <w:noWrap/>
            <w:tcMar>
              <w:left w:w="28" w:type="dxa"/>
              <w:right w:w="28" w:type="dxa"/>
            </w:tcMar>
            <w:vAlign w:val="center"/>
          </w:tcPr>
          <w:p w14:paraId="67E2200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c>
          <w:tcPr>
            <w:tcW w:w="709" w:type="dxa"/>
            <w:noWrap/>
            <w:tcMar>
              <w:left w:w="28" w:type="dxa"/>
              <w:right w:w="28" w:type="dxa"/>
            </w:tcMar>
            <w:vAlign w:val="center"/>
          </w:tcPr>
          <w:p w14:paraId="68F3935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4.19</w:t>
            </w:r>
          </w:p>
        </w:tc>
        <w:tc>
          <w:tcPr>
            <w:tcW w:w="709" w:type="dxa"/>
            <w:noWrap/>
            <w:tcMar>
              <w:left w:w="28" w:type="dxa"/>
              <w:right w:w="28" w:type="dxa"/>
            </w:tcMar>
            <w:vAlign w:val="center"/>
          </w:tcPr>
          <w:p w14:paraId="636878E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0.56</w:t>
            </w:r>
          </w:p>
        </w:tc>
        <w:tc>
          <w:tcPr>
            <w:tcW w:w="709" w:type="dxa"/>
            <w:noWrap/>
            <w:tcMar>
              <w:left w:w="28" w:type="dxa"/>
              <w:right w:w="28" w:type="dxa"/>
            </w:tcMar>
            <w:vAlign w:val="center"/>
          </w:tcPr>
          <w:p w14:paraId="39F2F8E8"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0.06</w:t>
            </w:r>
          </w:p>
        </w:tc>
      </w:tr>
      <w:tr w:rsidR="0088288C" w:rsidRPr="002168E2" w14:paraId="7D493BB4" w14:textId="77777777" w:rsidTr="00655477">
        <w:trPr>
          <w:trHeight w:hRule="exact" w:val="312"/>
        </w:trPr>
        <w:tc>
          <w:tcPr>
            <w:tcW w:w="879" w:type="dxa"/>
            <w:vMerge/>
          </w:tcPr>
          <w:p w14:paraId="7227FD8A" w14:textId="77777777" w:rsidR="0088288C" w:rsidRPr="00C22707" w:rsidRDefault="0088288C" w:rsidP="00E56CF1">
            <w:pPr>
              <w:jc w:val="center"/>
              <w:rPr>
                <w:rFonts w:ascii="Arial Narrow" w:hAnsi="Arial Narrow"/>
                <w:color w:val="000000"/>
                <w:sz w:val="20"/>
              </w:rPr>
            </w:pPr>
          </w:p>
        </w:tc>
        <w:tc>
          <w:tcPr>
            <w:tcW w:w="1843" w:type="dxa"/>
            <w:tcMar>
              <w:left w:w="28" w:type="dxa"/>
              <w:right w:w="28" w:type="dxa"/>
            </w:tcMar>
            <w:vAlign w:val="center"/>
          </w:tcPr>
          <w:p w14:paraId="03368C8D" w14:textId="77777777" w:rsidR="0088288C" w:rsidRPr="00C22707" w:rsidRDefault="0088288C" w:rsidP="00E56CF1">
            <w:pPr>
              <w:jc w:val="left"/>
              <w:rPr>
                <w:rFonts w:ascii="Arial Narrow" w:hAnsi="Arial Narrow"/>
                <w:color w:val="000000"/>
                <w:sz w:val="20"/>
              </w:rPr>
            </w:pPr>
            <w:r w:rsidRPr="00C22707">
              <w:rPr>
                <w:rFonts w:ascii="Arial Narrow" w:hAnsi="Arial Narrow"/>
                <w:color w:val="000000"/>
                <w:sz w:val="20"/>
              </w:rPr>
              <w:t>Langford</w:t>
            </w:r>
          </w:p>
        </w:tc>
        <w:tc>
          <w:tcPr>
            <w:tcW w:w="567" w:type="dxa"/>
            <w:tcMar>
              <w:left w:w="28" w:type="dxa"/>
              <w:right w:w="28" w:type="dxa"/>
            </w:tcMar>
            <w:vAlign w:val="center"/>
          </w:tcPr>
          <w:p w14:paraId="5EBAA29C" w14:textId="77777777" w:rsidR="0088288C" w:rsidRPr="002168E2" w:rsidRDefault="0088288C"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38FD2D04"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63B4C3F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28CF194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2C0968E6"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000A0A9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0.03</w:t>
            </w:r>
          </w:p>
        </w:tc>
        <w:tc>
          <w:tcPr>
            <w:tcW w:w="709" w:type="dxa"/>
            <w:noWrap/>
            <w:tcMar>
              <w:left w:w="28" w:type="dxa"/>
              <w:right w:w="28" w:type="dxa"/>
            </w:tcMar>
            <w:vAlign w:val="center"/>
          </w:tcPr>
          <w:p w14:paraId="1C43E2F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736727D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576FA810"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718F428E"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1FF92C23"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351EF995"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00598BD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8" w:type="dxa"/>
            <w:noWrap/>
            <w:tcMar>
              <w:left w:w="28" w:type="dxa"/>
              <w:right w:w="28" w:type="dxa"/>
            </w:tcMar>
            <w:vAlign w:val="center"/>
          </w:tcPr>
          <w:p w14:paraId="06559DBB"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1D90C962"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568A6A29"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c>
          <w:tcPr>
            <w:tcW w:w="709" w:type="dxa"/>
            <w:noWrap/>
            <w:tcMar>
              <w:left w:w="28" w:type="dxa"/>
              <w:right w:w="28" w:type="dxa"/>
            </w:tcMar>
            <w:vAlign w:val="center"/>
          </w:tcPr>
          <w:p w14:paraId="17178B57" w14:textId="77777777" w:rsidR="0088288C" w:rsidRPr="00655477" w:rsidRDefault="0088288C" w:rsidP="00E56CF1">
            <w:pPr>
              <w:jc w:val="center"/>
              <w:rPr>
                <w:rFonts w:ascii="Arial Narrow" w:hAnsi="Arial Narrow"/>
                <w:color w:val="000000"/>
                <w:sz w:val="18"/>
                <w:szCs w:val="18"/>
              </w:rPr>
            </w:pPr>
            <w:r w:rsidRPr="00655477">
              <w:rPr>
                <w:rFonts w:ascii="Arial Narrow" w:hAnsi="Arial Narrow"/>
                <w:color w:val="000000"/>
                <w:sz w:val="18"/>
                <w:szCs w:val="18"/>
              </w:rPr>
              <w:t>0</w:t>
            </w:r>
          </w:p>
        </w:tc>
      </w:tr>
    </w:tbl>
    <w:p w14:paraId="7D8463F2" w14:textId="77777777" w:rsidR="0088288C" w:rsidRDefault="0088288C"/>
    <w:p w14:paraId="5AFB28FB" w14:textId="77777777" w:rsidR="00655477" w:rsidRDefault="00655477">
      <w:pPr>
        <w:jc w:val="left"/>
      </w:pPr>
      <w:r>
        <w:br w:type="page"/>
      </w:r>
    </w:p>
    <w:p w14:paraId="70601EF0" w14:textId="77777777" w:rsidR="00655477" w:rsidRPr="0088288C" w:rsidRDefault="00655477" w:rsidP="00655477">
      <w:pPr>
        <w:rPr>
          <w:rStyle w:val="IntenseReference"/>
        </w:rPr>
      </w:pPr>
      <w:r w:rsidRPr="0088288C">
        <w:rPr>
          <w:rStyle w:val="IntenseReference"/>
        </w:rPr>
        <w:lastRenderedPageBreak/>
        <w:t xml:space="preserve">Table </w:t>
      </w:r>
      <w:proofErr w:type="gramStart"/>
      <w:r w:rsidRPr="0088288C">
        <w:rPr>
          <w:rStyle w:val="IntenseReference"/>
        </w:rPr>
        <w:t>A</w:t>
      </w:r>
      <w:proofErr w:type="gramEnd"/>
      <w:r w:rsidRPr="0088288C">
        <w:rPr>
          <w:rStyle w:val="IntenseReference"/>
        </w:rPr>
        <w:t xml:space="preserve"> 7 continued</w:t>
      </w:r>
    </w:p>
    <w:tbl>
      <w:tblPr>
        <w:tblW w:w="14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Caption w:val="Table A1 7 continued"/>
        <w:tblDescription w:val="Table A1 7 continued"/>
      </w:tblPr>
      <w:tblGrid>
        <w:gridCol w:w="879"/>
        <w:gridCol w:w="1843"/>
        <w:gridCol w:w="567"/>
        <w:gridCol w:w="708"/>
        <w:gridCol w:w="709"/>
        <w:gridCol w:w="709"/>
        <w:gridCol w:w="709"/>
        <w:gridCol w:w="708"/>
        <w:gridCol w:w="709"/>
        <w:gridCol w:w="709"/>
        <w:gridCol w:w="709"/>
        <w:gridCol w:w="708"/>
        <w:gridCol w:w="709"/>
        <w:gridCol w:w="709"/>
        <w:gridCol w:w="709"/>
        <w:gridCol w:w="708"/>
        <w:gridCol w:w="709"/>
        <w:gridCol w:w="709"/>
        <w:gridCol w:w="709"/>
      </w:tblGrid>
      <w:tr w:rsidR="00655477" w:rsidRPr="002168E2" w14:paraId="78D6572A" w14:textId="77777777" w:rsidTr="00E56CF1">
        <w:trPr>
          <w:cantSplit/>
          <w:trHeight w:hRule="exact" w:val="391"/>
          <w:tblHeader/>
        </w:trPr>
        <w:tc>
          <w:tcPr>
            <w:tcW w:w="879" w:type="dxa"/>
            <w:vMerge w:val="restart"/>
            <w:shd w:val="clear" w:color="auto" w:fill="F2F2F2" w:themeFill="background1" w:themeFillShade="F2"/>
            <w:textDirection w:val="btLr"/>
          </w:tcPr>
          <w:p w14:paraId="328FE3C3" w14:textId="77777777" w:rsidR="00655477" w:rsidRPr="00BF3FC5" w:rsidRDefault="00655477" w:rsidP="00E56CF1">
            <w:pPr>
              <w:ind w:left="113" w:right="113"/>
              <w:jc w:val="center"/>
              <w:rPr>
                <w:rFonts w:ascii="Arial Narrow" w:hAnsi="Arial Narrow"/>
                <w:color w:val="000000"/>
                <w:sz w:val="20"/>
              </w:rPr>
            </w:pPr>
            <w:r w:rsidRPr="00BF3FC5">
              <w:rPr>
                <w:rFonts w:ascii="Arial Narrow" w:hAnsi="Arial Narrow"/>
                <w:color w:val="000000"/>
                <w:sz w:val="20"/>
              </w:rPr>
              <w:t>Sub/region</w:t>
            </w:r>
          </w:p>
        </w:tc>
        <w:tc>
          <w:tcPr>
            <w:tcW w:w="1843" w:type="dxa"/>
            <w:vMerge w:val="restart"/>
            <w:shd w:val="clear" w:color="auto" w:fill="F2F2F2" w:themeFill="background1" w:themeFillShade="F2"/>
            <w:tcMar>
              <w:left w:w="28" w:type="dxa"/>
              <w:right w:w="28" w:type="dxa"/>
            </w:tcMar>
            <w:vAlign w:val="center"/>
          </w:tcPr>
          <w:p w14:paraId="55216C02" w14:textId="77777777" w:rsidR="00655477" w:rsidRPr="00BF3FC5" w:rsidRDefault="00655477" w:rsidP="00E56CF1">
            <w:pPr>
              <w:jc w:val="center"/>
              <w:rPr>
                <w:rFonts w:ascii="Arial Narrow" w:hAnsi="Arial Narrow"/>
                <w:b/>
                <w:color w:val="000000"/>
                <w:sz w:val="20"/>
              </w:rPr>
            </w:pPr>
          </w:p>
          <w:p w14:paraId="7E395D18" w14:textId="77777777" w:rsidR="00655477" w:rsidRPr="00BF3FC5" w:rsidRDefault="00655477" w:rsidP="00E56CF1">
            <w:pPr>
              <w:jc w:val="center"/>
              <w:rPr>
                <w:rFonts w:ascii="Arial Narrow" w:hAnsi="Arial Narrow"/>
                <w:color w:val="000000"/>
                <w:sz w:val="20"/>
              </w:rPr>
            </w:pPr>
            <w:r w:rsidRPr="00BF3FC5">
              <w:rPr>
                <w:rFonts w:ascii="Arial Narrow" w:hAnsi="Arial Narrow"/>
                <w:color w:val="000000"/>
                <w:sz w:val="20"/>
              </w:rPr>
              <w:t>Reef</w:t>
            </w:r>
          </w:p>
        </w:tc>
        <w:tc>
          <w:tcPr>
            <w:tcW w:w="567" w:type="dxa"/>
            <w:vMerge w:val="restart"/>
            <w:shd w:val="clear" w:color="auto" w:fill="F2F2F2" w:themeFill="background1" w:themeFillShade="F2"/>
            <w:tcMar>
              <w:left w:w="28" w:type="dxa"/>
              <w:right w:w="28" w:type="dxa"/>
            </w:tcMar>
            <w:textDirection w:val="btLr"/>
            <w:vAlign w:val="center"/>
          </w:tcPr>
          <w:p w14:paraId="79B54FC9" w14:textId="77777777" w:rsidR="00655477" w:rsidRPr="00BF3FC5" w:rsidRDefault="00655477" w:rsidP="00E56CF1">
            <w:pPr>
              <w:ind w:left="113" w:right="113"/>
              <w:jc w:val="center"/>
              <w:rPr>
                <w:rFonts w:ascii="Arial Narrow" w:hAnsi="Arial Narrow"/>
                <w:color w:val="000000"/>
                <w:sz w:val="20"/>
              </w:rPr>
            </w:pPr>
            <w:r w:rsidRPr="00BF3FC5">
              <w:rPr>
                <w:rFonts w:ascii="Arial Narrow" w:hAnsi="Arial Narrow"/>
                <w:color w:val="000000"/>
                <w:sz w:val="20"/>
              </w:rPr>
              <w:t>Depth</w:t>
            </w:r>
          </w:p>
        </w:tc>
        <w:tc>
          <w:tcPr>
            <w:tcW w:w="3543" w:type="dxa"/>
            <w:gridSpan w:val="5"/>
            <w:shd w:val="clear" w:color="auto" w:fill="F2F2F2" w:themeFill="background1" w:themeFillShade="F2"/>
            <w:tcMar>
              <w:left w:w="28" w:type="dxa"/>
              <w:right w:w="28" w:type="dxa"/>
            </w:tcMar>
            <w:vAlign w:val="bottom"/>
          </w:tcPr>
          <w:p w14:paraId="3BC2CBC7" w14:textId="77777777" w:rsidR="00655477" w:rsidRPr="002168E2" w:rsidRDefault="00655477" w:rsidP="00E56CF1">
            <w:pPr>
              <w:jc w:val="center"/>
              <w:rPr>
                <w:rFonts w:ascii="Arial Narrow" w:hAnsi="Arial Narrow"/>
                <w:color w:val="000000"/>
                <w:sz w:val="20"/>
              </w:rPr>
            </w:pPr>
            <w:r>
              <w:rPr>
                <w:rFonts w:ascii="Arial Narrow" w:hAnsi="Arial Narrow"/>
                <w:color w:val="000000"/>
                <w:sz w:val="20"/>
              </w:rPr>
              <w:t>Rhodophyta (red algae)</w:t>
            </w:r>
          </w:p>
        </w:tc>
        <w:tc>
          <w:tcPr>
            <w:tcW w:w="2835" w:type="dxa"/>
            <w:gridSpan w:val="4"/>
            <w:shd w:val="clear" w:color="auto" w:fill="F2F2F2" w:themeFill="background1" w:themeFillShade="F2"/>
            <w:tcMar>
              <w:left w:w="28" w:type="dxa"/>
              <w:right w:w="28" w:type="dxa"/>
            </w:tcMar>
            <w:vAlign w:val="bottom"/>
          </w:tcPr>
          <w:p w14:paraId="3B107194" w14:textId="77777777" w:rsidR="00655477" w:rsidRPr="002168E2" w:rsidRDefault="00655477" w:rsidP="00E56CF1">
            <w:pPr>
              <w:jc w:val="center"/>
              <w:rPr>
                <w:rFonts w:ascii="Arial Narrow" w:hAnsi="Arial Narrow"/>
                <w:color w:val="000000"/>
                <w:sz w:val="20"/>
              </w:rPr>
            </w:pPr>
            <w:r>
              <w:rPr>
                <w:rFonts w:ascii="Arial Narrow" w:hAnsi="Arial Narrow"/>
                <w:color w:val="000000"/>
                <w:sz w:val="20"/>
              </w:rPr>
              <w:t>Chlorophyta (green algae)</w:t>
            </w:r>
          </w:p>
        </w:tc>
        <w:tc>
          <w:tcPr>
            <w:tcW w:w="4962" w:type="dxa"/>
            <w:gridSpan w:val="7"/>
            <w:shd w:val="clear" w:color="auto" w:fill="F2F2F2" w:themeFill="background1" w:themeFillShade="F2"/>
            <w:tcMar>
              <w:left w:w="28" w:type="dxa"/>
              <w:right w:w="28" w:type="dxa"/>
            </w:tcMar>
            <w:vAlign w:val="bottom"/>
          </w:tcPr>
          <w:p w14:paraId="00E1FDE8" w14:textId="77777777" w:rsidR="00655477" w:rsidRPr="002168E2" w:rsidRDefault="00655477" w:rsidP="00E56CF1">
            <w:pPr>
              <w:jc w:val="center"/>
              <w:rPr>
                <w:rFonts w:ascii="Arial Narrow" w:hAnsi="Arial Narrow"/>
                <w:color w:val="000000"/>
                <w:sz w:val="20"/>
              </w:rPr>
            </w:pPr>
            <w:r>
              <w:rPr>
                <w:rFonts w:ascii="Arial Narrow" w:hAnsi="Arial Narrow"/>
                <w:color w:val="000000"/>
                <w:sz w:val="20"/>
              </w:rPr>
              <w:t>Phaeophyta (brown algae)</w:t>
            </w:r>
          </w:p>
        </w:tc>
      </w:tr>
      <w:tr w:rsidR="00655477" w:rsidRPr="002168E2" w14:paraId="77EFBA9E" w14:textId="77777777" w:rsidTr="00E56CF1">
        <w:trPr>
          <w:cantSplit/>
          <w:trHeight w:hRule="exact" w:val="1418"/>
          <w:tblHeader/>
        </w:trPr>
        <w:tc>
          <w:tcPr>
            <w:tcW w:w="879" w:type="dxa"/>
            <w:vMerge/>
            <w:shd w:val="clear" w:color="auto" w:fill="F2F2F2" w:themeFill="background1" w:themeFillShade="F2"/>
          </w:tcPr>
          <w:p w14:paraId="51DAD4B4" w14:textId="77777777" w:rsidR="00655477" w:rsidRPr="002168E2" w:rsidRDefault="00655477" w:rsidP="00E56CF1">
            <w:pPr>
              <w:jc w:val="center"/>
              <w:rPr>
                <w:rFonts w:ascii="Arial Narrow" w:hAnsi="Arial Narrow"/>
                <w:b/>
                <w:color w:val="000000"/>
                <w:sz w:val="24"/>
                <w:szCs w:val="24"/>
              </w:rPr>
            </w:pPr>
          </w:p>
        </w:tc>
        <w:tc>
          <w:tcPr>
            <w:tcW w:w="1843" w:type="dxa"/>
            <w:vMerge/>
            <w:shd w:val="clear" w:color="auto" w:fill="F2F2F2" w:themeFill="background1" w:themeFillShade="F2"/>
            <w:tcMar>
              <w:left w:w="28" w:type="dxa"/>
              <w:right w:w="28" w:type="dxa"/>
            </w:tcMar>
            <w:vAlign w:val="center"/>
          </w:tcPr>
          <w:p w14:paraId="531ED8BA" w14:textId="77777777" w:rsidR="00655477" w:rsidRPr="002168E2" w:rsidRDefault="00655477" w:rsidP="00E56CF1">
            <w:pPr>
              <w:jc w:val="center"/>
              <w:rPr>
                <w:rFonts w:ascii="Arial Narrow" w:hAnsi="Arial Narrow"/>
                <w:b/>
                <w:color w:val="000000"/>
                <w:sz w:val="24"/>
                <w:szCs w:val="24"/>
              </w:rPr>
            </w:pPr>
          </w:p>
        </w:tc>
        <w:tc>
          <w:tcPr>
            <w:tcW w:w="567" w:type="dxa"/>
            <w:vMerge/>
            <w:shd w:val="clear" w:color="auto" w:fill="F2F2F2" w:themeFill="background1" w:themeFillShade="F2"/>
            <w:tcMar>
              <w:left w:w="28" w:type="dxa"/>
              <w:right w:w="28" w:type="dxa"/>
            </w:tcMar>
            <w:textDirection w:val="btLr"/>
            <w:vAlign w:val="center"/>
          </w:tcPr>
          <w:p w14:paraId="616D4184" w14:textId="77777777" w:rsidR="00655477" w:rsidRPr="002168E2" w:rsidRDefault="00655477" w:rsidP="00E56CF1">
            <w:pPr>
              <w:ind w:left="113" w:right="113"/>
              <w:jc w:val="center"/>
              <w:rPr>
                <w:rFonts w:ascii="Arial Narrow" w:hAnsi="Arial Narrow"/>
                <w:b/>
                <w:color w:val="000000"/>
                <w:sz w:val="20"/>
              </w:rPr>
            </w:pPr>
          </w:p>
        </w:tc>
        <w:tc>
          <w:tcPr>
            <w:tcW w:w="708" w:type="dxa"/>
            <w:shd w:val="clear" w:color="auto" w:fill="F2F2F2" w:themeFill="background1" w:themeFillShade="F2"/>
            <w:tcMar>
              <w:left w:w="28" w:type="dxa"/>
              <w:right w:w="28" w:type="dxa"/>
            </w:tcMar>
            <w:textDirection w:val="btLr"/>
            <w:vAlign w:val="bottom"/>
          </w:tcPr>
          <w:p w14:paraId="37775F03"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Hypnea</w:t>
            </w:r>
          </w:p>
        </w:tc>
        <w:tc>
          <w:tcPr>
            <w:tcW w:w="709" w:type="dxa"/>
            <w:shd w:val="clear" w:color="auto" w:fill="F2F2F2" w:themeFill="background1" w:themeFillShade="F2"/>
            <w:tcMar>
              <w:left w:w="28" w:type="dxa"/>
              <w:right w:w="28" w:type="dxa"/>
            </w:tcMar>
            <w:textDirection w:val="btLr"/>
            <w:vAlign w:val="bottom"/>
          </w:tcPr>
          <w:p w14:paraId="7984CBCE"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Peyssonnelia</w:t>
            </w:r>
          </w:p>
        </w:tc>
        <w:tc>
          <w:tcPr>
            <w:tcW w:w="709" w:type="dxa"/>
            <w:shd w:val="clear" w:color="auto" w:fill="F2F2F2" w:themeFill="background1" w:themeFillShade="F2"/>
            <w:tcMar>
              <w:left w:w="28" w:type="dxa"/>
              <w:right w:w="28" w:type="dxa"/>
            </w:tcMar>
            <w:textDirection w:val="btLr"/>
            <w:vAlign w:val="bottom"/>
          </w:tcPr>
          <w:p w14:paraId="768B963E"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 xml:space="preserve">Calcareous </w:t>
            </w:r>
          </w:p>
        </w:tc>
        <w:tc>
          <w:tcPr>
            <w:tcW w:w="709" w:type="dxa"/>
            <w:shd w:val="clear" w:color="auto" w:fill="F2F2F2" w:themeFill="background1" w:themeFillShade="F2"/>
            <w:tcMar>
              <w:left w:w="28" w:type="dxa"/>
              <w:right w:w="28" w:type="dxa"/>
            </w:tcMar>
            <w:textDirection w:val="btLr"/>
            <w:vAlign w:val="bottom"/>
          </w:tcPr>
          <w:p w14:paraId="640FC4D4"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Asparagopsis</w:t>
            </w:r>
          </w:p>
        </w:tc>
        <w:tc>
          <w:tcPr>
            <w:tcW w:w="708" w:type="dxa"/>
            <w:shd w:val="clear" w:color="auto" w:fill="F2F2F2" w:themeFill="background1" w:themeFillShade="F2"/>
            <w:tcMar>
              <w:left w:w="28" w:type="dxa"/>
              <w:right w:w="28" w:type="dxa"/>
            </w:tcMar>
            <w:textDirection w:val="btLr"/>
            <w:vAlign w:val="bottom"/>
          </w:tcPr>
          <w:p w14:paraId="4BFEE00B"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 xml:space="preserve">Other </w:t>
            </w:r>
          </w:p>
        </w:tc>
        <w:tc>
          <w:tcPr>
            <w:tcW w:w="709" w:type="dxa"/>
            <w:shd w:val="clear" w:color="auto" w:fill="F2F2F2" w:themeFill="background1" w:themeFillShade="F2"/>
            <w:tcMar>
              <w:left w:w="28" w:type="dxa"/>
              <w:right w:w="28" w:type="dxa"/>
            </w:tcMar>
            <w:textDirection w:val="btLr"/>
            <w:vAlign w:val="bottom"/>
          </w:tcPr>
          <w:p w14:paraId="0BE5D679"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Neomeris</w:t>
            </w:r>
          </w:p>
        </w:tc>
        <w:tc>
          <w:tcPr>
            <w:tcW w:w="709" w:type="dxa"/>
            <w:shd w:val="clear" w:color="auto" w:fill="F2F2F2" w:themeFill="background1" w:themeFillShade="F2"/>
            <w:tcMar>
              <w:left w:w="28" w:type="dxa"/>
              <w:right w:w="28" w:type="dxa"/>
            </w:tcMar>
            <w:textDirection w:val="btLr"/>
            <w:vAlign w:val="bottom"/>
          </w:tcPr>
          <w:p w14:paraId="0B619695"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Caulerpa</w:t>
            </w:r>
          </w:p>
        </w:tc>
        <w:tc>
          <w:tcPr>
            <w:tcW w:w="709" w:type="dxa"/>
            <w:shd w:val="clear" w:color="auto" w:fill="F2F2F2" w:themeFill="background1" w:themeFillShade="F2"/>
            <w:tcMar>
              <w:left w:w="28" w:type="dxa"/>
              <w:right w:w="28" w:type="dxa"/>
            </w:tcMar>
            <w:textDirection w:val="btLr"/>
            <w:vAlign w:val="bottom"/>
          </w:tcPr>
          <w:p w14:paraId="39DA9591"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Halimeda</w:t>
            </w:r>
          </w:p>
        </w:tc>
        <w:tc>
          <w:tcPr>
            <w:tcW w:w="708" w:type="dxa"/>
            <w:shd w:val="clear" w:color="auto" w:fill="F2F2F2" w:themeFill="background1" w:themeFillShade="F2"/>
            <w:tcMar>
              <w:left w:w="28" w:type="dxa"/>
              <w:right w:w="28" w:type="dxa"/>
            </w:tcMar>
            <w:textDirection w:val="btLr"/>
            <w:vAlign w:val="bottom"/>
          </w:tcPr>
          <w:p w14:paraId="11A8A170"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 xml:space="preserve">Other </w:t>
            </w:r>
          </w:p>
        </w:tc>
        <w:tc>
          <w:tcPr>
            <w:tcW w:w="709" w:type="dxa"/>
            <w:shd w:val="clear" w:color="auto" w:fill="F2F2F2" w:themeFill="background1" w:themeFillShade="F2"/>
            <w:tcMar>
              <w:left w:w="28" w:type="dxa"/>
              <w:right w:w="28" w:type="dxa"/>
            </w:tcMar>
            <w:textDirection w:val="btLr"/>
            <w:vAlign w:val="bottom"/>
          </w:tcPr>
          <w:p w14:paraId="0D45FD4A"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Stypopodium</w:t>
            </w:r>
          </w:p>
        </w:tc>
        <w:tc>
          <w:tcPr>
            <w:tcW w:w="709" w:type="dxa"/>
            <w:shd w:val="clear" w:color="auto" w:fill="F2F2F2" w:themeFill="background1" w:themeFillShade="F2"/>
            <w:tcMar>
              <w:left w:w="28" w:type="dxa"/>
              <w:right w:w="28" w:type="dxa"/>
            </w:tcMar>
            <w:textDirection w:val="btLr"/>
            <w:vAlign w:val="bottom"/>
          </w:tcPr>
          <w:p w14:paraId="5112AAD1"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Spatoglossum</w:t>
            </w:r>
          </w:p>
        </w:tc>
        <w:tc>
          <w:tcPr>
            <w:tcW w:w="709" w:type="dxa"/>
            <w:shd w:val="clear" w:color="auto" w:fill="F2F2F2" w:themeFill="background1" w:themeFillShade="F2"/>
            <w:tcMar>
              <w:left w:w="28" w:type="dxa"/>
              <w:right w:w="28" w:type="dxa"/>
            </w:tcMar>
            <w:textDirection w:val="btLr"/>
            <w:vAlign w:val="bottom"/>
          </w:tcPr>
          <w:p w14:paraId="542FF0D6"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Padina</w:t>
            </w:r>
          </w:p>
        </w:tc>
        <w:tc>
          <w:tcPr>
            <w:tcW w:w="708" w:type="dxa"/>
            <w:shd w:val="clear" w:color="auto" w:fill="F2F2F2" w:themeFill="background1" w:themeFillShade="F2"/>
            <w:tcMar>
              <w:left w:w="28" w:type="dxa"/>
              <w:right w:w="28" w:type="dxa"/>
            </w:tcMar>
            <w:textDirection w:val="btLr"/>
            <w:vAlign w:val="bottom"/>
          </w:tcPr>
          <w:p w14:paraId="4E372492"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Dictyota</w:t>
            </w:r>
          </w:p>
        </w:tc>
        <w:tc>
          <w:tcPr>
            <w:tcW w:w="709" w:type="dxa"/>
            <w:shd w:val="clear" w:color="auto" w:fill="F2F2F2" w:themeFill="background1" w:themeFillShade="F2"/>
            <w:tcMar>
              <w:left w:w="28" w:type="dxa"/>
              <w:right w:w="28" w:type="dxa"/>
            </w:tcMar>
            <w:textDirection w:val="btLr"/>
            <w:vAlign w:val="bottom"/>
          </w:tcPr>
          <w:p w14:paraId="3482E548"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Lobophora</w:t>
            </w:r>
          </w:p>
        </w:tc>
        <w:tc>
          <w:tcPr>
            <w:tcW w:w="709" w:type="dxa"/>
            <w:shd w:val="clear" w:color="auto" w:fill="F2F2F2" w:themeFill="background1" w:themeFillShade="F2"/>
            <w:tcMar>
              <w:left w:w="28" w:type="dxa"/>
              <w:right w:w="28" w:type="dxa"/>
            </w:tcMar>
            <w:textDirection w:val="btLr"/>
            <w:vAlign w:val="bottom"/>
          </w:tcPr>
          <w:p w14:paraId="1CA2D8BF"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Sargassum</w:t>
            </w:r>
          </w:p>
        </w:tc>
        <w:tc>
          <w:tcPr>
            <w:tcW w:w="709" w:type="dxa"/>
            <w:shd w:val="clear" w:color="auto" w:fill="F2F2F2" w:themeFill="background1" w:themeFillShade="F2"/>
            <w:tcMar>
              <w:left w:w="28" w:type="dxa"/>
              <w:right w:w="28" w:type="dxa"/>
            </w:tcMar>
            <w:textDirection w:val="btLr"/>
            <w:vAlign w:val="bottom"/>
          </w:tcPr>
          <w:p w14:paraId="2E61C5D8" w14:textId="77777777" w:rsidR="00655477" w:rsidRPr="002168E2" w:rsidRDefault="00655477" w:rsidP="00E56CF1">
            <w:pPr>
              <w:ind w:left="113" w:right="113"/>
              <w:rPr>
                <w:rFonts w:ascii="Arial Narrow" w:hAnsi="Arial Narrow"/>
                <w:color w:val="000000"/>
                <w:sz w:val="20"/>
              </w:rPr>
            </w:pPr>
            <w:r w:rsidRPr="002168E2">
              <w:rPr>
                <w:rFonts w:ascii="Arial Narrow" w:hAnsi="Arial Narrow"/>
                <w:color w:val="000000"/>
                <w:sz w:val="20"/>
              </w:rPr>
              <w:t xml:space="preserve">Other </w:t>
            </w:r>
          </w:p>
        </w:tc>
      </w:tr>
      <w:tr w:rsidR="00E56CF1" w:rsidRPr="002168E2" w14:paraId="46C65533" w14:textId="77777777" w:rsidTr="00E56CF1">
        <w:trPr>
          <w:trHeight w:hRule="exact" w:val="312"/>
        </w:trPr>
        <w:tc>
          <w:tcPr>
            <w:tcW w:w="879" w:type="dxa"/>
            <w:vMerge w:val="restart"/>
            <w:textDirection w:val="btLr"/>
            <w:vAlign w:val="center"/>
          </w:tcPr>
          <w:p w14:paraId="42D746B8" w14:textId="77777777" w:rsidR="00E56CF1" w:rsidRPr="00C22707" w:rsidRDefault="00E56CF1" w:rsidP="00E56CF1">
            <w:pPr>
              <w:ind w:left="113" w:right="113"/>
              <w:jc w:val="center"/>
              <w:rPr>
                <w:rFonts w:ascii="Arial Narrow" w:hAnsi="Arial Narrow"/>
                <w:color w:val="000000"/>
                <w:sz w:val="20"/>
              </w:rPr>
            </w:pPr>
            <w:r>
              <w:rPr>
                <w:rFonts w:ascii="Arial Narrow" w:hAnsi="Arial Narrow"/>
                <w:color w:val="000000"/>
                <w:sz w:val="20"/>
              </w:rPr>
              <w:t>Fitzroy</w:t>
            </w:r>
          </w:p>
        </w:tc>
        <w:tc>
          <w:tcPr>
            <w:tcW w:w="1843" w:type="dxa"/>
            <w:vMerge w:val="restart"/>
            <w:tcMar>
              <w:left w:w="28" w:type="dxa"/>
              <w:right w:w="28" w:type="dxa"/>
            </w:tcMar>
            <w:vAlign w:val="center"/>
          </w:tcPr>
          <w:p w14:paraId="57C0DC7B" w14:textId="77777777" w:rsidR="00E56CF1" w:rsidRPr="00C22707" w:rsidRDefault="00E56CF1" w:rsidP="00E56CF1">
            <w:pPr>
              <w:jc w:val="left"/>
              <w:rPr>
                <w:rFonts w:ascii="Arial Narrow" w:hAnsi="Arial Narrow"/>
                <w:color w:val="000000"/>
                <w:sz w:val="20"/>
              </w:rPr>
            </w:pPr>
            <w:r w:rsidRPr="00C22707">
              <w:rPr>
                <w:rFonts w:ascii="Arial Narrow" w:hAnsi="Arial Narrow"/>
                <w:color w:val="000000"/>
                <w:sz w:val="20"/>
              </w:rPr>
              <w:t>North Keppel</w:t>
            </w:r>
          </w:p>
        </w:tc>
        <w:tc>
          <w:tcPr>
            <w:tcW w:w="567" w:type="dxa"/>
            <w:tcMar>
              <w:left w:w="28" w:type="dxa"/>
              <w:right w:w="28" w:type="dxa"/>
            </w:tcMar>
            <w:vAlign w:val="center"/>
          </w:tcPr>
          <w:p w14:paraId="1CD73A25"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noWrap/>
            <w:tcMar>
              <w:left w:w="28" w:type="dxa"/>
              <w:right w:w="28" w:type="dxa"/>
            </w:tcMar>
            <w:vAlign w:val="center"/>
          </w:tcPr>
          <w:p w14:paraId="07DE60A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92EBDE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137716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70732D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0A3676E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0.17</w:t>
            </w:r>
          </w:p>
        </w:tc>
        <w:tc>
          <w:tcPr>
            <w:tcW w:w="709" w:type="dxa"/>
            <w:noWrap/>
            <w:tcMar>
              <w:left w:w="28" w:type="dxa"/>
              <w:right w:w="28" w:type="dxa"/>
            </w:tcMar>
            <w:vAlign w:val="center"/>
          </w:tcPr>
          <w:p w14:paraId="667CBEC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AB0CFD5"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C2206E7"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506FB4A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0.23</w:t>
            </w:r>
          </w:p>
        </w:tc>
        <w:tc>
          <w:tcPr>
            <w:tcW w:w="709" w:type="dxa"/>
            <w:noWrap/>
            <w:tcMar>
              <w:left w:w="28" w:type="dxa"/>
              <w:right w:w="28" w:type="dxa"/>
            </w:tcMar>
            <w:vAlign w:val="center"/>
          </w:tcPr>
          <w:p w14:paraId="6872DB6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9583C7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91360B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27731A83"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05CCE3F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205336E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36F1005"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0.17</w:t>
            </w:r>
          </w:p>
        </w:tc>
      </w:tr>
      <w:tr w:rsidR="00E56CF1" w:rsidRPr="002168E2" w14:paraId="058A9FEE" w14:textId="77777777" w:rsidTr="00655477">
        <w:trPr>
          <w:trHeight w:hRule="exact" w:val="312"/>
        </w:trPr>
        <w:tc>
          <w:tcPr>
            <w:tcW w:w="879" w:type="dxa"/>
            <w:vMerge/>
          </w:tcPr>
          <w:p w14:paraId="41BF6702" w14:textId="77777777" w:rsidR="00E56CF1" w:rsidRPr="00C22707" w:rsidRDefault="00E56CF1" w:rsidP="00E56CF1">
            <w:pPr>
              <w:jc w:val="center"/>
              <w:rPr>
                <w:rFonts w:ascii="Arial Narrow" w:hAnsi="Arial Narrow"/>
                <w:color w:val="000000"/>
                <w:sz w:val="20"/>
              </w:rPr>
            </w:pPr>
          </w:p>
        </w:tc>
        <w:tc>
          <w:tcPr>
            <w:tcW w:w="1843" w:type="dxa"/>
            <w:vMerge/>
            <w:tcMar>
              <w:left w:w="28" w:type="dxa"/>
              <w:right w:w="28" w:type="dxa"/>
            </w:tcMar>
            <w:vAlign w:val="center"/>
          </w:tcPr>
          <w:p w14:paraId="66DF9DA1" w14:textId="77777777" w:rsidR="00E56CF1" w:rsidRPr="00C22707" w:rsidRDefault="00E56CF1" w:rsidP="00E56CF1">
            <w:pPr>
              <w:jc w:val="left"/>
              <w:rPr>
                <w:rFonts w:ascii="Arial Narrow" w:hAnsi="Arial Narrow"/>
                <w:color w:val="000000"/>
                <w:sz w:val="20"/>
              </w:rPr>
            </w:pPr>
          </w:p>
        </w:tc>
        <w:tc>
          <w:tcPr>
            <w:tcW w:w="567" w:type="dxa"/>
            <w:tcMar>
              <w:left w:w="28" w:type="dxa"/>
              <w:right w:w="28" w:type="dxa"/>
            </w:tcMar>
            <w:vAlign w:val="center"/>
          </w:tcPr>
          <w:p w14:paraId="2BAF0487"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744D7D1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BC5CC1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E32EF8F"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31D280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6096522A"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0.07</w:t>
            </w:r>
          </w:p>
        </w:tc>
        <w:tc>
          <w:tcPr>
            <w:tcW w:w="709" w:type="dxa"/>
            <w:noWrap/>
            <w:tcMar>
              <w:left w:w="28" w:type="dxa"/>
              <w:right w:w="28" w:type="dxa"/>
            </w:tcMar>
            <w:vAlign w:val="center"/>
          </w:tcPr>
          <w:p w14:paraId="01DAEE2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6EE056F"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4535BE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7CFA737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2F2C199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9DF41E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4EEFDC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2F8B69A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2601C4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0C28D07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4D3345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r>
      <w:tr w:rsidR="00E56CF1" w:rsidRPr="002168E2" w14:paraId="4073464F" w14:textId="77777777" w:rsidTr="00655477">
        <w:trPr>
          <w:trHeight w:hRule="exact" w:val="312"/>
        </w:trPr>
        <w:tc>
          <w:tcPr>
            <w:tcW w:w="879" w:type="dxa"/>
            <w:vMerge/>
          </w:tcPr>
          <w:p w14:paraId="32263026" w14:textId="77777777" w:rsidR="00E56CF1" w:rsidRPr="00C22707" w:rsidRDefault="00E56CF1" w:rsidP="00E56CF1">
            <w:pPr>
              <w:jc w:val="center"/>
              <w:rPr>
                <w:rFonts w:ascii="Arial Narrow" w:hAnsi="Arial Narrow"/>
                <w:color w:val="000000"/>
                <w:sz w:val="20"/>
              </w:rPr>
            </w:pPr>
          </w:p>
        </w:tc>
        <w:tc>
          <w:tcPr>
            <w:tcW w:w="1843" w:type="dxa"/>
            <w:vMerge w:val="restart"/>
            <w:tcMar>
              <w:left w:w="28" w:type="dxa"/>
              <w:right w:w="28" w:type="dxa"/>
            </w:tcMar>
            <w:vAlign w:val="center"/>
          </w:tcPr>
          <w:p w14:paraId="7E11EE9A" w14:textId="77777777" w:rsidR="00E56CF1" w:rsidRPr="00C22707" w:rsidRDefault="00E56CF1" w:rsidP="00E56CF1">
            <w:pPr>
              <w:jc w:val="left"/>
              <w:rPr>
                <w:rFonts w:ascii="Arial Narrow" w:hAnsi="Arial Narrow"/>
                <w:color w:val="000000"/>
                <w:sz w:val="20"/>
              </w:rPr>
            </w:pPr>
            <w:r w:rsidRPr="00C22707">
              <w:rPr>
                <w:rFonts w:ascii="Arial Narrow" w:hAnsi="Arial Narrow"/>
                <w:color w:val="000000"/>
                <w:sz w:val="20"/>
              </w:rPr>
              <w:t>Middle</w:t>
            </w:r>
          </w:p>
        </w:tc>
        <w:tc>
          <w:tcPr>
            <w:tcW w:w="567" w:type="dxa"/>
            <w:tcMar>
              <w:left w:w="28" w:type="dxa"/>
              <w:right w:w="28" w:type="dxa"/>
            </w:tcMar>
            <w:vAlign w:val="center"/>
          </w:tcPr>
          <w:p w14:paraId="10FB911F"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noWrap/>
            <w:tcMar>
              <w:left w:w="28" w:type="dxa"/>
              <w:right w:w="28" w:type="dxa"/>
            </w:tcMar>
            <w:vAlign w:val="center"/>
          </w:tcPr>
          <w:p w14:paraId="1DFAF97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0408A8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3.2</w:t>
            </w:r>
          </w:p>
        </w:tc>
        <w:tc>
          <w:tcPr>
            <w:tcW w:w="709" w:type="dxa"/>
            <w:noWrap/>
            <w:tcMar>
              <w:left w:w="28" w:type="dxa"/>
              <w:right w:w="28" w:type="dxa"/>
            </w:tcMar>
            <w:vAlign w:val="center"/>
          </w:tcPr>
          <w:p w14:paraId="070FC13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noWrap/>
            <w:tcMar>
              <w:left w:w="28" w:type="dxa"/>
              <w:right w:w="28" w:type="dxa"/>
            </w:tcMar>
            <w:vAlign w:val="center"/>
          </w:tcPr>
          <w:p w14:paraId="02739F0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28A9107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0.69</w:t>
            </w:r>
          </w:p>
        </w:tc>
        <w:tc>
          <w:tcPr>
            <w:tcW w:w="709" w:type="dxa"/>
            <w:noWrap/>
            <w:tcMar>
              <w:left w:w="28" w:type="dxa"/>
              <w:right w:w="28" w:type="dxa"/>
            </w:tcMar>
            <w:vAlign w:val="center"/>
          </w:tcPr>
          <w:p w14:paraId="78EA345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BE6256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734A9D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1A639DE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AAC8A3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8404DA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5EF02E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1D4F944A"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0F8A717"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29.59</w:t>
            </w:r>
          </w:p>
        </w:tc>
        <w:tc>
          <w:tcPr>
            <w:tcW w:w="709" w:type="dxa"/>
            <w:noWrap/>
            <w:tcMar>
              <w:left w:w="28" w:type="dxa"/>
              <w:right w:w="28" w:type="dxa"/>
            </w:tcMar>
            <w:vAlign w:val="center"/>
          </w:tcPr>
          <w:p w14:paraId="2E2EC66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noWrap/>
            <w:tcMar>
              <w:left w:w="28" w:type="dxa"/>
              <w:right w:w="28" w:type="dxa"/>
            </w:tcMar>
            <w:vAlign w:val="center"/>
          </w:tcPr>
          <w:p w14:paraId="537EBF07"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1.51</w:t>
            </w:r>
          </w:p>
        </w:tc>
      </w:tr>
      <w:tr w:rsidR="00E56CF1" w:rsidRPr="002168E2" w14:paraId="026320A0" w14:textId="77777777" w:rsidTr="00655477">
        <w:trPr>
          <w:trHeight w:hRule="exact" w:val="312"/>
        </w:trPr>
        <w:tc>
          <w:tcPr>
            <w:tcW w:w="879" w:type="dxa"/>
            <w:vMerge/>
          </w:tcPr>
          <w:p w14:paraId="215D2B94" w14:textId="77777777" w:rsidR="00E56CF1" w:rsidRPr="00C22707" w:rsidRDefault="00E56CF1" w:rsidP="00E56CF1">
            <w:pPr>
              <w:jc w:val="center"/>
              <w:rPr>
                <w:rFonts w:ascii="Arial Narrow" w:hAnsi="Arial Narrow"/>
                <w:color w:val="000000"/>
                <w:sz w:val="20"/>
              </w:rPr>
            </w:pPr>
          </w:p>
        </w:tc>
        <w:tc>
          <w:tcPr>
            <w:tcW w:w="1843" w:type="dxa"/>
            <w:vMerge/>
            <w:tcMar>
              <w:left w:w="28" w:type="dxa"/>
              <w:right w:w="28" w:type="dxa"/>
            </w:tcMar>
            <w:vAlign w:val="center"/>
          </w:tcPr>
          <w:p w14:paraId="0E5D8F4E" w14:textId="77777777" w:rsidR="00E56CF1" w:rsidRPr="00C22707" w:rsidRDefault="00E56CF1" w:rsidP="00E56CF1">
            <w:pPr>
              <w:jc w:val="left"/>
              <w:rPr>
                <w:rFonts w:ascii="Arial Narrow" w:hAnsi="Arial Narrow"/>
                <w:color w:val="000000"/>
                <w:sz w:val="20"/>
              </w:rPr>
            </w:pPr>
          </w:p>
        </w:tc>
        <w:tc>
          <w:tcPr>
            <w:tcW w:w="567" w:type="dxa"/>
            <w:tcMar>
              <w:left w:w="28" w:type="dxa"/>
              <w:right w:w="28" w:type="dxa"/>
            </w:tcMar>
            <w:vAlign w:val="center"/>
          </w:tcPr>
          <w:p w14:paraId="364F6234"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1E77279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C36259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3</w:t>
            </w:r>
          </w:p>
        </w:tc>
        <w:tc>
          <w:tcPr>
            <w:tcW w:w="709" w:type="dxa"/>
            <w:noWrap/>
            <w:tcMar>
              <w:left w:w="28" w:type="dxa"/>
              <w:right w:w="28" w:type="dxa"/>
            </w:tcMar>
            <w:vAlign w:val="center"/>
          </w:tcPr>
          <w:p w14:paraId="244C0C7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noWrap/>
            <w:tcMar>
              <w:left w:w="28" w:type="dxa"/>
              <w:right w:w="28" w:type="dxa"/>
            </w:tcMar>
            <w:vAlign w:val="center"/>
          </w:tcPr>
          <w:p w14:paraId="1487BE9A"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36A7CD5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0.5</w:t>
            </w:r>
          </w:p>
        </w:tc>
        <w:tc>
          <w:tcPr>
            <w:tcW w:w="709" w:type="dxa"/>
            <w:noWrap/>
            <w:tcMar>
              <w:left w:w="28" w:type="dxa"/>
              <w:right w:w="28" w:type="dxa"/>
            </w:tcMar>
            <w:vAlign w:val="center"/>
          </w:tcPr>
          <w:p w14:paraId="5E7D9A0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38B28C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CA84E8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3FD8A08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4922F1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272517A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508AE57"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49152F8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noWrap/>
            <w:tcMar>
              <w:left w:w="28" w:type="dxa"/>
              <w:right w:w="28" w:type="dxa"/>
            </w:tcMar>
            <w:vAlign w:val="center"/>
          </w:tcPr>
          <w:p w14:paraId="4CCDF5EF"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33.96</w:t>
            </w:r>
          </w:p>
        </w:tc>
        <w:tc>
          <w:tcPr>
            <w:tcW w:w="709" w:type="dxa"/>
            <w:noWrap/>
            <w:tcMar>
              <w:left w:w="28" w:type="dxa"/>
              <w:right w:w="28" w:type="dxa"/>
            </w:tcMar>
            <w:vAlign w:val="center"/>
          </w:tcPr>
          <w:p w14:paraId="1460B72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D5E36A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2.38</w:t>
            </w:r>
          </w:p>
        </w:tc>
      </w:tr>
      <w:tr w:rsidR="00E56CF1" w:rsidRPr="002168E2" w14:paraId="61F97615" w14:textId="77777777" w:rsidTr="00655477">
        <w:trPr>
          <w:trHeight w:hRule="exact" w:val="312"/>
        </w:trPr>
        <w:tc>
          <w:tcPr>
            <w:tcW w:w="879" w:type="dxa"/>
            <w:vMerge/>
          </w:tcPr>
          <w:p w14:paraId="2FE754F2" w14:textId="77777777" w:rsidR="00E56CF1" w:rsidRPr="00C22707" w:rsidRDefault="00E56CF1" w:rsidP="00E56CF1">
            <w:pPr>
              <w:jc w:val="center"/>
              <w:rPr>
                <w:rFonts w:ascii="Arial Narrow" w:hAnsi="Arial Narrow"/>
                <w:color w:val="000000"/>
                <w:sz w:val="20"/>
              </w:rPr>
            </w:pPr>
          </w:p>
        </w:tc>
        <w:tc>
          <w:tcPr>
            <w:tcW w:w="1843" w:type="dxa"/>
            <w:vMerge w:val="restart"/>
            <w:tcMar>
              <w:left w:w="28" w:type="dxa"/>
              <w:right w:w="28" w:type="dxa"/>
            </w:tcMar>
            <w:vAlign w:val="center"/>
          </w:tcPr>
          <w:p w14:paraId="58B291F2" w14:textId="77777777" w:rsidR="00E56CF1" w:rsidRPr="00C22707" w:rsidRDefault="00E56CF1" w:rsidP="00E56CF1">
            <w:pPr>
              <w:jc w:val="left"/>
              <w:rPr>
                <w:rFonts w:ascii="Arial Narrow" w:hAnsi="Arial Narrow"/>
                <w:color w:val="000000"/>
                <w:sz w:val="20"/>
              </w:rPr>
            </w:pPr>
            <w:r w:rsidRPr="00C22707">
              <w:rPr>
                <w:rFonts w:ascii="Arial Narrow" w:hAnsi="Arial Narrow"/>
                <w:color w:val="000000"/>
                <w:sz w:val="20"/>
              </w:rPr>
              <w:t>Barren</w:t>
            </w:r>
          </w:p>
        </w:tc>
        <w:tc>
          <w:tcPr>
            <w:tcW w:w="567" w:type="dxa"/>
            <w:tcMar>
              <w:left w:w="28" w:type="dxa"/>
              <w:right w:w="28" w:type="dxa"/>
            </w:tcMar>
            <w:vAlign w:val="center"/>
          </w:tcPr>
          <w:p w14:paraId="5595CD13"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noWrap/>
            <w:tcMar>
              <w:left w:w="28" w:type="dxa"/>
              <w:right w:w="28" w:type="dxa"/>
            </w:tcMar>
            <w:vAlign w:val="center"/>
          </w:tcPr>
          <w:p w14:paraId="6EE93BC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04A70E0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5.75</w:t>
            </w:r>
          </w:p>
        </w:tc>
        <w:tc>
          <w:tcPr>
            <w:tcW w:w="709" w:type="dxa"/>
            <w:noWrap/>
            <w:tcMar>
              <w:left w:w="28" w:type="dxa"/>
              <w:right w:w="28" w:type="dxa"/>
            </w:tcMar>
            <w:vAlign w:val="center"/>
          </w:tcPr>
          <w:p w14:paraId="17D1AFA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24C91B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2E7E7FC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0.5</w:t>
            </w:r>
          </w:p>
        </w:tc>
        <w:tc>
          <w:tcPr>
            <w:tcW w:w="709" w:type="dxa"/>
            <w:noWrap/>
            <w:tcMar>
              <w:left w:w="28" w:type="dxa"/>
              <w:right w:w="28" w:type="dxa"/>
            </w:tcMar>
            <w:vAlign w:val="center"/>
          </w:tcPr>
          <w:p w14:paraId="45F8E9E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9314EDA"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3AAF38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004DAFC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F5E2E0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B17B0B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6E3F263"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21D6B4D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4E4F6D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17.19</w:t>
            </w:r>
          </w:p>
        </w:tc>
        <w:tc>
          <w:tcPr>
            <w:tcW w:w="709" w:type="dxa"/>
            <w:noWrap/>
            <w:tcMar>
              <w:left w:w="28" w:type="dxa"/>
              <w:right w:w="28" w:type="dxa"/>
            </w:tcMar>
            <w:vAlign w:val="center"/>
          </w:tcPr>
          <w:p w14:paraId="1EDDB82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noWrap/>
            <w:tcMar>
              <w:left w:w="28" w:type="dxa"/>
              <w:right w:w="28" w:type="dxa"/>
            </w:tcMar>
            <w:vAlign w:val="center"/>
          </w:tcPr>
          <w:p w14:paraId="3AEE45D3"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0.13</w:t>
            </w:r>
          </w:p>
        </w:tc>
      </w:tr>
      <w:tr w:rsidR="00E56CF1" w:rsidRPr="002168E2" w14:paraId="00B793A7" w14:textId="77777777" w:rsidTr="00655477">
        <w:trPr>
          <w:trHeight w:hRule="exact" w:val="312"/>
        </w:trPr>
        <w:tc>
          <w:tcPr>
            <w:tcW w:w="879" w:type="dxa"/>
            <w:vMerge/>
          </w:tcPr>
          <w:p w14:paraId="3A33F9F1" w14:textId="77777777" w:rsidR="00E56CF1" w:rsidRPr="00C22707" w:rsidRDefault="00E56CF1" w:rsidP="00E56CF1">
            <w:pPr>
              <w:jc w:val="center"/>
              <w:rPr>
                <w:rFonts w:ascii="Arial Narrow" w:hAnsi="Arial Narrow"/>
                <w:color w:val="000000"/>
                <w:sz w:val="20"/>
              </w:rPr>
            </w:pPr>
          </w:p>
        </w:tc>
        <w:tc>
          <w:tcPr>
            <w:tcW w:w="1843" w:type="dxa"/>
            <w:vMerge/>
            <w:tcMar>
              <w:left w:w="28" w:type="dxa"/>
              <w:right w:w="28" w:type="dxa"/>
            </w:tcMar>
            <w:vAlign w:val="center"/>
          </w:tcPr>
          <w:p w14:paraId="7708651E" w14:textId="77777777" w:rsidR="00E56CF1" w:rsidRPr="00C22707" w:rsidRDefault="00E56CF1" w:rsidP="00E56CF1">
            <w:pPr>
              <w:jc w:val="left"/>
              <w:rPr>
                <w:rFonts w:ascii="Arial Narrow" w:hAnsi="Arial Narrow"/>
                <w:color w:val="000000"/>
                <w:sz w:val="20"/>
              </w:rPr>
            </w:pPr>
          </w:p>
        </w:tc>
        <w:tc>
          <w:tcPr>
            <w:tcW w:w="567" w:type="dxa"/>
            <w:tcMar>
              <w:left w:w="28" w:type="dxa"/>
              <w:right w:w="28" w:type="dxa"/>
            </w:tcMar>
            <w:vAlign w:val="center"/>
          </w:tcPr>
          <w:p w14:paraId="181C368C"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0D655C13"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0489F5C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5.88</w:t>
            </w:r>
          </w:p>
        </w:tc>
        <w:tc>
          <w:tcPr>
            <w:tcW w:w="709" w:type="dxa"/>
            <w:noWrap/>
            <w:tcMar>
              <w:left w:w="28" w:type="dxa"/>
              <w:right w:w="28" w:type="dxa"/>
            </w:tcMar>
            <w:vAlign w:val="center"/>
          </w:tcPr>
          <w:p w14:paraId="3BA5D77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446B3D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076EE667"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2.63</w:t>
            </w:r>
          </w:p>
        </w:tc>
        <w:tc>
          <w:tcPr>
            <w:tcW w:w="709" w:type="dxa"/>
            <w:noWrap/>
            <w:tcMar>
              <w:left w:w="28" w:type="dxa"/>
              <w:right w:w="28" w:type="dxa"/>
            </w:tcMar>
            <w:vAlign w:val="center"/>
          </w:tcPr>
          <w:p w14:paraId="4489AAF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070FD1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9A9D45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4342D83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noWrap/>
            <w:tcMar>
              <w:left w:w="28" w:type="dxa"/>
              <w:right w:w="28" w:type="dxa"/>
            </w:tcMar>
            <w:vAlign w:val="center"/>
          </w:tcPr>
          <w:p w14:paraId="766D263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461132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2B29B2E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79C08CDF"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noWrap/>
            <w:tcMar>
              <w:left w:w="28" w:type="dxa"/>
              <w:right w:w="28" w:type="dxa"/>
            </w:tcMar>
            <w:vAlign w:val="center"/>
          </w:tcPr>
          <w:p w14:paraId="6AE9421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22.25</w:t>
            </w:r>
          </w:p>
        </w:tc>
        <w:tc>
          <w:tcPr>
            <w:tcW w:w="709" w:type="dxa"/>
            <w:noWrap/>
            <w:tcMar>
              <w:left w:w="28" w:type="dxa"/>
              <w:right w:w="28" w:type="dxa"/>
            </w:tcMar>
            <w:vAlign w:val="center"/>
          </w:tcPr>
          <w:p w14:paraId="119A638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noWrap/>
            <w:tcMar>
              <w:left w:w="28" w:type="dxa"/>
              <w:right w:w="28" w:type="dxa"/>
            </w:tcMar>
            <w:vAlign w:val="center"/>
          </w:tcPr>
          <w:p w14:paraId="6AE8D17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0.38</w:t>
            </w:r>
          </w:p>
        </w:tc>
      </w:tr>
      <w:tr w:rsidR="00E56CF1" w:rsidRPr="002168E2" w14:paraId="01E917C0" w14:textId="77777777" w:rsidTr="00655477">
        <w:trPr>
          <w:trHeight w:hRule="exact" w:val="312"/>
        </w:trPr>
        <w:tc>
          <w:tcPr>
            <w:tcW w:w="879" w:type="dxa"/>
            <w:vMerge/>
          </w:tcPr>
          <w:p w14:paraId="1DA818C1" w14:textId="77777777" w:rsidR="00E56CF1" w:rsidRPr="00C22707" w:rsidRDefault="00E56CF1" w:rsidP="00E56CF1">
            <w:pPr>
              <w:jc w:val="center"/>
              <w:rPr>
                <w:rFonts w:ascii="Arial Narrow" w:hAnsi="Arial Narrow"/>
                <w:color w:val="000000"/>
                <w:sz w:val="20"/>
              </w:rPr>
            </w:pPr>
          </w:p>
        </w:tc>
        <w:tc>
          <w:tcPr>
            <w:tcW w:w="1843" w:type="dxa"/>
            <w:vMerge w:val="restart"/>
            <w:tcMar>
              <w:left w:w="28" w:type="dxa"/>
              <w:right w:w="28" w:type="dxa"/>
            </w:tcMar>
            <w:vAlign w:val="center"/>
          </w:tcPr>
          <w:p w14:paraId="54CA6899" w14:textId="77777777" w:rsidR="00E56CF1" w:rsidRPr="00C22707" w:rsidRDefault="00E56CF1" w:rsidP="00E56CF1">
            <w:pPr>
              <w:jc w:val="left"/>
              <w:rPr>
                <w:rFonts w:ascii="Arial Narrow" w:hAnsi="Arial Narrow"/>
                <w:color w:val="000000"/>
                <w:sz w:val="20"/>
              </w:rPr>
            </w:pPr>
            <w:r w:rsidRPr="00C22707">
              <w:rPr>
                <w:rFonts w:ascii="Arial Narrow" w:hAnsi="Arial Narrow"/>
                <w:color w:val="000000"/>
                <w:sz w:val="20"/>
              </w:rPr>
              <w:t>Keppels South</w:t>
            </w:r>
          </w:p>
        </w:tc>
        <w:tc>
          <w:tcPr>
            <w:tcW w:w="567" w:type="dxa"/>
            <w:tcMar>
              <w:left w:w="28" w:type="dxa"/>
              <w:right w:w="28" w:type="dxa"/>
            </w:tcMar>
            <w:vAlign w:val="center"/>
          </w:tcPr>
          <w:p w14:paraId="741B9BAB"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noWrap/>
            <w:tcMar>
              <w:left w:w="28" w:type="dxa"/>
              <w:right w:w="28" w:type="dxa"/>
            </w:tcMar>
            <w:vAlign w:val="center"/>
          </w:tcPr>
          <w:p w14:paraId="622FEEC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3E8F5BA"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B27D6C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2688EC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403B32F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1.13</w:t>
            </w:r>
          </w:p>
        </w:tc>
        <w:tc>
          <w:tcPr>
            <w:tcW w:w="709" w:type="dxa"/>
            <w:noWrap/>
            <w:tcMar>
              <w:left w:w="28" w:type="dxa"/>
              <w:right w:w="28" w:type="dxa"/>
            </w:tcMar>
            <w:vAlign w:val="center"/>
          </w:tcPr>
          <w:p w14:paraId="3A1E845F"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FC9002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D1801F5"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3D0FDE6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24D423C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96D8DF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AED170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749A162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651AF1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0.25</w:t>
            </w:r>
          </w:p>
        </w:tc>
        <w:tc>
          <w:tcPr>
            <w:tcW w:w="709" w:type="dxa"/>
            <w:noWrap/>
            <w:tcMar>
              <w:left w:w="28" w:type="dxa"/>
              <w:right w:w="28" w:type="dxa"/>
            </w:tcMar>
            <w:vAlign w:val="center"/>
          </w:tcPr>
          <w:p w14:paraId="16B5D64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8E91C2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r>
      <w:tr w:rsidR="00E56CF1" w:rsidRPr="002168E2" w14:paraId="5C728838" w14:textId="77777777" w:rsidTr="00655477">
        <w:trPr>
          <w:trHeight w:hRule="exact" w:val="312"/>
        </w:trPr>
        <w:tc>
          <w:tcPr>
            <w:tcW w:w="879" w:type="dxa"/>
            <w:vMerge/>
          </w:tcPr>
          <w:p w14:paraId="6640DA98" w14:textId="77777777" w:rsidR="00E56CF1" w:rsidRPr="00C22707" w:rsidRDefault="00E56CF1" w:rsidP="00E56CF1">
            <w:pPr>
              <w:jc w:val="center"/>
              <w:rPr>
                <w:rFonts w:ascii="Arial Narrow" w:hAnsi="Arial Narrow"/>
                <w:color w:val="000000"/>
                <w:sz w:val="20"/>
              </w:rPr>
            </w:pPr>
          </w:p>
        </w:tc>
        <w:tc>
          <w:tcPr>
            <w:tcW w:w="1843" w:type="dxa"/>
            <w:vMerge/>
            <w:tcMar>
              <w:left w:w="28" w:type="dxa"/>
              <w:right w:w="28" w:type="dxa"/>
            </w:tcMar>
            <w:vAlign w:val="center"/>
          </w:tcPr>
          <w:p w14:paraId="610EDBC0" w14:textId="77777777" w:rsidR="00E56CF1" w:rsidRPr="00C22707" w:rsidRDefault="00E56CF1" w:rsidP="00E56CF1">
            <w:pPr>
              <w:jc w:val="left"/>
              <w:rPr>
                <w:rFonts w:ascii="Arial Narrow" w:hAnsi="Arial Narrow"/>
                <w:color w:val="000000"/>
                <w:sz w:val="20"/>
              </w:rPr>
            </w:pPr>
          </w:p>
        </w:tc>
        <w:tc>
          <w:tcPr>
            <w:tcW w:w="567" w:type="dxa"/>
            <w:tcMar>
              <w:left w:w="28" w:type="dxa"/>
              <w:right w:w="28" w:type="dxa"/>
            </w:tcMar>
            <w:vAlign w:val="center"/>
          </w:tcPr>
          <w:p w14:paraId="12114020"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3AD5CA4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6BD66D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1.13</w:t>
            </w:r>
          </w:p>
        </w:tc>
        <w:tc>
          <w:tcPr>
            <w:tcW w:w="709" w:type="dxa"/>
            <w:noWrap/>
            <w:tcMar>
              <w:left w:w="28" w:type="dxa"/>
              <w:right w:w="28" w:type="dxa"/>
            </w:tcMar>
            <w:vAlign w:val="center"/>
          </w:tcPr>
          <w:p w14:paraId="1B1F6C0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F7EF553"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649622E7"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w:t>
            </w:r>
          </w:p>
        </w:tc>
        <w:tc>
          <w:tcPr>
            <w:tcW w:w="709" w:type="dxa"/>
            <w:noWrap/>
            <w:tcMar>
              <w:left w:w="28" w:type="dxa"/>
              <w:right w:w="28" w:type="dxa"/>
            </w:tcMar>
            <w:vAlign w:val="center"/>
          </w:tcPr>
          <w:p w14:paraId="6EC5E92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98DA8C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0A91863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0BD7636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10CEAF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79FC8D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57E8031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7ACC8623"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1342F0A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10.02</w:t>
            </w:r>
          </w:p>
        </w:tc>
        <w:tc>
          <w:tcPr>
            <w:tcW w:w="709" w:type="dxa"/>
            <w:noWrap/>
            <w:tcMar>
              <w:left w:w="28" w:type="dxa"/>
              <w:right w:w="28" w:type="dxa"/>
            </w:tcMar>
            <w:vAlign w:val="center"/>
          </w:tcPr>
          <w:p w14:paraId="0A177EA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2629ECA"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r>
      <w:tr w:rsidR="00E56CF1" w:rsidRPr="002168E2" w14:paraId="0F5AEDF5" w14:textId="77777777" w:rsidTr="00655477">
        <w:trPr>
          <w:trHeight w:hRule="exact" w:val="312"/>
        </w:trPr>
        <w:tc>
          <w:tcPr>
            <w:tcW w:w="879" w:type="dxa"/>
            <w:vMerge/>
          </w:tcPr>
          <w:p w14:paraId="30E0A835" w14:textId="77777777" w:rsidR="00E56CF1" w:rsidRPr="00C22707" w:rsidRDefault="00E56CF1" w:rsidP="00E56CF1">
            <w:pPr>
              <w:jc w:val="center"/>
              <w:rPr>
                <w:rFonts w:ascii="Arial Narrow" w:hAnsi="Arial Narrow"/>
                <w:color w:val="000000"/>
                <w:sz w:val="20"/>
              </w:rPr>
            </w:pPr>
          </w:p>
        </w:tc>
        <w:tc>
          <w:tcPr>
            <w:tcW w:w="1843" w:type="dxa"/>
            <w:vMerge w:val="restart"/>
            <w:tcMar>
              <w:left w:w="28" w:type="dxa"/>
              <w:right w:w="28" w:type="dxa"/>
            </w:tcMar>
            <w:vAlign w:val="center"/>
          </w:tcPr>
          <w:p w14:paraId="35A1C741" w14:textId="77777777" w:rsidR="00E56CF1" w:rsidRPr="00C22707" w:rsidRDefault="00E56CF1" w:rsidP="00E56CF1">
            <w:pPr>
              <w:jc w:val="left"/>
              <w:rPr>
                <w:rFonts w:ascii="Arial Narrow" w:hAnsi="Arial Narrow"/>
                <w:color w:val="000000"/>
                <w:sz w:val="20"/>
              </w:rPr>
            </w:pPr>
            <w:r w:rsidRPr="00C22707">
              <w:rPr>
                <w:rFonts w:ascii="Arial Narrow" w:hAnsi="Arial Narrow"/>
                <w:color w:val="000000"/>
                <w:sz w:val="20"/>
              </w:rPr>
              <w:t>Pelican</w:t>
            </w:r>
          </w:p>
        </w:tc>
        <w:tc>
          <w:tcPr>
            <w:tcW w:w="567" w:type="dxa"/>
            <w:tcMar>
              <w:left w:w="28" w:type="dxa"/>
              <w:right w:w="28" w:type="dxa"/>
            </w:tcMar>
            <w:vAlign w:val="center"/>
          </w:tcPr>
          <w:p w14:paraId="1A65E5D4"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noWrap/>
            <w:tcMar>
              <w:left w:w="28" w:type="dxa"/>
              <w:right w:w="28" w:type="dxa"/>
            </w:tcMar>
            <w:vAlign w:val="center"/>
          </w:tcPr>
          <w:p w14:paraId="522EA7F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2EF9B0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8.07</w:t>
            </w:r>
          </w:p>
        </w:tc>
        <w:tc>
          <w:tcPr>
            <w:tcW w:w="709" w:type="dxa"/>
            <w:noWrap/>
            <w:tcMar>
              <w:left w:w="28" w:type="dxa"/>
              <w:right w:w="28" w:type="dxa"/>
            </w:tcMar>
            <w:vAlign w:val="center"/>
          </w:tcPr>
          <w:p w14:paraId="1D1B60F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noWrap/>
            <w:tcMar>
              <w:left w:w="28" w:type="dxa"/>
              <w:right w:w="28" w:type="dxa"/>
            </w:tcMar>
            <w:vAlign w:val="center"/>
          </w:tcPr>
          <w:p w14:paraId="3E64B70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1.06</w:t>
            </w:r>
          </w:p>
        </w:tc>
        <w:tc>
          <w:tcPr>
            <w:tcW w:w="708" w:type="dxa"/>
            <w:noWrap/>
            <w:tcMar>
              <w:left w:w="28" w:type="dxa"/>
              <w:right w:w="28" w:type="dxa"/>
            </w:tcMar>
            <w:vAlign w:val="center"/>
          </w:tcPr>
          <w:p w14:paraId="38CD8D30"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3.88</w:t>
            </w:r>
          </w:p>
        </w:tc>
        <w:tc>
          <w:tcPr>
            <w:tcW w:w="709" w:type="dxa"/>
            <w:noWrap/>
            <w:tcMar>
              <w:left w:w="28" w:type="dxa"/>
              <w:right w:w="28" w:type="dxa"/>
            </w:tcMar>
            <w:vAlign w:val="center"/>
          </w:tcPr>
          <w:p w14:paraId="40AE2C8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4EEF275"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0DD8744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43F1B8B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2B47EDB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0176756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882723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7F648F9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noWrap/>
            <w:tcMar>
              <w:left w:w="28" w:type="dxa"/>
              <w:right w:w="28" w:type="dxa"/>
            </w:tcMar>
            <w:vAlign w:val="center"/>
          </w:tcPr>
          <w:p w14:paraId="4FE61AA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19.82</w:t>
            </w:r>
          </w:p>
        </w:tc>
        <w:tc>
          <w:tcPr>
            <w:tcW w:w="709" w:type="dxa"/>
            <w:noWrap/>
            <w:tcMar>
              <w:left w:w="28" w:type="dxa"/>
              <w:right w:w="28" w:type="dxa"/>
            </w:tcMar>
            <w:vAlign w:val="center"/>
          </w:tcPr>
          <w:p w14:paraId="49986CE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20.31</w:t>
            </w:r>
          </w:p>
        </w:tc>
        <w:tc>
          <w:tcPr>
            <w:tcW w:w="709" w:type="dxa"/>
            <w:noWrap/>
            <w:tcMar>
              <w:left w:w="28" w:type="dxa"/>
              <w:right w:w="28" w:type="dxa"/>
            </w:tcMar>
            <w:vAlign w:val="center"/>
          </w:tcPr>
          <w:p w14:paraId="7797A32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1.88</w:t>
            </w:r>
          </w:p>
        </w:tc>
      </w:tr>
      <w:tr w:rsidR="00E56CF1" w:rsidRPr="002168E2" w14:paraId="1EC18407" w14:textId="77777777" w:rsidTr="00655477">
        <w:trPr>
          <w:trHeight w:hRule="exact" w:val="312"/>
        </w:trPr>
        <w:tc>
          <w:tcPr>
            <w:tcW w:w="879" w:type="dxa"/>
            <w:vMerge/>
          </w:tcPr>
          <w:p w14:paraId="2E677AF0" w14:textId="77777777" w:rsidR="00E56CF1" w:rsidRPr="00C22707" w:rsidRDefault="00E56CF1" w:rsidP="00E56CF1">
            <w:pPr>
              <w:jc w:val="center"/>
              <w:rPr>
                <w:rFonts w:ascii="Arial Narrow" w:hAnsi="Arial Narrow"/>
                <w:color w:val="000000"/>
                <w:sz w:val="20"/>
              </w:rPr>
            </w:pPr>
          </w:p>
        </w:tc>
        <w:tc>
          <w:tcPr>
            <w:tcW w:w="1843" w:type="dxa"/>
            <w:vMerge/>
            <w:tcMar>
              <w:left w:w="28" w:type="dxa"/>
              <w:right w:w="28" w:type="dxa"/>
            </w:tcMar>
            <w:vAlign w:val="center"/>
          </w:tcPr>
          <w:p w14:paraId="52E42619" w14:textId="77777777" w:rsidR="00E56CF1" w:rsidRPr="00C22707" w:rsidRDefault="00E56CF1" w:rsidP="00E56CF1">
            <w:pPr>
              <w:jc w:val="left"/>
              <w:rPr>
                <w:rFonts w:ascii="Arial Narrow" w:hAnsi="Arial Narrow"/>
                <w:color w:val="000000"/>
                <w:sz w:val="20"/>
              </w:rPr>
            </w:pPr>
          </w:p>
        </w:tc>
        <w:tc>
          <w:tcPr>
            <w:tcW w:w="567" w:type="dxa"/>
            <w:tcMar>
              <w:left w:w="28" w:type="dxa"/>
              <w:right w:w="28" w:type="dxa"/>
            </w:tcMar>
            <w:vAlign w:val="center"/>
          </w:tcPr>
          <w:p w14:paraId="15966FEA"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47502DE3"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9FD3B0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4.5</w:t>
            </w:r>
          </w:p>
        </w:tc>
        <w:tc>
          <w:tcPr>
            <w:tcW w:w="709" w:type="dxa"/>
            <w:noWrap/>
            <w:tcMar>
              <w:left w:w="28" w:type="dxa"/>
              <w:right w:w="28" w:type="dxa"/>
            </w:tcMar>
            <w:vAlign w:val="center"/>
          </w:tcPr>
          <w:p w14:paraId="32CF368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0.06</w:t>
            </w:r>
          </w:p>
        </w:tc>
        <w:tc>
          <w:tcPr>
            <w:tcW w:w="709" w:type="dxa"/>
            <w:noWrap/>
            <w:tcMar>
              <w:left w:w="28" w:type="dxa"/>
              <w:right w:w="28" w:type="dxa"/>
            </w:tcMar>
            <w:vAlign w:val="center"/>
          </w:tcPr>
          <w:p w14:paraId="526C3DA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2.69</w:t>
            </w:r>
          </w:p>
        </w:tc>
        <w:tc>
          <w:tcPr>
            <w:tcW w:w="708" w:type="dxa"/>
            <w:noWrap/>
            <w:tcMar>
              <w:left w:w="28" w:type="dxa"/>
              <w:right w:w="28" w:type="dxa"/>
            </w:tcMar>
            <w:vAlign w:val="center"/>
          </w:tcPr>
          <w:p w14:paraId="1D85EA4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4.94</w:t>
            </w:r>
          </w:p>
        </w:tc>
        <w:tc>
          <w:tcPr>
            <w:tcW w:w="709" w:type="dxa"/>
            <w:noWrap/>
            <w:tcMar>
              <w:left w:w="28" w:type="dxa"/>
              <w:right w:w="28" w:type="dxa"/>
            </w:tcMar>
            <w:vAlign w:val="center"/>
          </w:tcPr>
          <w:p w14:paraId="3578E7D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A62818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0105696"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7DD68F0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noWrap/>
            <w:tcMar>
              <w:left w:w="28" w:type="dxa"/>
              <w:right w:w="28" w:type="dxa"/>
            </w:tcMar>
            <w:vAlign w:val="center"/>
          </w:tcPr>
          <w:p w14:paraId="2B3A1E3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FA6FF9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4A7761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5769C8C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0.69</w:t>
            </w:r>
          </w:p>
        </w:tc>
        <w:tc>
          <w:tcPr>
            <w:tcW w:w="709" w:type="dxa"/>
            <w:noWrap/>
            <w:tcMar>
              <w:left w:w="28" w:type="dxa"/>
              <w:right w:w="28" w:type="dxa"/>
            </w:tcMar>
            <w:vAlign w:val="center"/>
          </w:tcPr>
          <w:p w14:paraId="1048BA0A"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21.13</w:t>
            </w:r>
          </w:p>
        </w:tc>
        <w:tc>
          <w:tcPr>
            <w:tcW w:w="709" w:type="dxa"/>
            <w:noWrap/>
            <w:tcMar>
              <w:left w:w="28" w:type="dxa"/>
              <w:right w:w="28" w:type="dxa"/>
            </w:tcMar>
            <w:vAlign w:val="center"/>
          </w:tcPr>
          <w:p w14:paraId="5115BE2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noWrap/>
            <w:tcMar>
              <w:left w:w="28" w:type="dxa"/>
              <w:right w:w="28" w:type="dxa"/>
            </w:tcMar>
            <w:vAlign w:val="center"/>
          </w:tcPr>
          <w:p w14:paraId="4A2C40DF"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0.88</w:t>
            </w:r>
          </w:p>
        </w:tc>
      </w:tr>
      <w:tr w:rsidR="00E56CF1" w:rsidRPr="002168E2" w14:paraId="778A42EB" w14:textId="77777777" w:rsidTr="00655477">
        <w:trPr>
          <w:trHeight w:hRule="exact" w:val="312"/>
        </w:trPr>
        <w:tc>
          <w:tcPr>
            <w:tcW w:w="879" w:type="dxa"/>
            <w:vMerge/>
          </w:tcPr>
          <w:p w14:paraId="00F2D24B" w14:textId="77777777" w:rsidR="00E56CF1" w:rsidRPr="00C22707" w:rsidRDefault="00E56CF1" w:rsidP="00E56CF1">
            <w:pPr>
              <w:jc w:val="center"/>
              <w:rPr>
                <w:rFonts w:ascii="Arial Narrow" w:hAnsi="Arial Narrow"/>
                <w:color w:val="000000"/>
                <w:sz w:val="20"/>
              </w:rPr>
            </w:pPr>
          </w:p>
        </w:tc>
        <w:tc>
          <w:tcPr>
            <w:tcW w:w="1843" w:type="dxa"/>
            <w:vMerge w:val="restart"/>
            <w:tcMar>
              <w:left w:w="28" w:type="dxa"/>
              <w:right w:w="28" w:type="dxa"/>
            </w:tcMar>
            <w:vAlign w:val="center"/>
          </w:tcPr>
          <w:p w14:paraId="7E7A413D" w14:textId="77777777" w:rsidR="00E56CF1" w:rsidRPr="00C22707" w:rsidRDefault="00E56CF1" w:rsidP="00E56CF1">
            <w:pPr>
              <w:jc w:val="left"/>
              <w:rPr>
                <w:rFonts w:ascii="Arial Narrow" w:hAnsi="Arial Narrow"/>
                <w:color w:val="000000"/>
                <w:sz w:val="20"/>
              </w:rPr>
            </w:pPr>
            <w:r w:rsidRPr="00C22707">
              <w:rPr>
                <w:rFonts w:ascii="Arial Narrow" w:hAnsi="Arial Narrow"/>
                <w:color w:val="000000"/>
                <w:sz w:val="20"/>
              </w:rPr>
              <w:t>Peak</w:t>
            </w:r>
          </w:p>
        </w:tc>
        <w:tc>
          <w:tcPr>
            <w:tcW w:w="567" w:type="dxa"/>
            <w:tcMar>
              <w:left w:w="28" w:type="dxa"/>
              <w:right w:w="28" w:type="dxa"/>
            </w:tcMar>
            <w:vAlign w:val="center"/>
          </w:tcPr>
          <w:p w14:paraId="3325B1A1"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2</w:t>
            </w:r>
          </w:p>
        </w:tc>
        <w:tc>
          <w:tcPr>
            <w:tcW w:w="708" w:type="dxa"/>
            <w:noWrap/>
            <w:tcMar>
              <w:left w:w="28" w:type="dxa"/>
              <w:right w:w="28" w:type="dxa"/>
            </w:tcMar>
            <w:vAlign w:val="center"/>
          </w:tcPr>
          <w:p w14:paraId="481C453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F98B6CE"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1.06</w:t>
            </w:r>
          </w:p>
        </w:tc>
        <w:tc>
          <w:tcPr>
            <w:tcW w:w="709" w:type="dxa"/>
            <w:noWrap/>
            <w:tcMar>
              <w:left w:w="28" w:type="dxa"/>
              <w:right w:w="28" w:type="dxa"/>
            </w:tcMar>
            <w:vAlign w:val="center"/>
          </w:tcPr>
          <w:p w14:paraId="20A9FCE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3.81</w:t>
            </w:r>
          </w:p>
        </w:tc>
        <w:tc>
          <w:tcPr>
            <w:tcW w:w="709" w:type="dxa"/>
            <w:noWrap/>
            <w:tcMar>
              <w:left w:w="28" w:type="dxa"/>
              <w:right w:w="28" w:type="dxa"/>
            </w:tcMar>
            <w:vAlign w:val="center"/>
          </w:tcPr>
          <w:p w14:paraId="34577AA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1B08A7D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3.69</w:t>
            </w:r>
          </w:p>
        </w:tc>
        <w:tc>
          <w:tcPr>
            <w:tcW w:w="709" w:type="dxa"/>
            <w:noWrap/>
            <w:tcMar>
              <w:left w:w="28" w:type="dxa"/>
              <w:right w:w="28" w:type="dxa"/>
            </w:tcMar>
            <w:vAlign w:val="center"/>
          </w:tcPr>
          <w:p w14:paraId="361AC64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3C358B5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D2EE0D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3A73A0D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00ED6B8A"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noWrap/>
            <w:tcMar>
              <w:left w:w="28" w:type="dxa"/>
              <w:right w:w="28" w:type="dxa"/>
            </w:tcMar>
            <w:vAlign w:val="center"/>
          </w:tcPr>
          <w:p w14:paraId="2F43390B"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1.75</w:t>
            </w:r>
          </w:p>
        </w:tc>
        <w:tc>
          <w:tcPr>
            <w:tcW w:w="709" w:type="dxa"/>
            <w:noWrap/>
            <w:tcMar>
              <w:left w:w="28" w:type="dxa"/>
              <w:right w:w="28" w:type="dxa"/>
            </w:tcMar>
            <w:vAlign w:val="center"/>
          </w:tcPr>
          <w:p w14:paraId="40F01F6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0.75</w:t>
            </w:r>
          </w:p>
        </w:tc>
        <w:tc>
          <w:tcPr>
            <w:tcW w:w="708" w:type="dxa"/>
            <w:noWrap/>
            <w:tcMar>
              <w:left w:w="28" w:type="dxa"/>
              <w:right w:w="28" w:type="dxa"/>
            </w:tcMar>
            <w:vAlign w:val="center"/>
          </w:tcPr>
          <w:p w14:paraId="56F1B7E7"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7.19</w:t>
            </w:r>
          </w:p>
        </w:tc>
        <w:tc>
          <w:tcPr>
            <w:tcW w:w="709" w:type="dxa"/>
            <w:noWrap/>
            <w:tcMar>
              <w:left w:w="28" w:type="dxa"/>
              <w:right w:w="28" w:type="dxa"/>
            </w:tcMar>
            <w:vAlign w:val="center"/>
          </w:tcPr>
          <w:p w14:paraId="1228F648"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7.13</w:t>
            </w:r>
          </w:p>
        </w:tc>
        <w:tc>
          <w:tcPr>
            <w:tcW w:w="709" w:type="dxa"/>
            <w:noWrap/>
            <w:tcMar>
              <w:left w:w="28" w:type="dxa"/>
              <w:right w:w="28" w:type="dxa"/>
            </w:tcMar>
            <w:vAlign w:val="center"/>
          </w:tcPr>
          <w:p w14:paraId="487CE81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32.5</w:t>
            </w:r>
          </w:p>
        </w:tc>
        <w:tc>
          <w:tcPr>
            <w:tcW w:w="709" w:type="dxa"/>
            <w:noWrap/>
            <w:tcMar>
              <w:left w:w="28" w:type="dxa"/>
              <w:right w:w="28" w:type="dxa"/>
            </w:tcMar>
            <w:vAlign w:val="center"/>
          </w:tcPr>
          <w:p w14:paraId="7ADFD20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3</w:t>
            </w:r>
          </w:p>
        </w:tc>
      </w:tr>
      <w:tr w:rsidR="00E56CF1" w:rsidRPr="002168E2" w14:paraId="5AE69A92" w14:textId="77777777" w:rsidTr="00655477">
        <w:trPr>
          <w:trHeight w:hRule="exact" w:val="312"/>
        </w:trPr>
        <w:tc>
          <w:tcPr>
            <w:tcW w:w="879" w:type="dxa"/>
            <w:vMerge/>
          </w:tcPr>
          <w:p w14:paraId="0E361780" w14:textId="77777777" w:rsidR="00E56CF1" w:rsidRPr="002168E2" w:rsidRDefault="00E56CF1" w:rsidP="00E56CF1">
            <w:pPr>
              <w:jc w:val="center"/>
              <w:rPr>
                <w:rFonts w:ascii="Arial Narrow" w:hAnsi="Arial Narrow"/>
                <w:b/>
                <w:color w:val="000000"/>
                <w:sz w:val="18"/>
                <w:szCs w:val="18"/>
              </w:rPr>
            </w:pPr>
          </w:p>
        </w:tc>
        <w:tc>
          <w:tcPr>
            <w:tcW w:w="1843" w:type="dxa"/>
            <w:vMerge/>
            <w:tcMar>
              <w:left w:w="28" w:type="dxa"/>
              <w:right w:w="28" w:type="dxa"/>
            </w:tcMar>
            <w:vAlign w:val="center"/>
          </w:tcPr>
          <w:p w14:paraId="4C305327" w14:textId="77777777" w:rsidR="00E56CF1" w:rsidRPr="002168E2" w:rsidRDefault="00E56CF1" w:rsidP="00E56CF1">
            <w:pPr>
              <w:jc w:val="center"/>
              <w:rPr>
                <w:rFonts w:ascii="Arial Narrow" w:hAnsi="Arial Narrow"/>
                <w:b/>
                <w:color w:val="000000"/>
                <w:sz w:val="18"/>
                <w:szCs w:val="18"/>
              </w:rPr>
            </w:pPr>
          </w:p>
        </w:tc>
        <w:tc>
          <w:tcPr>
            <w:tcW w:w="567" w:type="dxa"/>
            <w:tcMar>
              <w:left w:w="28" w:type="dxa"/>
              <w:right w:w="28" w:type="dxa"/>
            </w:tcMar>
            <w:vAlign w:val="center"/>
          </w:tcPr>
          <w:p w14:paraId="74F2EE35" w14:textId="77777777" w:rsidR="00E56CF1" w:rsidRPr="002168E2" w:rsidRDefault="00E56CF1" w:rsidP="00E56CF1">
            <w:pPr>
              <w:jc w:val="center"/>
              <w:rPr>
                <w:rFonts w:ascii="Arial Narrow" w:hAnsi="Arial Narrow"/>
                <w:color w:val="000000"/>
                <w:sz w:val="18"/>
                <w:szCs w:val="18"/>
              </w:rPr>
            </w:pPr>
            <w:r w:rsidRPr="002168E2">
              <w:rPr>
                <w:rFonts w:ascii="Arial Narrow" w:hAnsi="Arial Narrow"/>
                <w:color w:val="000000"/>
                <w:sz w:val="18"/>
                <w:szCs w:val="18"/>
              </w:rPr>
              <w:t>5</w:t>
            </w:r>
          </w:p>
        </w:tc>
        <w:tc>
          <w:tcPr>
            <w:tcW w:w="708" w:type="dxa"/>
            <w:noWrap/>
            <w:tcMar>
              <w:left w:w="28" w:type="dxa"/>
              <w:right w:w="28" w:type="dxa"/>
            </w:tcMar>
            <w:vAlign w:val="center"/>
          </w:tcPr>
          <w:p w14:paraId="26A96EC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4D0C789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0.5</w:t>
            </w:r>
          </w:p>
        </w:tc>
        <w:tc>
          <w:tcPr>
            <w:tcW w:w="709" w:type="dxa"/>
            <w:noWrap/>
            <w:tcMar>
              <w:left w:w="28" w:type="dxa"/>
              <w:right w:w="28" w:type="dxa"/>
            </w:tcMar>
            <w:vAlign w:val="center"/>
          </w:tcPr>
          <w:p w14:paraId="727A91E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w:t>
            </w:r>
          </w:p>
        </w:tc>
        <w:tc>
          <w:tcPr>
            <w:tcW w:w="709" w:type="dxa"/>
            <w:noWrap/>
            <w:tcMar>
              <w:left w:w="28" w:type="dxa"/>
              <w:right w:w="28" w:type="dxa"/>
            </w:tcMar>
            <w:vAlign w:val="center"/>
          </w:tcPr>
          <w:p w14:paraId="633BC6A5"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07409AA9"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4.56</w:t>
            </w:r>
          </w:p>
        </w:tc>
        <w:tc>
          <w:tcPr>
            <w:tcW w:w="709" w:type="dxa"/>
            <w:noWrap/>
            <w:tcMar>
              <w:left w:w="28" w:type="dxa"/>
              <w:right w:w="28" w:type="dxa"/>
            </w:tcMar>
            <w:vAlign w:val="center"/>
          </w:tcPr>
          <w:p w14:paraId="5479FC64"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66D46E9A"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7EA407D2"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0.06</w:t>
            </w:r>
          </w:p>
        </w:tc>
        <w:tc>
          <w:tcPr>
            <w:tcW w:w="708" w:type="dxa"/>
            <w:noWrap/>
            <w:tcMar>
              <w:left w:w="28" w:type="dxa"/>
              <w:right w:w="28" w:type="dxa"/>
            </w:tcMar>
            <w:vAlign w:val="center"/>
          </w:tcPr>
          <w:p w14:paraId="75CD097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0.19</w:t>
            </w:r>
          </w:p>
        </w:tc>
        <w:tc>
          <w:tcPr>
            <w:tcW w:w="709" w:type="dxa"/>
            <w:noWrap/>
            <w:tcMar>
              <w:left w:w="28" w:type="dxa"/>
              <w:right w:w="28" w:type="dxa"/>
            </w:tcMar>
            <w:vAlign w:val="center"/>
          </w:tcPr>
          <w:p w14:paraId="55F1C02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0.13</w:t>
            </w:r>
          </w:p>
        </w:tc>
        <w:tc>
          <w:tcPr>
            <w:tcW w:w="709" w:type="dxa"/>
            <w:noWrap/>
            <w:tcMar>
              <w:left w:w="28" w:type="dxa"/>
              <w:right w:w="28" w:type="dxa"/>
            </w:tcMar>
            <w:vAlign w:val="center"/>
          </w:tcPr>
          <w:p w14:paraId="36664801"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9" w:type="dxa"/>
            <w:noWrap/>
            <w:tcMar>
              <w:left w:w="28" w:type="dxa"/>
              <w:right w:w="28" w:type="dxa"/>
            </w:tcMar>
            <w:vAlign w:val="center"/>
          </w:tcPr>
          <w:p w14:paraId="0CE5170C"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w:t>
            </w:r>
          </w:p>
        </w:tc>
        <w:tc>
          <w:tcPr>
            <w:tcW w:w="708" w:type="dxa"/>
            <w:noWrap/>
            <w:tcMar>
              <w:left w:w="28" w:type="dxa"/>
              <w:right w:w="28" w:type="dxa"/>
            </w:tcMar>
            <w:vAlign w:val="center"/>
          </w:tcPr>
          <w:p w14:paraId="4BB1E22D"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1.88</w:t>
            </w:r>
          </w:p>
        </w:tc>
        <w:tc>
          <w:tcPr>
            <w:tcW w:w="709" w:type="dxa"/>
            <w:noWrap/>
            <w:tcMar>
              <w:left w:w="28" w:type="dxa"/>
              <w:right w:w="28" w:type="dxa"/>
            </w:tcMar>
            <w:vAlign w:val="center"/>
          </w:tcPr>
          <w:p w14:paraId="023EC8BF"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8.06</w:t>
            </w:r>
          </w:p>
        </w:tc>
        <w:tc>
          <w:tcPr>
            <w:tcW w:w="709" w:type="dxa"/>
            <w:noWrap/>
            <w:tcMar>
              <w:left w:w="28" w:type="dxa"/>
              <w:right w:w="28" w:type="dxa"/>
            </w:tcMar>
            <w:vAlign w:val="center"/>
          </w:tcPr>
          <w:p w14:paraId="3DA7E62F"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0.75</w:t>
            </w:r>
          </w:p>
        </w:tc>
        <w:tc>
          <w:tcPr>
            <w:tcW w:w="709" w:type="dxa"/>
            <w:noWrap/>
            <w:tcMar>
              <w:left w:w="28" w:type="dxa"/>
              <w:right w:w="28" w:type="dxa"/>
            </w:tcMar>
            <w:vAlign w:val="center"/>
          </w:tcPr>
          <w:p w14:paraId="6D3665A7" w14:textId="77777777" w:rsidR="00E56CF1" w:rsidRPr="0088288C" w:rsidRDefault="00E56CF1" w:rsidP="00E56CF1">
            <w:pPr>
              <w:jc w:val="center"/>
              <w:rPr>
                <w:rFonts w:ascii="Arial Narrow" w:hAnsi="Arial Narrow"/>
                <w:color w:val="000000"/>
                <w:sz w:val="18"/>
                <w:szCs w:val="18"/>
              </w:rPr>
            </w:pPr>
            <w:r w:rsidRPr="0088288C">
              <w:rPr>
                <w:rFonts w:ascii="Arial Narrow" w:hAnsi="Arial Narrow"/>
                <w:color w:val="000000"/>
                <w:sz w:val="18"/>
                <w:szCs w:val="18"/>
              </w:rPr>
              <w:t>0.81</w:t>
            </w:r>
          </w:p>
        </w:tc>
      </w:tr>
    </w:tbl>
    <w:p w14:paraId="5BC4CA40" w14:textId="77777777" w:rsidR="00655477" w:rsidRPr="00064605" w:rsidRDefault="00655477">
      <w:pPr>
        <w:sectPr w:rsidR="00655477" w:rsidRPr="00064605" w:rsidSect="000A241F">
          <w:pgSz w:w="16840" w:h="11907" w:orient="landscape" w:code="9"/>
          <w:pgMar w:top="1134" w:right="1440" w:bottom="1134" w:left="1276" w:header="862" w:footer="720" w:gutter="0"/>
          <w:cols w:space="720"/>
          <w:docGrid w:linePitch="299"/>
        </w:sectPr>
      </w:pPr>
    </w:p>
    <w:p w14:paraId="278FD2B7" w14:textId="77777777" w:rsidR="00064605" w:rsidRDefault="00064605"/>
    <w:p w14:paraId="53938BAC" w14:textId="77777777" w:rsidR="00064605" w:rsidRDefault="00026729">
      <w:r>
        <w:rPr>
          <w:noProof/>
          <w:lang w:val="en-AU" w:eastAsia="en-AU"/>
        </w:rPr>
        <w:drawing>
          <wp:inline distT="0" distB="0" distL="0" distR="0" wp14:anchorId="6C1A5D6A" wp14:editId="4A7E9143">
            <wp:extent cx="6120765" cy="5654675"/>
            <wp:effectExtent l="0" t="0" r="0" b="3175"/>
            <wp:docPr id="2" name="Picture 2" descr="Figure A1 8: Cyclone exposure history. a) Return times (years) of exposure to cyclone-generated seas sufficient to damage most coral colonies (wave height = 4metres) on the Great Barrier Reef, based on 1985-2015 cyclone data. b) For MMP reef locations, the number of years from 2015 since last exposure to cyclone-generated damaging seas, based on 1985-2015 cyclone data. Courtesy M. Puotinen. Methods described in Puotinen et al. (2016).&#10;&#10;" title="Figure A1 8: Cyclone exposure hi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clone_exposure_puotinen_for 2015 report.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6120765" cy="5654675"/>
                    </a:xfrm>
                    <a:prstGeom prst="rect">
                      <a:avLst/>
                    </a:prstGeom>
                  </pic:spPr>
                </pic:pic>
              </a:graphicData>
            </a:graphic>
          </wp:inline>
        </w:drawing>
      </w:r>
    </w:p>
    <w:p w14:paraId="5E62337A" w14:textId="77777777" w:rsidR="006E3C16" w:rsidRDefault="006E3C16" w:rsidP="00E56CF1">
      <w:pPr>
        <w:pStyle w:val="Caption"/>
      </w:pPr>
      <w:bookmarkStart w:id="522" w:name="_Toc437423865"/>
      <w:bookmarkStart w:id="523" w:name="_Toc437424044"/>
      <w:bookmarkStart w:id="524" w:name="_Toc437424330"/>
      <w:bookmarkStart w:id="525" w:name="_Toc437432383"/>
    </w:p>
    <w:p w14:paraId="785DC208" w14:textId="77777777" w:rsidR="006E3C16" w:rsidRPr="006E3C16" w:rsidRDefault="00680FBC" w:rsidP="00680FBC">
      <w:pPr>
        <w:pStyle w:val="Caption"/>
        <w:rPr>
          <w:vanish/>
        </w:rPr>
      </w:pPr>
      <w:bookmarkStart w:id="526" w:name="_Ref460487629"/>
      <w:bookmarkStart w:id="527" w:name="_Toc453243775"/>
      <w:bookmarkStart w:id="528" w:name="_Toc460491405"/>
      <w:r>
        <w:t xml:space="preserve">Figure </w:t>
      </w:r>
      <w:proofErr w:type="gramStart"/>
      <w:r>
        <w:t>A</w:t>
      </w:r>
      <w:proofErr w:type="gramEnd"/>
      <w:r>
        <w:t xml:space="preserve"> </w:t>
      </w:r>
      <w:r>
        <w:fldChar w:fldCharType="begin"/>
      </w:r>
      <w:r>
        <w:instrText xml:space="preserve"> SEQ Figure_A \* ARABIC </w:instrText>
      </w:r>
      <w:r>
        <w:fldChar w:fldCharType="separate"/>
      </w:r>
      <w:r w:rsidR="00B61881">
        <w:rPr>
          <w:noProof/>
        </w:rPr>
        <w:t>8</w:t>
      </w:r>
      <w:r>
        <w:fldChar w:fldCharType="end"/>
      </w:r>
      <w:bookmarkEnd w:id="526"/>
      <w:r w:rsidR="006E3C16">
        <w:t xml:space="preserve">: </w:t>
      </w:r>
      <w:r w:rsidR="00DB7D45">
        <w:t>Cyclone exposure history</w:t>
      </w:r>
      <w:bookmarkEnd w:id="527"/>
      <w:bookmarkEnd w:id="528"/>
    </w:p>
    <w:p w14:paraId="3FE9B0A1" w14:textId="77777777" w:rsidR="00064605" w:rsidRPr="00DB7D45" w:rsidRDefault="00DB7D45" w:rsidP="00E56CF1">
      <w:pPr>
        <w:pStyle w:val="Caption"/>
        <w:rPr>
          <w:rStyle w:val="IntenseReference"/>
          <w:rFonts w:eastAsia="SimSun"/>
        </w:rPr>
      </w:pPr>
      <w:r>
        <w:t xml:space="preserve">. </w:t>
      </w:r>
      <w:r w:rsidR="001E632F" w:rsidRPr="00DB7D45">
        <w:rPr>
          <w:rStyle w:val="IntenseReference"/>
          <w:rFonts w:eastAsia="SimSun"/>
        </w:rPr>
        <w:t xml:space="preserve">a) Return times (years) of exposure to cyclone-generated seas sufficient to damage most coral colonies (wave height = 4metres) </w:t>
      </w:r>
      <w:r w:rsidR="009F11FD" w:rsidRPr="00DB7D45">
        <w:rPr>
          <w:rStyle w:val="IntenseReference"/>
          <w:rFonts w:eastAsia="SimSun"/>
        </w:rPr>
        <w:t xml:space="preserve">on the Great Barrier Reef, </w:t>
      </w:r>
      <w:r w:rsidR="001E632F" w:rsidRPr="00DB7D45">
        <w:rPr>
          <w:rStyle w:val="IntenseReference"/>
          <w:rFonts w:eastAsia="SimSun"/>
        </w:rPr>
        <w:t>based on 1985-2015 cyclone data. b)</w:t>
      </w:r>
      <w:r w:rsidR="009F11FD" w:rsidRPr="00DB7D45">
        <w:rPr>
          <w:rStyle w:val="IntenseReference"/>
          <w:rFonts w:eastAsia="SimSun"/>
        </w:rPr>
        <w:t xml:space="preserve"> For MMP reef locations, the n</w:t>
      </w:r>
      <w:r w:rsidR="001E632F" w:rsidRPr="00DB7D45">
        <w:rPr>
          <w:rStyle w:val="IntenseReference"/>
          <w:rFonts w:eastAsia="SimSun"/>
        </w:rPr>
        <w:t>umber of years from 2015 since last exposure to cyclone-generated damaging seas</w:t>
      </w:r>
      <w:r w:rsidR="009F11FD" w:rsidRPr="00DB7D45">
        <w:rPr>
          <w:rStyle w:val="IntenseReference"/>
          <w:rFonts w:eastAsia="SimSun"/>
        </w:rPr>
        <w:t xml:space="preserve">, based on 1985-2015 cyclone data. </w:t>
      </w:r>
      <w:proofErr w:type="gramStart"/>
      <w:r w:rsidR="009F11FD" w:rsidRPr="00DB7D45">
        <w:rPr>
          <w:rStyle w:val="IntenseReference"/>
          <w:rFonts w:eastAsia="SimSun"/>
        </w:rPr>
        <w:t>Courtesy M. Puotinen.</w:t>
      </w:r>
      <w:proofErr w:type="gramEnd"/>
      <w:r w:rsidR="009F11FD" w:rsidRPr="00DB7D45">
        <w:rPr>
          <w:rStyle w:val="IntenseReference"/>
          <w:rFonts w:eastAsia="SimSun"/>
        </w:rPr>
        <w:t xml:space="preserve"> Methods described in Puotinen </w:t>
      </w:r>
      <w:r w:rsidR="009F11FD" w:rsidRPr="00890762">
        <w:rPr>
          <w:rStyle w:val="IntenseReference"/>
          <w:rFonts w:eastAsia="SimSun"/>
          <w:i/>
        </w:rPr>
        <w:t>et al</w:t>
      </w:r>
      <w:r w:rsidR="00051C52" w:rsidRPr="00890762">
        <w:rPr>
          <w:rStyle w:val="IntenseReference"/>
          <w:rFonts w:eastAsia="SimSun"/>
          <w:i/>
        </w:rPr>
        <w:t>.</w:t>
      </w:r>
      <w:r w:rsidR="009F11FD" w:rsidRPr="00DB7D45">
        <w:rPr>
          <w:rStyle w:val="IntenseReference"/>
          <w:rFonts w:eastAsia="SimSun"/>
        </w:rPr>
        <w:t xml:space="preserve"> (</w:t>
      </w:r>
      <w:r w:rsidR="00FB3723">
        <w:rPr>
          <w:rStyle w:val="IntenseReference"/>
          <w:rFonts w:eastAsia="SimSun"/>
        </w:rPr>
        <w:t>2016</w:t>
      </w:r>
      <w:r w:rsidR="009F11FD" w:rsidRPr="00DB7D45">
        <w:rPr>
          <w:rStyle w:val="IntenseReference"/>
          <w:rFonts w:eastAsia="SimSun"/>
        </w:rPr>
        <w:t>).</w:t>
      </w:r>
      <w:bookmarkEnd w:id="522"/>
      <w:bookmarkEnd w:id="523"/>
      <w:bookmarkEnd w:id="524"/>
      <w:bookmarkEnd w:id="525"/>
    </w:p>
    <w:p w14:paraId="0329F6EB" w14:textId="77777777" w:rsidR="00064605" w:rsidRPr="00DB7D45" w:rsidRDefault="00064605" w:rsidP="00406BD7">
      <w:pPr>
        <w:rPr>
          <w:rStyle w:val="IntenseReference"/>
        </w:rPr>
      </w:pPr>
    </w:p>
    <w:p w14:paraId="7BF25475" w14:textId="77777777" w:rsidR="00064605" w:rsidRDefault="00064605" w:rsidP="00406BD7"/>
    <w:p w14:paraId="1A9F0A77" w14:textId="77777777" w:rsidR="00B764F0" w:rsidRDefault="00B764F0" w:rsidP="00E56CF1">
      <w:pPr>
        <w:pStyle w:val="Caption"/>
        <w:sectPr w:rsidR="00B764F0" w:rsidSect="006608FC">
          <w:footerReference w:type="even" r:id="rId87"/>
          <w:headerReference w:type="first" r:id="rId88"/>
          <w:type w:val="continuous"/>
          <w:pgSz w:w="11907" w:h="16840" w:code="9"/>
          <w:pgMar w:top="1440" w:right="1134" w:bottom="1440" w:left="1134" w:header="709" w:footer="709" w:gutter="0"/>
          <w:cols w:space="708"/>
          <w:docGrid w:linePitch="360"/>
        </w:sectPr>
      </w:pPr>
    </w:p>
    <w:p w14:paraId="6261284F" w14:textId="77777777" w:rsidR="00B764F0" w:rsidRDefault="00DB7D45" w:rsidP="00BF3FC5">
      <w:pPr>
        <w:pStyle w:val="AppendixFigures"/>
      </w:pPr>
      <w:bookmarkStart w:id="529" w:name="_Toc437424331"/>
      <w:r>
        <w:rPr>
          <w:noProof/>
          <w:lang w:val="en-AU" w:eastAsia="en-AU"/>
        </w:rPr>
        <w:lastRenderedPageBreak/>
        <w:drawing>
          <wp:inline distT="0" distB="0" distL="0" distR="0" wp14:anchorId="74978497" wp14:editId="73C6791B">
            <wp:extent cx="7343775" cy="5340778"/>
            <wp:effectExtent l="0" t="0" r="0" b="0"/>
            <wp:docPr id="236" name="Picture 236" descr="Figure A1 9: Exposure to plume type waters. Panels represent the proportion of the wet season (December-March) that waters were classified as Primary secondary or tertiary plume types following Álvarez-Romero et al. (2013). From left to right the first three exposures represent long term wet season mean exposure 2003-2015, the second group of three represents exposures estimated for the 2014-2015 wet season only. " title="Figure A1 9: Exposure to plume type wat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umesAllNew.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7358632" cy="5351582"/>
                    </a:xfrm>
                    <a:prstGeom prst="rect">
                      <a:avLst/>
                    </a:prstGeom>
                  </pic:spPr>
                </pic:pic>
              </a:graphicData>
            </a:graphic>
          </wp:inline>
        </w:drawing>
      </w:r>
      <w:bookmarkEnd w:id="529"/>
    </w:p>
    <w:p w14:paraId="44543790" w14:textId="77777777" w:rsidR="006E3C16" w:rsidRPr="006E3C16" w:rsidRDefault="00680FBC" w:rsidP="00680FBC">
      <w:pPr>
        <w:pStyle w:val="Caption"/>
        <w:rPr>
          <w:vanish/>
        </w:rPr>
      </w:pPr>
      <w:bookmarkStart w:id="530" w:name="_Ref460491734"/>
      <w:bookmarkStart w:id="531" w:name="_Toc453243776"/>
      <w:bookmarkStart w:id="532" w:name="_Toc460491406"/>
      <w:bookmarkStart w:id="533" w:name="_Toc437423866"/>
      <w:bookmarkStart w:id="534" w:name="_Toc437424045"/>
      <w:bookmarkStart w:id="535" w:name="_Toc437424332"/>
      <w:r>
        <w:t xml:space="preserve">Figure A </w:t>
      </w:r>
      <w:r>
        <w:fldChar w:fldCharType="begin"/>
      </w:r>
      <w:r>
        <w:instrText xml:space="preserve"> SEQ Figure_A \* ARABIC </w:instrText>
      </w:r>
      <w:r>
        <w:fldChar w:fldCharType="separate"/>
      </w:r>
      <w:r w:rsidR="00B61881">
        <w:rPr>
          <w:noProof/>
        </w:rPr>
        <w:t>9</w:t>
      </w:r>
      <w:r>
        <w:fldChar w:fldCharType="end"/>
      </w:r>
      <w:bookmarkEnd w:id="530"/>
      <w:r w:rsidR="006E3C16">
        <w:t xml:space="preserve">: </w:t>
      </w:r>
      <w:r w:rsidR="00DB7D45">
        <w:t>Exposure to plume type waters</w:t>
      </w:r>
      <w:bookmarkEnd w:id="531"/>
      <w:bookmarkEnd w:id="532"/>
    </w:p>
    <w:p w14:paraId="6DE4797C" w14:textId="77777777" w:rsidR="00B764F0" w:rsidRDefault="00DB7D45" w:rsidP="00E56CF1">
      <w:pPr>
        <w:pStyle w:val="Caption"/>
        <w:rPr>
          <w:rStyle w:val="IntenseReference"/>
          <w:rFonts w:eastAsia="SimSun"/>
        </w:rPr>
        <w:sectPr w:rsidR="00B764F0" w:rsidSect="00B764F0">
          <w:pgSz w:w="16840" w:h="11907" w:orient="landscape" w:code="9"/>
          <w:pgMar w:top="1134" w:right="1440" w:bottom="1134" w:left="1440" w:header="709" w:footer="709" w:gutter="0"/>
          <w:cols w:space="708"/>
          <w:docGrid w:linePitch="360"/>
        </w:sectPr>
      </w:pPr>
      <w:r w:rsidRPr="00DE500F">
        <w:t>.</w:t>
      </w:r>
      <w:bookmarkEnd w:id="533"/>
      <w:bookmarkEnd w:id="534"/>
      <w:bookmarkEnd w:id="535"/>
      <w:r w:rsidRPr="00DE500F">
        <w:t xml:space="preserve"> </w:t>
      </w:r>
      <w:r w:rsidR="00255B7A">
        <w:rPr>
          <w:rStyle w:val="IntenseReference"/>
          <w:rFonts w:eastAsia="SimSun"/>
        </w:rPr>
        <w:t>Panels represent the proportion of the wet season (December-March) that waters were classified as Primary secondary o</w:t>
      </w:r>
      <w:r w:rsidR="00B764F0">
        <w:rPr>
          <w:rStyle w:val="IntenseReference"/>
          <w:rFonts w:eastAsia="SimSun"/>
        </w:rPr>
        <w:t>r</w:t>
      </w:r>
      <w:r w:rsidR="00255B7A">
        <w:rPr>
          <w:rStyle w:val="IntenseReference"/>
          <w:rFonts w:eastAsia="SimSun"/>
        </w:rPr>
        <w:t xml:space="preserve"> </w:t>
      </w:r>
      <w:r w:rsidR="00B764F0">
        <w:rPr>
          <w:rStyle w:val="IntenseReference"/>
          <w:rFonts w:eastAsia="SimSun"/>
        </w:rPr>
        <w:t>tertiary</w:t>
      </w:r>
      <w:r w:rsidR="00255B7A">
        <w:rPr>
          <w:rStyle w:val="IntenseReference"/>
          <w:rFonts w:eastAsia="SimSun"/>
        </w:rPr>
        <w:t xml:space="preserve"> plume types following </w:t>
      </w:r>
      <w:r w:rsidR="00B764F0" w:rsidRPr="003045D3">
        <w:rPr>
          <w:rStyle w:val="IntenseReference"/>
          <w:rFonts w:eastAsia="SimSun"/>
        </w:rPr>
        <w:t xml:space="preserve">Álvarez-Romero </w:t>
      </w:r>
      <w:r w:rsidR="00B764F0" w:rsidRPr="00051C52">
        <w:rPr>
          <w:rStyle w:val="IntenseReference"/>
          <w:rFonts w:eastAsia="SimSun"/>
          <w:i/>
        </w:rPr>
        <w:t>et al.</w:t>
      </w:r>
      <w:r w:rsidR="00B764F0" w:rsidRPr="003045D3">
        <w:rPr>
          <w:rStyle w:val="IntenseReference"/>
          <w:rFonts w:eastAsia="SimSun"/>
        </w:rPr>
        <w:t xml:space="preserve"> </w:t>
      </w:r>
      <w:r w:rsidR="00B764F0">
        <w:rPr>
          <w:rStyle w:val="IntenseReference"/>
          <w:rFonts w:eastAsia="SimSun"/>
        </w:rPr>
        <w:t>(</w:t>
      </w:r>
      <w:r w:rsidR="00B764F0" w:rsidRPr="003045D3">
        <w:rPr>
          <w:rStyle w:val="IntenseReference"/>
          <w:rFonts w:eastAsia="SimSun"/>
        </w:rPr>
        <w:t>2013</w:t>
      </w:r>
      <w:r w:rsidR="00B764F0">
        <w:rPr>
          <w:rStyle w:val="IntenseReference"/>
          <w:rFonts w:eastAsia="SimSun"/>
        </w:rPr>
        <w:t xml:space="preserve">). </w:t>
      </w:r>
      <w:r w:rsidR="00255B7A">
        <w:rPr>
          <w:rStyle w:val="IntenseReference"/>
          <w:rFonts w:eastAsia="SimSun"/>
        </w:rPr>
        <w:t>From le</w:t>
      </w:r>
      <w:r w:rsidR="00B764F0">
        <w:rPr>
          <w:rStyle w:val="IntenseReference"/>
          <w:rFonts w:eastAsia="SimSun"/>
        </w:rPr>
        <w:t>f</w:t>
      </w:r>
      <w:r w:rsidR="00255B7A">
        <w:rPr>
          <w:rStyle w:val="IntenseReference"/>
          <w:rFonts w:eastAsia="SimSun"/>
        </w:rPr>
        <w:t>t to right the first three exposures represent long term wet season mean exposur</w:t>
      </w:r>
      <w:r w:rsidR="00B764F0">
        <w:rPr>
          <w:rStyle w:val="IntenseReference"/>
          <w:rFonts w:eastAsia="SimSun"/>
        </w:rPr>
        <w:t>e 2003-2015, the second</w:t>
      </w:r>
      <w:r w:rsidR="00255B7A">
        <w:rPr>
          <w:rStyle w:val="IntenseReference"/>
          <w:rFonts w:eastAsia="SimSun"/>
        </w:rPr>
        <w:t xml:space="preserve"> group of three represents exposures estimated for the 2014-2015 wet season only.</w:t>
      </w:r>
    </w:p>
    <w:p w14:paraId="711572A5" w14:textId="77777777" w:rsidR="00255B7A" w:rsidRDefault="00255B7A" w:rsidP="00BF3FC5">
      <w:pPr>
        <w:pStyle w:val="AppendixFigures"/>
        <w:rPr>
          <w:rStyle w:val="IntenseReference"/>
          <w:rFonts w:eastAsia="SimSun"/>
        </w:rPr>
      </w:pPr>
    </w:p>
    <w:p w14:paraId="5EDC13A8" w14:textId="77777777" w:rsidR="001778B8" w:rsidRDefault="002A1781" w:rsidP="001778B8">
      <w:r>
        <w:rPr>
          <w:noProof/>
          <w:lang w:val="en-AU" w:eastAsia="en-AU"/>
        </w:rPr>
        <w:drawing>
          <wp:inline distT="0" distB="0" distL="0" distR="0" wp14:anchorId="20210283" wp14:editId="2D6A1F40">
            <wp:extent cx="6120765" cy="6120765"/>
            <wp:effectExtent l="0" t="0" r="0" b="0"/>
            <wp:docPr id="253" name="Picture 253" descr="Figure A1 10: Temporal trends in water quality: Baron Daintree sub-region.water quality index, b) chlorophyll a,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A1.1.1 Regional Water Quality Index 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et al. (2015)" title="Figure A1 10: Temporal trends in water quality: Baron Daintree sub-region.water quality ind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Health_WQ_niskin.all.reef.av_Barron_Daintree.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Start w:id="536" w:name="_Toc437423867"/>
      <w:bookmarkStart w:id="537" w:name="_Toc437424046"/>
      <w:bookmarkStart w:id="538" w:name="_Toc437424334"/>
    </w:p>
    <w:p w14:paraId="3BEB0DA4" w14:textId="77777777" w:rsidR="006E3C16" w:rsidRPr="006E3C16" w:rsidRDefault="00680FBC" w:rsidP="00680FBC">
      <w:pPr>
        <w:pStyle w:val="Caption"/>
        <w:rPr>
          <w:vanish/>
        </w:rPr>
      </w:pPr>
      <w:bookmarkStart w:id="539" w:name="_Ref460423998"/>
      <w:bookmarkStart w:id="540" w:name="_Toc453243777"/>
      <w:bookmarkStart w:id="541" w:name="_Toc460491407"/>
      <w:r>
        <w:t xml:space="preserve">Figure A </w:t>
      </w:r>
      <w:r>
        <w:fldChar w:fldCharType="begin"/>
      </w:r>
      <w:r>
        <w:instrText xml:space="preserve"> SEQ Figure_A \* ARABIC </w:instrText>
      </w:r>
      <w:r>
        <w:fldChar w:fldCharType="separate"/>
      </w:r>
      <w:r w:rsidR="00B61881">
        <w:rPr>
          <w:noProof/>
        </w:rPr>
        <w:t>10</w:t>
      </w:r>
      <w:r>
        <w:fldChar w:fldCharType="end"/>
      </w:r>
      <w:bookmarkEnd w:id="539"/>
      <w:r w:rsidR="006E3C16">
        <w:t xml:space="preserve">: </w:t>
      </w:r>
      <w:r w:rsidR="00F75D6C" w:rsidRPr="00F75D6C">
        <w:t>T</w:t>
      </w:r>
      <w:r w:rsidR="006E3C16">
        <w:t>emporal trends in water quality:</w:t>
      </w:r>
      <w:r w:rsidR="00B764F0">
        <w:t xml:space="preserve"> </w:t>
      </w:r>
      <w:r w:rsidR="00F75D6C">
        <w:t>Baron Daintree sub-</w:t>
      </w:r>
      <w:r w:rsidR="00F75D6C" w:rsidRPr="00F75D6C">
        <w:t>region</w:t>
      </w:r>
      <w:bookmarkEnd w:id="536"/>
      <w:bookmarkEnd w:id="537"/>
      <w:bookmarkEnd w:id="538"/>
      <w:bookmarkEnd w:id="540"/>
      <w:bookmarkEnd w:id="541"/>
      <w:r w:rsidR="001E3350">
        <w:t xml:space="preserve"> </w:t>
      </w:r>
    </w:p>
    <w:p w14:paraId="43771ED9" w14:textId="77777777" w:rsidR="00064605" w:rsidRDefault="00F75D6C" w:rsidP="00680FBC">
      <w:pPr>
        <w:pStyle w:val="Caption"/>
        <w:numPr>
          <w:ilvl w:val="0"/>
          <w:numId w:val="45"/>
        </w:numPr>
        <w:ind w:left="0"/>
        <w:rPr>
          <w:rStyle w:val="IntenseReference"/>
          <w:rFonts w:eastAsia="SimSun"/>
        </w:rPr>
      </w:pPr>
      <w:bookmarkStart w:id="542" w:name="_Toc437424335"/>
      <w:bookmarkStart w:id="543" w:name="_Toc437432387"/>
      <w:r w:rsidRPr="002A0417">
        <w:rPr>
          <w:rStyle w:val="IntenseReference"/>
          <w:rFonts w:eastAsia="SimSun"/>
        </w:rPr>
        <w:t>water quality index, b) chlorophyll a,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w:t>
      </w:r>
      <w:r w:rsidR="00A4781F" w:rsidRPr="002A0417">
        <w:rPr>
          <w:rStyle w:val="IntenseReference"/>
          <w:rFonts w:eastAsia="SimSun"/>
        </w:rPr>
        <w:t xml:space="preserve">d as described in </w:t>
      </w:r>
      <w:r w:rsidR="00BC6B0B" w:rsidRPr="002A0417">
        <w:rPr>
          <w:rStyle w:val="IntenseReference"/>
          <w:rFonts w:eastAsia="SimSun"/>
        </w:rPr>
        <w:t xml:space="preserve">Lønborg </w:t>
      </w:r>
      <w:r w:rsidR="00BC6B0B" w:rsidRPr="00051C52">
        <w:rPr>
          <w:rStyle w:val="IntenseReference"/>
          <w:rFonts w:eastAsia="SimSun"/>
          <w:i/>
        </w:rPr>
        <w:t>et al.</w:t>
      </w:r>
      <w:r w:rsidR="00BC6B0B" w:rsidRPr="002A0417">
        <w:rPr>
          <w:rStyle w:val="IntenseReference"/>
          <w:rFonts w:eastAsia="SimSun"/>
        </w:rPr>
        <w:t xml:space="preserve"> (</w:t>
      </w:r>
      <w:r w:rsidR="00BC6B0B">
        <w:rPr>
          <w:rStyle w:val="IntenseReference"/>
          <w:rFonts w:eastAsia="SimSun"/>
        </w:rPr>
        <w:t>2015</w:t>
      </w:r>
      <w:r w:rsidR="00BC6B0B" w:rsidRPr="002A0417">
        <w:rPr>
          <w:rStyle w:val="IntenseReference"/>
          <w:rFonts w:eastAsia="SimSun"/>
        </w:rPr>
        <w:t>)</w:t>
      </w:r>
      <w:r w:rsidR="00BC6B0B">
        <w:rPr>
          <w:rStyle w:val="IntenseReference"/>
          <w:rFonts w:eastAsia="SimSun"/>
        </w:rPr>
        <w:t xml:space="preserve">. </w:t>
      </w:r>
      <w:r w:rsidRPr="002A0417">
        <w:rPr>
          <w:rStyle w:val="IntenseReference"/>
          <w:rFonts w:eastAsia="SimSun"/>
        </w:rPr>
        <w:t>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w:t>
      </w:r>
      <w:r w:rsidR="00396544" w:rsidRPr="002A0417">
        <w:rPr>
          <w:rStyle w:val="IntenseReference"/>
          <w:rFonts w:eastAsia="SimSun"/>
        </w:rPr>
        <w:t xml:space="preserve"> (GBRMPA 2010)</w:t>
      </w:r>
      <w:r w:rsidRPr="002A0417">
        <w:rPr>
          <w:rStyle w:val="IntenseReference"/>
          <w:rFonts w:eastAsia="SimSun"/>
        </w:rPr>
        <w:t xml:space="preserve">. Extract from </w:t>
      </w:r>
      <w:r w:rsidR="00855728" w:rsidRPr="002A0417">
        <w:rPr>
          <w:rStyle w:val="IntenseReference"/>
          <w:rFonts w:eastAsia="SimSun"/>
        </w:rPr>
        <w:t xml:space="preserve">Lønborg </w:t>
      </w:r>
      <w:r w:rsidR="00855728" w:rsidRPr="00051C52">
        <w:rPr>
          <w:rStyle w:val="IntenseReference"/>
          <w:rFonts w:eastAsia="SimSun"/>
          <w:i/>
        </w:rPr>
        <w:t>et al</w:t>
      </w:r>
      <w:r w:rsidR="00051C52" w:rsidRPr="00051C52">
        <w:rPr>
          <w:rStyle w:val="IntenseReference"/>
          <w:rFonts w:eastAsia="SimSun"/>
          <w:i/>
        </w:rPr>
        <w:t>.</w:t>
      </w:r>
      <w:r w:rsidR="00855728" w:rsidRPr="002A0417">
        <w:rPr>
          <w:rStyle w:val="IntenseReference"/>
          <w:rFonts w:eastAsia="SimSun"/>
        </w:rPr>
        <w:t xml:space="preserve"> (</w:t>
      </w:r>
      <w:r w:rsidR="008E6F11">
        <w:rPr>
          <w:rStyle w:val="IntenseReference"/>
          <w:rFonts w:eastAsia="SimSun"/>
        </w:rPr>
        <w:t>2015</w:t>
      </w:r>
      <w:r w:rsidR="00855728" w:rsidRPr="002A0417">
        <w:rPr>
          <w:rStyle w:val="IntenseReference"/>
          <w:rFonts w:eastAsia="SimSun"/>
        </w:rPr>
        <w:t>)</w:t>
      </w:r>
      <w:bookmarkEnd w:id="542"/>
      <w:bookmarkEnd w:id="543"/>
      <w:r w:rsidR="00BC6B0B">
        <w:rPr>
          <w:rStyle w:val="IntenseReference"/>
          <w:rFonts w:eastAsia="SimSun"/>
        </w:rPr>
        <w:t>.</w:t>
      </w:r>
    </w:p>
    <w:p w14:paraId="4BE7559B" w14:textId="77777777" w:rsidR="00E56CF1" w:rsidRPr="00E56CF1" w:rsidRDefault="00E56CF1" w:rsidP="00E56CF1">
      <w:pPr>
        <w:rPr>
          <w:rFonts w:eastAsia="SimSun"/>
        </w:rPr>
      </w:pPr>
    </w:p>
    <w:p w14:paraId="04CBEEEF" w14:textId="77777777" w:rsidR="001778B8" w:rsidRDefault="00782894" w:rsidP="001778B8">
      <w:r>
        <w:rPr>
          <w:noProof/>
          <w:lang w:val="en-AU" w:eastAsia="en-AU"/>
        </w:rPr>
        <w:lastRenderedPageBreak/>
        <w:drawing>
          <wp:inline distT="0" distB="0" distL="0" distR="0" wp14:anchorId="5B3DB4E9" wp14:editId="6952469A">
            <wp:extent cx="6120765" cy="6120765"/>
            <wp:effectExtent l="0" t="0" r="0" b="0"/>
            <wp:docPr id="254" name="Picture 254" descr="Figure A1 11: Temporal trends in water quality: Johnstone Russell-Mulgrave sub-region. a) water quality index, b) chlorophyll a,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A1.1.1 Regional Water Quality Index 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et al. (2015)" title="Figure A1 11: Temporal trends in water quality: Johnstone Russell-Mulgrav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Health_WQ_niskin.all.reef.av_Johnstone_Russell_Mulgrave.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Start w:id="544" w:name="_Toc437423868"/>
      <w:bookmarkStart w:id="545" w:name="_Toc437424047"/>
      <w:bookmarkStart w:id="546" w:name="_Toc437424336"/>
    </w:p>
    <w:p w14:paraId="1E99EF37" w14:textId="77777777" w:rsidR="006E3C16" w:rsidRPr="006E3C16" w:rsidRDefault="00680FBC" w:rsidP="00680FBC">
      <w:pPr>
        <w:pStyle w:val="Caption"/>
        <w:rPr>
          <w:vanish/>
        </w:rPr>
      </w:pPr>
      <w:bookmarkStart w:id="547" w:name="_Ref460485190"/>
      <w:bookmarkStart w:id="548" w:name="_Toc453243778"/>
      <w:bookmarkStart w:id="549" w:name="_Toc460491408"/>
      <w:r>
        <w:t xml:space="preserve">Figure </w:t>
      </w:r>
      <w:proofErr w:type="gramStart"/>
      <w:r>
        <w:t>A</w:t>
      </w:r>
      <w:proofErr w:type="gramEnd"/>
      <w:r>
        <w:t xml:space="preserve"> </w:t>
      </w:r>
      <w:r>
        <w:fldChar w:fldCharType="begin"/>
      </w:r>
      <w:r>
        <w:instrText xml:space="preserve"> SEQ Figure_A \* ARABIC </w:instrText>
      </w:r>
      <w:r>
        <w:fldChar w:fldCharType="separate"/>
      </w:r>
      <w:r w:rsidR="00B61881">
        <w:rPr>
          <w:noProof/>
        </w:rPr>
        <w:t>11</w:t>
      </w:r>
      <w:r>
        <w:fldChar w:fldCharType="end"/>
      </w:r>
      <w:bookmarkEnd w:id="547"/>
      <w:r w:rsidR="006E3C16">
        <w:t xml:space="preserve">: </w:t>
      </w:r>
      <w:r w:rsidR="00F75D6C" w:rsidRPr="00F75D6C">
        <w:t>Temporal trends in water quality</w:t>
      </w:r>
      <w:r w:rsidR="00B764F0">
        <w:t xml:space="preserve">: </w:t>
      </w:r>
      <w:r w:rsidR="00F75D6C">
        <w:t>Johnstone Russell-Mulgrave sub-</w:t>
      </w:r>
      <w:r w:rsidR="00F75D6C" w:rsidRPr="00F75D6C">
        <w:t>region</w:t>
      </w:r>
      <w:bookmarkEnd w:id="548"/>
      <w:bookmarkEnd w:id="549"/>
    </w:p>
    <w:p w14:paraId="127AC0CA" w14:textId="77777777" w:rsidR="00F75D6C" w:rsidRPr="002A0417" w:rsidRDefault="00F75D6C" w:rsidP="00E56CF1">
      <w:pPr>
        <w:pStyle w:val="Caption"/>
        <w:rPr>
          <w:rStyle w:val="IntenseReference"/>
          <w:rFonts w:eastAsia="SimSun"/>
        </w:rPr>
      </w:pPr>
      <w:r w:rsidRPr="00DB7D45">
        <w:rPr>
          <w:rStyle w:val="IntenseReference"/>
          <w:rFonts w:eastAsia="SimSun"/>
        </w:rPr>
        <w:t>.</w:t>
      </w:r>
      <w:bookmarkEnd w:id="544"/>
      <w:bookmarkEnd w:id="545"/>
      <w:bookmarkEnd w:id="546"/>
      <w:r w:rsidRPr="00DB7D45">
        <w:rPr>
          <w:rStyle w:val="IntenseReference"/>
          <w:rFonts w:eastAsia="SimSun"/>
        </w:rPr>
        <w:t xml:space="preserve"> </w:t>
      </w:r>
      <w:bookmarkStart w:id="550" w:name="_Toc437424337"/>
      <w:r w:rsidRPr="002A0417">
        <w:rPr>
          <w:rStyle w:val="IntenseReference"/>
          <w:rFonts w:eastAsia="SimSun"/>
        </w:rPr>
        <w:t xml:space="preserve">a) water quality index, b) chlorophyll a, c) total suspended solids, d) nitrate/nitrite, e) secchi depth, f) particulate nitrogen, g) turbidity, h) particulate phosphorus, i) particulate organic carbon and j) dissolved organic carbon. </w:t>
      </w:r>
      <w:proofErr w:type="gramStart"/>
      <w:r w:rsidRPr="002A0417">
        <w:rPr>
          <w:rStyle w:val="IntenseReference"/>
          <w:rFonts w:eastAsia="SimSun"/>
        </w:rPr>
        <w:t>Water quality index colour coding: dark green- ‘very good’; light green-‘good’; yellow – ‘moderate; orange – ‘poor’; red – ‘very poor’.</w:t>
      </w:r>
      <w:proofErr w:type="gramEnd"/>
      <w:r w:rsidRPr="002A0417">
        <w:rPr>
          <w:rStyle w:val="IntenseReference"/>
          <w:rFonts w:eastAsia="SimSun"/>
        </w:rPr>
        <w:t xml:space="preserve"> The water quality index is the aggregate of variables plotted in b - h and calculated as described in </w:t>
      </w:r>
      <w:r w:rsidR="00BC6B0B" w:rsidRPr="002A0417">
        <w:rPr>
          <w:rStyle w:val="IntenseReference"/>
          <w:rFonts w:eastAsia="SimSun"/>
        </w:rPr>
        <w:t xml:space="preserve">Lønborg </w:t>
      </w:r>
      <w:r w:rsidR="00BC6B0B" w:rsidRPr="00890762">
        <w:rPr>
          <w:rStyle w:val="IntenseReference"/>
          <w:rFonts w:eastAsia="SimSun"/>
          <w:i/>
        </w:rPr>
        <w:t>et al.</w:t>
      </w:r>
      <w:r w:rsidR="00BC6B0B" w:rsidRPr="002A0417">
        <w:rPr>
          <w:rStyle w:val="IntenseReference"/>
          <w:rFonts w:eastAsia="SimSun"/>
        </w:rPr>
        <w:t xml:space="preserve"> (</w:t>
      </w:r>
      <w:r w:rsidR="00BC6B0B">
        <w:rPr>
          <w:rStyle w:val="IntenseReference"/>
          <w:rFonts w:eastAsia="SimSun"/>
        </w:rPr>
        <w:t>2015</w:t>
      </w:r>
      <w:r w:rsidR="00BC6B0B" w:rsidRPr="002A0417">
        <w:rPr>
          <w:rStyle w:val="IntenseReference"/>
          <w:rFonts w:eastAsia="SimSun"/>
        </w:rPr>
        <w:t>)</w:t>
      </w:r>
      <w:r w:rsidR="00BC6B0B">
        <w:rPr>
          <w:rStyle w:val="IntenseReference"/>
          <w:rFonts w:eastAsia="SimSun"/>
        </w:rPr>
        <w:t>.</w:t>
      </w:r>
      <w:r w:rsidRPr="002A0417">
        <w:rPr>
          <w:rStyle w:val="IntenseReference"/>
          <w:rFonts w:eastAsia="SimSun"/>
        </w:rPr>
        <w:t>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w:t>
      </w:r>
      <w:r w:rsidR="00782894" w:rsidRPr="002A0417">
        <w:rPr>
          <w:rStyle w:val="IntenseReference"/>
          <w:rFonts w:eastAsia="SimSun"/>
        </w:rPr>
        <w:t xml:space="preserve"> (GBRMPA 2010)</w:t>
      </w:r>
      <w:r w:rsidRPr="002A0417">
        <w:rPr>
          <w:rStyle w:val="IntenseReference"/>
          <w:rFonts w:eastAsia="SimSun"/>
        </w:rPr>
        <w:t xml:space="preserve">. Extract from </w:t>
      </w:r>
      <w:r w:rsidR="00855728" w:rsidRPr="002A0417">
        <w:rPr>
          <w:rStyle w:val="IntenseReference"/>
          <w:rFonts w:eastAsia="SimSun"/>
        </w:rPr>
        <w:t xml:space="preserve">Lønborg </w:t>
      </w:r>
      <w:r w:rsidR="00855728" w:rsidRPr="00890762">
        <w:rPr>
          <w:rStyle w:val="IntenseReference"/>
          <w:rFonts w:eastAsia="SimSun"/>
          <w:i/>
        </w:rPr>
        <w:t>et al</w:t>
      </w:r>
      <w:r w:rsidR="00DB7D45" w:rsidRPr="00890762">
        <w:rPr>
          <w:rStyle w:val="IntenseReference"/>
          <w:rFonts w:eastAsia="SimSun"/>
          <w:i/>
        </w:rPr>
        <w:t>.</w:t>
      </w:r>
      <w:r w:rsidR="00855728" w:rsidRPr="002A0417">
        <w:rPr>
          <w:rStyle w:val="IntenseReference"/>
          <w:rFonts w:eastAsia="SimSun"/>
        </w:rPr>
        <w:t xml:space="preserve"> (</w:t>
      </w:r>
      <w:r w:rsidR="008E6F11">
        <w:rPr>
          <w:rStyle w:val="IntenseReference"/>
          <w:rFonts w:eastAsia="SimSun"/>
        </w:rPr>
        <w:t>2015</w:t>
      </w:r>
      <w:r w:rsidR="00855728" w:rsidRPr="002A0417">
        <w:rPr>
          <w:rStyle w:val="IntenseReference"/>
          <w:rFonts w:eastAsia="SimSun"/>
        </w:rPr>
        <w:t>)</w:t>
      </w:r>
      <w:bookmarkEnd w:id="550"/>
      <w:r w:rsidR="00BC6B0B">
        <w:rPr>
          <w:rStyle w:val="IntenseReference"/>
          <w:rFonts w:eastAsia="SimSun"/>
        </w:rPr>
        <w:t>.</w:t>
      </w:r>
    </w:p>
    <w:p w14:paraId="0A42B484" w14:textId="77777777" w:rsidR="00EB5372" w:rsidRDefault="00EB5372">
      <w:pPr>
        <w:jc w:val="left"/>
      </w:pPr>
      <w:r>
        <w:br w:type="page"/>
      </w:r>
    </w:p>
    <w:p w14:paraId="3C13E918" w14:textId="77777777" w:rsidR="002A0417" w:rsidRDefault="00782894" w:rsidP="002A0417">
      <w:pPr>
        <w:keepNext/>
      </w:pPr>
      <w:r>
        <w:rPr>
          <w:noProof/>
          <w:lang w:val="en-AU" w:eastAsia="en-AU"/>
        </w:rPr>
        <w:lastRenderedPageBreak/>
        <w:drawing>
          <wp:inline distT="0" distB="0" distL="0" distR="0" wp14:anchorId="146B7ABC" wp14:editId="7A502A47">
            <wp:extent cx="6120765" cy="6120765"/>
            <wp:effectExtent l="0" t="0" r="0" b="0"/>
            <wp:docPr id="255" name="Picture 255" descr="Figure A1 12: Temporal trends in water quality: Herbert Tully sub-region. a) water quality index, b) chlorophyll a,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A1.1.1 Regional Water Quality Index 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et al. (2015)" title="Figure A1 12: Temporal trends in water quality: Herbert Tully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Health_WQ_niskin.all.reef.av_Tully_Herbert.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62E21FF3" w14:textId="77777777" w:rsidR="006E3C16" w:rsidRPr="006E3C16" w:rsidRDefault="00680FBC" w:rsidP="00680FBC">
      <w:pPr>
        <w:pStyle w:val="Caption"/>
        <w:rPr>
          <w:vanish/>
        </w:rPr>
      </w:pPr>
      <w:bookmarkStart w:id="551" w:name="_Ref460485539"/>
      <w:bookmarkStart w:id="552" w:name="_Toc437423869"/>
      <w:bookmarkStart w:id="553" w:name="_Toc437424048"/>
      <w:bookmarkStart w:id="554" w:name="_Toc437424338"/>
      <w:bookmarkStart w:id="555" w:name="_Toc453243779"/>
      <w:bookmarkStart w:id="556" w:name="_Ref460485523"/>
      <w:bookmarkStart w:id="557" w:name="_Toc460491409"/>
      <w:r>
        <w:t xml:space="preserve">Figure A </w:t>
      </w:r>
      <w:r>
        <w:fldChar w:fldCharType="begin"/>
      </w:r>
      <w:r>
        <w:instrText xml:space="preserve"> SEQ Figure_A \* ARABIC </w:instrText>
      </w:r>
      <w:r>
        <w:fldChar w:fldCharType="separate"/>
      </w:r>
      <w:r w:rsidR="00B61881">
        <w:rPr>
          <w:noProof/>
        </w:rPr>
        <w:t>12</w:t>
      </w:r>
      <w:r>
        <w:fldChar w:fldCharType="end"/>
      </w:r>
      <w:bookmarkEnd w:id="551"/>
      <w:r w:rsidR="006E3C16">
        <w:t xml:space="preserve">: </w:t>
      </w:r>
      <w:r w:rsidR="008E0B4F" w:rsidRPr="00F75D6C">
        <w:t>Temporal trends in water quality</w:t>
      </w:r>
      <w:r w:rsidR="00B764F0">
        <w:t>:</w:t>
      </w:r>
      <w:r w:rsidR="008E0B4F" w:rsidRPr="00F75D6C">
        <w:t xml:space="preserve"> </w:t>
      </w:r>
      <w:r w:rsidR="008E0B4F">
        <w:t>Herbert Tully sub-</w:t>
      </w:r>
      <w:r w:rsidR="008E0B4F" w:rsidRPr="00F75D6C">
        <w:t>region</w:t>
      </w:r>
      <w:r w:rsidR="008E0B4F">
        <w:t>.</w:t>
      </w:r>
      <w:bookmarkEnd w:id="552"/>
      <w:bookmarkEnd w:id="553"/>
      <w:bookmarkEnd w:id="554"/>
      <w:bookmarkEnd w:id="555"/>
      <w:bookmarkEnd w:id="556"/>
      <w:bookmarkEnd w:id="557"/>
    </w:p>
    <w:p w14:paraId="17F08C24" w14:textId="77777777" w:rsidR="00EB5372" w:rsidRDefault="00C22707" w:rsidP="00E56CF1">
      <w:pPr>
        <w:pStyle w:val="Caption"/>
        <w:rPr>
          <w:rStyle w:val="IntenseReference"/>
          <w:rFonts w:eastAsia="SimSun"/>
        </w:rPr>
      </w:pPr>
      <w:r>
        <w:t xml:space="preserve"> </w:t>
      </w:r>
      <w:bookmarkStart w:id="558" w:name="_Toc437424339"/>
      <w:r w:rsidR="008E0B4F" w:rsidRPr="002A0417">
        <w:rPr>
          <w:rStyle w:val="IntenseReference"/>
          <w:rFonts w:eastAsia="SimSun"/>
        </w:rPr>
        <w:t xml:space="preserve">a) water quality index, b) chlorophyll a, c) total suspended solids, d) nitrate/nitrite, e) secchi depth, f) particulate nitrogen, g) turbidity, h) particulate phosphorus, i) particulate organic carbon and j) dissolved organic carbon. </w:t>
      </w:r>
      <w:proofErr w:type="gramStart"/>
      <w:r w:rsidR="008E0B4F" w:rsidRPr="002A0417">
        <w:rPr>
          <w:rStyle w:val="IntenseReference"/>
          <w:rFonts w:eastAsia="SimSun"/>
        </w:rPr>
        <w:t>Water quality index colour coding: dark green- ‘very good’; light green-‘good’; yellow – ‘moderate; orange – ‘poor’; red – ‘very poor’.</w:t>
      </w:r>
      <w:proofErr w:type="gramEnd"/>
      <w:r w:rsidR="008E0B4F" w:rsidRPr="002A0417">
        <w:rPr>
          <w:rStyle w:val="IntenseReference"/>
          <w:rFonts w:eastAsia="SimSun"/>
        </w:rPr>
        <w:t xml:space="preserve"> The water quality index is the aggregate of variables plotted in b - h and calculated as described in </w:t>
      </w:r>
      <w:r w:rsidR="006E3264" w:rsidRPr="002A0417">
        <w:rPr>
          <w:rStyle w:val="IntenseReference"/>
          <w:rFonts w:eastAsia="SimSun"/>
        </w:rPr>
        <w:t xml:space="preserve">Lønborg </w:t>
      </w:r>
      <w:r w:rsidR="006E3264" w:rsidRPr="00890762">
        <w:rPr>
          <w:rStyle w:val="IntenseReference"/>
          <w:rFonts w:eastAsia="SimSun"/>
          <w:i/>
        </w:rPr>
        <w:t>et al.</w:t>
      </w:r>
      <w:r w:rsidR="006E3264" w:rsidRPr="002A0417">
        <w:rPr>
          <w:rStyle w:val="IntenseReference"/>
          <w:rFonts w:eastAsia="SimSun"/>
        </w:rPr>
        <w:t xml:space="preserve"> (</w:t>
      </w:r>
      <w:r w:rsidR="006E3264">
        <w:rPr>
          <w:rStyle w:val="IntenseReference"/>
          <w:rFonts w:eastAsia="SimSun"/>
        </w:rPr>
        <w:t>2015</w:t>
      </w:r>
      <w:r w:rsidR="006E3264" w:rsidRPr="002A0417">
        <w:rPr>
          <w:rStyle w:val="IntenseReference"/>
          <w:rFonts w:eastAsia="SimSun"/>
        </w:rPr>
        <w:t>)</w:t>
      </w:r>
      <w:r w:rsidR="006E3264">
        <w:rPr>
          <w:rStyle w:val="IntenseReference"/>
          <w:rFonts w:eastAsia="SimSun"/>
        </w:rPr>
        <w:t>.</w:t>
      </w:r>
      <w:r w:rsidR="008E0B4F" w:rsidRPr="002A0417">
        <w:rPr>
          <w:rStyle w:val="IntenseReference"/>
          <w:rFonts w:eastAsia="SimSun"/>
        </w:rPr>
        <w:t xml:space="preserve">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w:t>
      </w:r>
      <w:r w:rsidR="008E0B4F" w:rsidRPr="00051C52">
        <w:rPr>
          <w:rStyle w:val="IntenseReference"/>
          <w:rFonts w:eastAsia="SimSun"/>
          <w:i/>
        </w:rPr>
        <w:t>et al.</w:t>
      </w:r>
      <w:r w:rsidR="008E0B4F" w:rsidRPr="002A0417">
        <w:rPr>
          <w:rStyle w:val="IntenseReference"/>
          <w:rFonts w:eastAsia="SimSun"/>
        </w:rPr>
        <w:t xml:space="preserve"> (</w:t>
      </w:r>
      <w:r w:rsidR="008E6F11">
        <w:rPr>
          <w:rStyle w:val="IntenseReference"/>
          <w:rFonts w:eastAsia="SimSun"/>
        </w:rPr>
        <w:t>2015</w:t>
      </w:r>
      <w:r w:rsidR="008E0B4F" w:rsidRPr="002A0417">
        <w:rPr>
          <w:rStyle w:val="IntenseReference"/>
          <w:rFonts w:eastAsia="SimSun"/>
        </w:rPr>
        <w:t>)</w:t>
      </w:r>
      <w:bookmarkEnd w:id="558"/>
      <w:r w:rsidR="006E3264">
        <w:rPr>
          <w:rStyle w:val="IntenseReference"/>
          <w:rFonts w:eastAsia="SimSun"/>
        </w:rPr>
        <w:t>.</w:t>
      </w:r>
    </w:p>
    <w:p w14:paraId="023CF2E9" w14:textId="77777777" w:rsidR="00EB5372" w:rsidRDefault="00EB5372">
      <w:pPr>
        <w:jc w:val="left"/>
        <w:rPr>
          <w:rStyle w:val="IntenseReference"/>
          <w:rFonts w:eastAsia="SimSun"/>
        </w:rPr>
      </w:pPr>
      <w:r>
        <w:rPr>
          <w:rStyle w:val="IntenseReference"/>
          <w:rFonts w:eastAsia="SimSun"/>
        </w:rPr>
        <w:br w:type="page"/>
      </w:r>
    </w:p>
    <w:p w14:paraId="773F801A" w14:textId="77777777" w:rsidR="008E0B4F" w:rsidRPr="002A0417" w:rsidRDefault="008E0B4F" w:rsidP="00E56CF1">
      <w:pPr>
        <w:pStyle w:val="Caption"/>
        <w:rPr>
          <w:rStyle w:val="IntenseReference"/>
          <w:rFonts w:eastAsia="SimSun"/>
        </w:rPr>
      </w:pPr>
    </w:p>
    <w:p w14:paraId="5A224CC6" w14:textId="77777777" w:rsidR="001778B8" w:rsidRDefault="00782894" w:rsidP="001778B8">
      <w:r>
        <w:rPr>
          <w:noProof/>
          <w:lang w:val="en-AU" w:eastAsia="en-AU"/>
        </w:rPr>
        <w:drawing>
          <wp:inline distT="0" distB="0" distL="0" distR="0" wp14:anchorId="7072D788" wp14:editId="00C3726C">
            <wp:extent cx="6120765" cy="6120765"/>
            <wp:effectExtent l="0" t="0" r="0" b="0"/>
            <wp:docPr id="32" name="Picture 32" descr="Figure A1 13: Temporal trends in water quality: Burdekin region. a) water quality index, b) chlorophyll a,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A1.1.1 Regional Water Quality Index 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et al. (2015)" title="Figure A1 13: Temporal trends in water quality: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Health_WQ_niskin.all.reef.av_Burdekin.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Start w:id="559" w:name="_Toc437423870"/>
      <w:bookmarkStart w:id="560" w:name="_Toc437424049"/>
      <w:bookmarkStart w:id="561" w:name="_Toc437424340"/>
    </w:p>
    <w:p w14:paraId="70E824EA" w14:textId="77777777" w:rsidR="001778B8" w:rsidRDefault="001778B8" w:rsidP="00E56CF1">
      <w:pPr>
        <w:pStyle w:val="Caption"/>
      </w:pPr>
    </w:p>
    <w:p w14:paraId="14DD0ECF" w14:textId="77777777" w:rsidR="006E3C16" w:rsidRPr="006E3C16" w:rsidRDefault="00680FBC" w:rsidP="00680FBC">
      <w:pPr>
        <w:pStyle w:val="Caption"/>
        <w:rPr>
          <w:vanish/>
        </w:rPr>
      </w:pPr>
      <w:bookmarkStart w:id="562" w:name="_Ref460486266"/>
      <w:bookmarkStart w:id="563" w:name="_Toc453243780"/>
      <w:bookmarkStart w:id="564" w:name="_Toc460491410"/>
      <w:r>
        <w:t xml:space="preserve">Figure A </w:t>
      </w:r>
      <w:r>
        <w:fldChar w:fldCharType="begin"/>
      </w:r>
      <w:r>
        <w:instrText xml:space="preserve"> SEQ Figure_A \* ARABIC </w:instrText>
      </w:r>
      <w:r>
        <w:fldChar w:fldCharType="separate"/>
      </w:r>
      <w:r w:rsidR="00B61881">
        <w:rPr>
          <w:noProof/>
        </w:rPr>
        <w:t>13</w:t>
      </w:r>
      <w:r>
        <w:fldChar w:fldCharType="end"/>
      </w:r>
      <w:bookmarkEnd w:id="562"/>
      <w:r w:rsidR="006E3C16">
        <w:t>:</w:t>
      </w:r>
      <w:r w:rsidR="002A0417">
        <w:t xml:space="preserve"> </w:t>
      </w:r>
      <w:r w:rsidR="008E0B4F" w:rsidRPr="00F75D6C">
        <w:t>Temporal trends in water quality</w:t>
      </w:r>
      <w:r w:rsidR="00B764F0">
        <w:t>:</w:t>
      </w:r>
      <w:r w:rsidR="008E0B4F" w:rsidRPr="008E0B4F">
        <w:t xml:space="preserve"> </w:t>
      </w:r>
      <w:r w:rsidR="008E0B4F">
        <w:t>Burdekin</w:t>
      </w:r>
      <w:r w:rsidR="008E0B4F" w:rsidRPr="00F75D6C">
        <w:t xml:space="preserve"> region.</w:t>
      </w:r>
      <w:bookmarkEnd w:id="559"/>
      <w:bookmarkEnd w:id="560"/>
      <w:bookmarkEnd w:id="561"/>
      <w:bookmarkEnd w:id="563"/>
      <w:bookmarkEnd w:id="564"/>
    </w:p>
    <w:p w14:paraId="7F8DE0F4" w14:textId="77777777" w:rsidR="00EB5372" w:rsidRDefault="008E0B4F" w:rsidP="00E56CF1">
      <w:pPr>
        <w:pStyle w:val="Caption"/>
        <w:rPr>
          <w:rStyle w:val="IntenseReference"/>
          <w:rFonts w:eastAsia="SimSun"/>
        </w:rPr>
      </w:pPr>
      <w:r w:rsidRPr="00DB7D45">
        <w:rPr>
          <w:rStyle w:val="IntenseReference"/>
          <w:rFonts w:eastAsia="SimSun"/>
        </w:rPr>
        <w:t xml:space="preserve"> </w:t>
      </w:r>
      <w:bookmarkStart w:id="565" w:name="_Toc437424341"/>
      <w:r w:rsidRPr="002A0417">
        <w:rPr>
          <w:rStyle w:val="IntenseReference"/>
          <w:rFonts w:eastAsia="SimSun"/>
        </w:rPr>
        <w:t xml:space="preserve">a) water quality index, b) chlorophyll a, c) total suspended solids, d) nitrate/nitrite, e) secchi depth, f) particulate nitrogen, g) turbidity, h) particulate phosphorus, i) particulate organic carbon and j) dissolved organic carbon. </w:t>
      </w:r>
      <w:proofErr w:type="gramStart"/>
      <w:r w:rsidRPr="002A0417">
        <w:rPr>
          <w:rStyle w:val="IntenseReference"/>
          <w:rFonts w:eastAsia="SimSun"/>
        </w:rPr>
        <w:t>Water quality index colour coding: dark green- ‘very good’; light green-‘good’; yellow – ‘moderate; orange – ‘poor’; red – ‘very poor’.</w:t>
      </w:r>
      <w:proofErr w:type="gramEnd"/>
      <w:r w:rsidRPr="002A0417">
        <w:rPr>
          <w:rStyle w:val="IntenseReference"/>
          <w:rFonts w:eastAsia="SimSun"/>
        </w:rPr>
        <w:t xml:space="preserve"> The water quality index is the aggregate of variables plotted in b - h and calculated as described in </w:t>
      </w:r>
      <w:r w:rsidR="006E3264" w:rsidRPr="002A0417">
        <w:rPr>
          <w:rStyle w:val="IntenseReference"/>
          <w:rFonts w:eastAsia="SimSun"/>
        </w:rPr>
        <w:t xml:space="preserve">Lønborg </w:t>
      </w:r>
      <w:r w:rsidR="006E3264" w:rsidRPr="00890762">
        <w:rPr>
          <w:rStyle w:val="IntenseReference"/>
          <w:rFonts w:eastAsia="SimSun"/>
          <w:i/>
        </w:rPr>
        <w:t>et al.</w:t>
      </w:r>
      <w:r w:rsidR="006E3264" w:rsidRPr="002A0417">
        <w:rPr>
          <w:rStyle w:val="IntenseReference"/>
          <w:rFonts w:eastAsia="SimSun"/>
        </w:rPr>
        <w:t xml:space="preserve"> (</w:t>
      </w:r>
      <w:r w:rsidR="006E3264">
        <w:rPr>
          <w:rStyle w:val="IntenseReference"/>
          <w:rFonts w:eastAsia="SimSun"/>
        </w:rPr>
        <w:t>2015</w:t>
      </w:r>
      <w:r w:rsidR="006E3264" w:rsidRPr="002A0417">
        <w:rPr>
          <w:rStyle w:val="IntenseReference"/>
          <w:rFonts w:eastAsia="SimSun"/>
        </w:rPr>
        <w:t>)</w:t>
      </w:r>
      <w:r w:rsidR="006E3264">
        <w:rPr>
          <w:rStyle w:val="IntenseReference"/>
          <w:rFonts w:eastAsia="SimSun"/>
        </w:rPr>
        <w:t xml:space="preserve">. </w:t>
      </w:r>
      <w:r w:rsidRPr="002A0417">
        <w:rPr>
          <w:rStyle w:val="IntenseReference"/>
          <w:rFonts w:eastAsia="SimSun"/>
        </w:rPr>
        <w:t xml:space="preserve">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w:t>
      </w:r>
      <w:r w:rsidRPr="00051C52">
        <w:rPr>
          <w:rStyle w:val="IntenseReference"/>
          <w:rFonts w:eastAsia="SimSun"/>
          <w:i/>
        </w:rPr>
        <w:t>et al.</w:t>
      </w:r>
      <w:r w:rsidRPr="002A0417">
        <w:rPr>
          <w:rStyle w:val="IntenseReference"/>
          <w:rFonts w:eastAsia="SimSun"/>
        </w:rPr>
        <w:t xml:space="preserve"> (</w:t>
      </w:r>
      <w:r w:rsidR="008E6F11">
        <w:rPr>
          <w:rStyle w:val="IntenseReference"/>
          <w:rFonts w:eastAsia="SimSun"/>
        </w:rPr>
        <w:t>2015</w:t>
      </w:r>
      <w:r w:rsidRPr="002A0417">
        <w:rPr>
          <w:rStyle w:val="IntenseReference"/>
          <w:rFonts w:eastAsia="SimSun"/>
        </w:rPr>
        <w:t>)</w:t>
      </w:r>
      <w:bookmarkEnd w:id="565"/>
      <w:r w:rsidR="006E3264">
        <w:rPr>
          <w:rStyle w:val="IntenseReference"/>
          <w:rFonts w:eastAsia="SimSun"/>
        </w:rPr>
        <w:t>.</w:t>
      </w:r>
    </w:p>
    <w:p w14:paraId="00FBF4F8" w14:textId="77777777" w:rsidR="00EB5372" w:rsidRDefault="00EB5372">
      <w:pPr>
        <w:jc w:val="left"/>
        <w:rPr>
          <w:rStyle w:val="IntenseReference"/>
          <w:rFonts w:eastAsia="SimSun"/>
        </w:rPr>
      </w:pPr>
      <w:r>
        <w:rPr>
          <w:rStyle w:val="IntenseReference"/>
          <w:rFonts w:eastAsia="SimSun"/>
        </w:rPr>
        <w:br w:type="page"/>
      </w:r>
    </w:p>
    <w:p w14:paraId="5CF1792D" w14:textId="77777777" w:rsidR="008E0B4F" w:rsidRPr="002A0417" w:rsidRDefault="008E0B4F" w:rsidP="00E56CF1">
      <w:pPr>
        <w:pStyle w:val="Caption"/>
        <w:rPr>
          <w:rStyle w:val="IntenseReference"/>
          <w:rFonts w:eastAsia="SimSun"/>
        </w:rPr>
      </w:pPr>
    </w:p>
    <w:p w14:paraId="36C29E33" w14:textId="77777777" w:rsidR="002A0417" w:rsidRDefault="00782894" w:rsidP="001778B8">
      <w:r>
        <w:rPr>
          <w:noProof/>
          <w:lang w:val="en-AU" w:eastAsia="en-AU"/>
        </w:rPr>
        <w:drawing>
          <wp:inline distT="0" distB="0" distL="0" distR="0" wp14:anchorId="65095001" wp14:editId="314F2E1A">
            <wp:extent cx="6120765" cy="6120765"/>
            <wp:effectExtent l="0" t="0" r="0" b="0"/>
            <wp:docPr id="33" name="Picture 33" descr="Figure A1 14: Temporal trends in water quality: Mackay Whitsundays region. a) water quality index, b) chlorophyll a,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A1.1.1 Regional Water Quality Index 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et al. (2015)" title="Figure A1 14: Temporal trends in water quality: Mackay Whitsunday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Health_WQ_niskin.all.reef.av_Mackay_Whitsunday.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633BCA37" w14:textId="77777777" w:rsidR="006E3C16" w:rsidRPr="006E3C16" w:rsidRDefault="00680FBC" w:rsidP="00680FBC">
      <w:pPr>
        <w:pStyle w:val="Caption"/>
        <w:rPr>
          <w:rStyle w:val="IntenseReference"/>
          <w:rFonts w:eastAsia="SimSun"/>
          <w:vanish/>
        </w:rPr>
      </w:pPr>
      <w:bookmarkStart w:id="566" w:name="_Toc437423871"/>
      <w:bookmarkStart w:id="567" w:name="_Toc437424050"/>
      <w:bookmarkStart w:id="568" w:name="_Toc437424342"/>
      <w:bookmarkStart w:id="569" w:name="_Toc453243781"/>
      <w:bookmarkStart w:id="570" w:name="_Toc460491411"/>
      <w:r>
        <w:t xml:space="preserve">Figure A </w:t>
      </w:r>
      <w:r>
        <w:fldChar w:fldCharType="begin"/>
      </w:r>
      <w:r>
        <w:instrText xml:space="preserve"> SEQ Figure_A \* ARABIC </w:instrText>
      </w:r>
      <w:r>
        <w:fldChar w:fldCharType="separate"/>
      </w:r>
      <w:r w:rsidR="00B61881">
        <w:rPr>
          <w:noProof/>
        </w:rPr>
        <w:t>14</w:t>
      </w:r>
      <w:r>
        <w:fldChar w:fldCharType="end"/>
      </w:r>
      <w:r w:rsidR="006E3C16">
        <w:t xml:space="preserve">: </w:t>
      </w:r>
      <w:r w:rsidR="008E0B4F" w:rsidRPr="00F75D6C">
        <w:t>Temporal trends in water quality</w:t>
      </w:r>
      <w:r w:rsidR="00B764F0">
        <w:t>:</w:t>
      </w:r>
      <w:r w:rsidR="008E0B4F" w:rsidRPr="00F75D6C">
        <w:t xml:space="preserve"> </w:t>
      </w:r>
      <w:r w:rsidR="008E0B4F">
        <w:t xml:space="preserve">Mackay Whitsundays </w:t>
      </w:r>
      <w:r w:rsidR="008E0B4F" w:rsidRPr="00F75D6C">
        <w:t>region</w:t>
      </w:r>
      <w:r w:rsidR="008E0B4F" w:rsidRPr="00DB7D45">
        <w:rPr>
          <w:rStyle w:val="IntenseReference"/>
          <w:rFonts w:eastAsia="SimSun"/>
        </w:rPr>
        <w:t>.</w:t>
      </w:r>
      <w:bookmarkEnd w:id="566"/>
      <w:bookmarkEnd w:id="567"/>
      <w:bookmarkEnd w:id="568"/>
      <w:bookmarkEnd w:id="569"/>
      <w:bookmarkEnd w:id="570"/>
    </w:p>
    <w:p w14:paraId="07C988F5" w14:textId="77777777" w:rsidR="008E0B4F" w:rsidRPr="002A0417" w:rsidRDefault="008E0B4F" w:rsidP="00E56CF1">
      <w:pPr>
        <w:pStyle w:val="Caption"/>
        <w:rPr>
          <w:rStyle w:val="IntenseReference"/>
          <w:rFonts w:eastAsia="SimSun"/>
        </w:rPr>
      </w:pPr>
      <w:r w:rsidRPr="00DB7D45">
        <w:rPr>
          <w:rStyle w:val="IntenseReference"/>
          <w:rFonts w:eastAsia="SimSun"/>
        </w:rPr>
        <w:t xml:space="preserve"> </w:t>
      </w:r>
      <w:bookmarkStart w:id="571" w:name="_Toc437424343"/>
      <w:bookmarkStart w:id="572" w:name="_Toc437432395"/>
      <w:r w:rsidRPr="002A0417">
        <w:rPr>
          <w:rStyle w:val="IntenseReference"/>
          <w:rFonts w:eastAsia="SimSun"/>
        </w:rPr>
        <w:t xml:space="preserve">a) water quality index, b) chlorophyll a, c) total suspended solids, d) nitrate/nitrite, e) secchi depth, f) particulate nitrogen, g) turbidity, h) particulate phosphorus, i) particulate organic carbon and j) dissolved organic carbon. </w:t>
      </w:r>
      <w:proofErr w:type="gramStart"/>
      <w:r w:rsidRPr="002A0417">
        <w:rPr>
          <w:rStyle w:val="IntenseReference"/>
          <w:rFonts w:eastAsia="SimSun"/>
        </w:rPr>
        <w:t>Water quality index colour coding: dark green- ‘very good’; light green-‘good’; yellow – ‘moderate; orange – ‘poor’; red – ‘very poor’.</w:t>
      </w:r>
      <w:proofErr w:type="gramEnd"/>
      <w:r w:rsidRPr="002A0417">
        <w:rPr>
          <w:rStyle w:val="IntenseReference"/>
          <w:rFonts w:eastAsia="SimSun"/>
        </w:rPr>
        <w:t xml:space="preserve"> The water quality index is the aggregate of variables plotted in b - h and calculated as described in </w:t>
      </w:r>
      <w:r w:rsidR="006E3264" w:rsidRPr="002A0417">
        <w:rPr>
          <w:rStyle w:val="IntenseReference"/>
          <w:rFonts w:eastAsia="SimSun"/>
        </w:rPr>
        <w:t xml:space="preserve">Lønborg </w:t>
      </w:r>
      <w:r w:rsidR="006E3264" w:rsidRPr="00890762">
        <w:rPr>
          <w:rStyle w:val="IntenseReference"/>
          <w:rFonts w:eastAsia="SimSun"/>
          <w:i/>
        </w:rPr>
        <w:t>et al.</w:t>
      </w:r>
      <w:r w:rsidR="006E3264" w:rsidRPr="002A0417">
        <w:rPr>
          <w:rStyle w:val="IntenseReference"/>
          <w:rFonts w:eastAsia="SimSun"/>
        </w:rPr>
        <w:t xml:space="preserve"> (</w:t>
      </w:r>
      <w:r w:rsidR="006E3264">
        <w:rPr>
          <w:rStyle w:val="IntenseReference"/>
          <w:rFonts w:eastAsia="SimSun"/>
        </w:rPr>
        <w:t>2015</w:t>
      </w:r>
      <w:r w:rsidR="006E3264" w:rsidRPr="002A0417">
        <w:rPr>
          <w:rStyle w:val="IntenseReference"/>
          <w:rFonts w:eastAsia="SimSun"/>
        </w:rPr>
        <w:t>)</w:t>
      </w:r>
      <w:r w:rsidR="006E3264">
        <w:rPr>
          <w:rStyle w:val="IntenseReference"/>
          <w:rFonts w:eastAsia="SimSun"/>
        </w:rPr>
        <w:t xml:space="preserve">. </w:t>
      </w:r>
      <w:r w:rsidRPr="002A0417">
        <w:rPr>
          <w:rStyle w:val="IntenseReference"/>
          <w:rFonts w:eastAsia="SimSun"/>
        </w:rPr>
        <w:t xml:space="preserve">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w:t>
      </w:r>
      <w:r w:rsidRPr="00051C52">
        <w:rPr>
          <w:rStyle w:val="IntenseReference"/>
          <w:rFonts w:eastAsia="SimSun"/>
          <w:i/>
        </w:rPr>
        <w:t>et al.</w:t>
      </w:r>
      <w:r w:rsidRPr="002A0417">
        <w:rPr>
          <w:rStyle w:val="IntenseReference"/>
          <w:rFonts w:eastAsia="SimSun"/>
        </w:rPr>
        <w:t xml:space="preserve"> (</w:t>
      </w:r>
      <w:r w:rsidR="008E6F11">
        <w:rPr>
          <w:rStyle w:val="IntenseReference"/>
          <w:rFonts w:eastAsia="SimSun"/>
        </w:rPr>
        <w:t>2015</w:t>
      </w:r>
      <w:r w:rsidRPr="002A0417">
        <w:rPr>
          <w:rStyle w:val="IntenseReference"/>
          <w:rFonts w:eastAsia="SimSun"/>
        </w:rPr>
        <w:t>)</w:t>
      </w:r>
      <w:bookmarkEnd w:id="571"/>
      <w:bookmarkEnd w:id="572"/>
      <w:r w:rsidR="006E3264">
        <w:rPr>
          <w:rStyle w:val="IntenseReference"/>
          <w:rFonts w:eastAsia="SimSun"/>
        </w:rPr>
        <w:t>.</w:t>
      </w:r>
    </w:p>
    <w:p w14:paraId="5997E4D6" w14:textId="77777777" w:rsidR="00EB5372" w:rsidRDefault="00EB5372">
      <w:pPr>
        <w:jc w:val="left"/>
        <w:rPr>
          <w:rStyle w:val="IntenseReference"/>
          <w:rFonts w:eastAsia="SimSun"/>
        </w:rPr>
      </w:pPr>
      <w:r>
        <w:rPr>
          <w:rStyle w:val="IntenseReference"/>
          <w:rFonts w:eastAsia="SimSun"/>
        </w:rPr>
        <w:br w:type="page"/>
      </w:r>
    </w:p>
    <w:p w14:paraId="3332CAAC" w14:textId="77777777" w:rsidR="00500B4F" w:rsidRDefault="00782894" w:rsidP="002A0417">
      <w:bookmarkStart w:id="573" w:name="_Toc437424344"/>
      <w:r>
        <w:rPr>
          <w:noProof/>
          <w:lang w:val="en-AU" w:eastAsia="en-AU"/>
        </w:rPr>
        <w:lastRenderedPageBreak/>
        <w:drawing>
          <wp:inline distT="0" distB="0" distL="0" distR="0" wp14:anchorId="45A8646D" wp14:editId="6821804A">
            <wp:extent cx="6120765" cy="6120765"/>
            <wp:effectExtent l="0" t="0" r="0" b="0"/>
            <wp:docPr id="35" name="Picture 35" descr="Figure A1 15: Temporal trends in water quality: Fitzroy region. a) water quality index, b) chlorophyll a,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A1.1.1 Regional Water Quality Index 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et al. (2015)" title="Figure A1 15: Temporal trends in water quality: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Health_WQ_niskin.all.reef.av_Fitzroy.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End w:id="573"/>
    </w:p>
    <w:p w14:paraId="3E95F5A9" w14:textId="77777777" w:rsidR="006B5C58" w:rsidRPr="006B5C58" w:rsidRDefault="00680FBC" w:rsidP="00680FBC">
      <w:pPr>
        <w:pStyle w:val="Caption"/>
        <w:rPr>
          <w:vanish/>
        </w:rPr>
      </w:pPr>
      <w:bookmarkStart w:id="574" w:name="_Ref460424013"/>
      <w:bookmarkStart w:id="575" w:name="_Toc453243782"/>
      <w:bookmarkStart w:id="576" w:name="_Toc460491412"/>
      <w:bookmarkStart w:id="577" w:name="_Toc437423872"/>
      <w:bookmarkStart w:id="578" w:name="_Toc437424051"/>
      <w:bookmarkStart w:id="579" w:name="_Toc437424345"/>
      <w:r>
        <w:t xml:space="preserve">Figure A </w:t>
      </w:r>
      <w:r>
        <w:fldChar w:fldCharType="begin"/>
      </w:r>
      <w:r>
        <w:instrText xml:space="preserve"> SEQ Figure_A \* ARABIC </w:instrText>
      </w:r>
      <w:r>
        <w:fldChar w:fldCharType="separate"/>
      </w:r>
      <w:r w:rsidR="00B61881">
        <w:rPr>
          <w:noProof/>
        </w:rPr>
        <w:t>15</w:t>
      </w:r>
      <w:r>
        <w:fldChar w:fldCharType="end"/>
      </w:r>
      <w:bookmarkEnd w:id="574"/>
      <w:r w:rsidR="006E3C16">
        <w:t xml:space="preserve">: </w:t>
      </w:r>
      <w:r w:rsidR="008E0B4F" w:rsidRPr="00500B4F">
        <w:t>Temporal trends in water quality</w:t>
      </w:r>
      <w:r w:rsidR="00B764F0">
        <w:t>:</w:t>
      </w:r>
      <w:r w:rsidR="008E0B4F" w:rsidRPr="00500B4F">
        <w:t xml:space="preserve"> Fitzroy region.</w:t>
      </w:r>
      <w:bookmarkEnd w:id="575"/>
      <w:bookmarkEnd w:id="576"/>
    </w:p>
    <w:p w14:paraId="19FE31AF" w14:textId="77777777" w:rsidR="008E0B4F" w:rsidRPr="00500B4F" w:rsidRDefault="008E0B4F" w:rsidP="006E3C16">
      <w:pPr>
        <w:pStyle w:val="AppendixFigures"/>
        <w:ind w:left="0"/>
        <w:rPr>
          <w:rStyle w:val="IntenseReference"/>
          <w:rFonts w:eastAsia="SimSun"/>
        </w:rPr>
      </w:pPr>
      <w:r w:rsidRPr="00F75D6C">
        <w:t xml:space="preserve"> </w:t>
      </w:r>
      <w:r w:rsidRPr="00500B4F">
        <w:rPr>
          <w:rStyle w:val="IntenseReference"/>
          <w:rFonts w:eastAsia="SimSun"/>
        </w:rPr>
        <w:t xml:space="preserve">a) water quality index, b) chlorophyll a, c) total suspended solids, d) nitrate/nitrite, e) secchi depth, f) particulate nitrogen, g) turbidity, h) particulate phosphorus, i) particulate organic carbon and j) dissolved organic carbon. </w:t>
      </w:r>
      <w:proofErr w:type="gramStart"/>
      <w:r w:rsidRPr="00500B4F">
        <w:rPr>
          <w:rStyle w:val="IntenseReference"/>
          <w:rFonts w:eastAsia="SimSun"/>
        </w:rPr>
        <w:t>Water quality index colour coding: dark green- ‘very good’; light green-‘good’; yellow – ‘moderate; orange – ‘poor’; red – ‘very poor’.</w:t>
      </w:r>
      <w:proofErr w:type="gramEnd"/>
      <w:r w:rsidRPr="00500B4F">
        <w:rPr>
          <w:rStyle w:val="IntenseReference"/>
          <w:rFonts w:eastAsia="SimSun"/>
        </w:rPr>
        <w:t xml:space="preserve"> The water quality index is the aggregate of variables plotted in b - h and calculated as described in </w:t>
      </w:r>
      <w:r w:rsidR="006E3264" w:rsidRPr="002A0417">
        <w:rPr>
          <w:rStyle w:val="IntenseReference"/>
          <w:rFonts w:eastAsia="SimSun"/>
        </w:rPr>
        <w:t xml:space="preserve">Lønborg </w:t>
      </w:r>
      <w:r w:rsidR="006E3264" w:rsidRPr="00890762">
        <w:rPr>
          <w:rStyle w:val="IntenseReference"/>
          <w:rFonts w:eastAsia="SimSun"/>
          <w:i/>
        </w:rPr>
        <w:t>et al.</w:t>
      </w:r>
      <w:r w:rsidR="006E3264" w:rsidRPr="002A0417">
        <w:rPr>
          <w:rStyle w:val="IntenseReference"/>
          <w:rFonts w:eastAsia="SimSun"/>
        </w:rPr>
        <w:t xml:space="preserve"> (</w:t>
      </w:r>
      <w:r w:rsidR="006E3264">
        <w:rPr>
          <w:rStyle w:val="IntenseReference"/>
          <w:rFonts w:eastAsia="SimSun"/>
        </w:rPr>
        <w:t>2015</w:t>
      </w:r>
      <w:r w:rsidR="006E3264" w:rsidRPr="002A0417">
        <w:rPr>
          <w:rStyle w:val="IntenseReference"/>
          <w:rFonts w:eastAsia="SimSun"/>
        </w:rPr>
        <w:t>)</w:t>
      </w:r>
      <w:r w:rsidR="006E3264">
        <w:rPr>
          <w:rStyle w:val="IntenseReference"/>
          <w:rFonts w:eastAsia="SimSun"/>
        </w:rPr>
        <w:t xml:space="preserve">. </w:t>
      </w:r>
      <w:r w:rsidRPr="00500B4F">
        <w:rPr>
          <w:rStyle w:val="IntenseReference"/>
          <w:rFonts w:eastAsia="SimSun"/>
        </w:rPr>
        <w:t xml:space="preserve">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Lønborg </w:t>
      </w:r>
      <w:r w:rsidRPr="00051C52">
        <w:rPr>
          <w:rStyle w:val="IntenseReference"/>
          <w:rFonts w:eastAsia="SimSun"/>
          <w:i/>
        </w:rPr>
        <w:t>et al.</w:t>
      </w:r>
      <w:r w:rsidRPr="00500B4F">
        <w:rPr>
          <w:rStyle w:val="IntenseReference"/>
          <w:rFonts w:eastAsia="SimSun"/>
        </w:rPr>
        <w:t xml:space="preserve"> (</w:t>
      </w:r>
      <w:r w:rsidR="008E6F11">
        <w:rPr>
          <w:rStyle w:val="IntenseReference"/>
          <w:rFonts w:eastAsia="SimSun"/>
        </w:rPr>
        <w:t>2015</w:t>
      </w:r>
      <w:r w:rsidRPr="00500B4F">
        <w:rPr>
          <w:rStyle w:val="IntenseReference"/>
          <w:rFonts w:eastAsia="SimSun"/>
        </w:rPr>
        <w:t>)</w:t>
      </w:r>
      <w:bookmarkEnd w:id="577"/>
      <w:bookmarkEnd w:id="578"/>
      <w:bookmarkEnd w:id="579"/>
      <w:r w:rsidR="006E3264">
        <w:rPr>
          <w:rStyle w:val="IntenseReference"/>
          <w:rFonts w:eastAsia="SimSun"/>
        </w:rPr>
        <w:t>.</w:t>
      </w:r>
    </w:p>
    <w:p w14:paraId="47C4BF85" w14:textId="77777777" w:rsidR="00781BD6" w:rsidRDefault="00781BD6" w:rsidP="00406BD7"/>
    <w:p w14:paraId="61F42CF4" w14:textId="77777777" w:rsidR="00737850" w:rsidRDefault="00737850">
      <w:pPr>
        <w:sectPr w:rsidR="00737850" w:rsidSect="006608FC">
          <w:pgSz w:w="11907" w:h="16840" w:code="9"/>
          <w:pgMar w:top="1440" w:right="1134" w:bottom="1440" w:left="1134" w:header="709" w:footer="709" w:gutter="0"/>
          <w:cols w:space="708"/>
          <w:docGrid w:linePitch="360"/>
        </w:sectPr>
      </w:pPr>
    </w:p>
    <w:p w14:paraId="6F6D6C19" w14:textId="77777777" w:rsidR="008A1A24" w:rsidRPr="00125FDB" w:rsidRDefault="008A1A24" w:rsidP="006D0A76">
      <w:pPr>
        <w:pStyle w:val="Heading1"/>
        <w:numPr>
          <w:ilvl w:val="0"/>
          <w:numId w:val="0"/>
        </w:numPr>
        <w:ind w:left="360"/>
      </w:pPr>
      <w:bookmarkStart w:id="580" w:name="_Toc374701393"/>
      <w:bookmarkStart w:id="581" w:name="_Toc437424469"/>
      <w:bookmarkStart w:id="582" w:name="_Toc437424593"/>
      <w:bookmarkStart w:id="583" w:name="_Toc437432522"/>
      <w:bookmarkStart w:id="584" w:name="_Toc437432595"/>
      <w:bookmarkStart w:id="585" w:name="_Toc460490683"/>
      <w:r w:rsidRPr="00125FDB">
        <w:lastRenderedPageBreak/>
        <w:t xml:space="preserve">Appendix </w:t>
      </w:r>
      <w:r w:rsidR="002A32AE">
        <w:t>2</w:t>
      </w:r>
      <w:r w:rsidRPr="00125FDB">
        <w:t>: QAQC Information</w:t>
      </w:r>
      <w:bookmarkEnd w:id="497"/>
      <w:bookmarkEnd w:id="580"/>
      <w:bookmarkEnd w:id="581"/>
      <w:bookmarkEnd w:id="582"/>
      <w:bookmarkEnd w:id="583"/>
      <w:bookmarkEnd w:id="584"/>
      <w:bookmarkEnd w:id="585"/>
    </w:p>
    <w:p w14:paraId="53D8E4A8" w14:textId="77777777" w:rsidR="008A1A24" w:rsidRPr="006B08D7" w:rsidRDefault="008A1A24" w:rsidP="007E5B6D">
      <w:pPr>
        <w:spacing w:before="240"/>
        <w:rPr>
          <w:b/>
        </w:rPr>
      </w:pPr>
      <w:bookmarkStart w:id="586" w:name="_Toc393133611"/>
      <w:bookmarkStart w:id="587" w:name="_Toc279952192"/>
      <w:r w:rsidRPr="006B08D7">
        <w:rPr>
          <w:b/>
        </w:rPr>
        <w:t>Method performance and QAQC information for coral monitoring activities</w:t>
      </w:r>
      <w:bookmarkEnd w:id="586"/>
    </w:p>
    <w:p w14:paraId="42C8D853" w14:textId="77777777" w:rsidR="008E0B4F" w:rsidRPr="006B08D7" w:rsidRDefault="008A1A24" w:rsidP="007E5B6D">
      <w:pPr>
        <w:spacing w:before="240"/>
        <w:rPr>
          <w:i/>
        </w:rPr>
      </w:pPr>
      <w:r w:rsidRPr="006B08D7">
        <w:rPr>
          <w:i/>
        </w:rPr>
        <w:t>Photo point intercept transects</w:t>
      </w:r>
      <w:bookmarkEnd w:id="587"/>
      <w:r w:rsidRPr="006B08D7">
        <w:rPr>
          <w:i/>
        </w:rPr>
        <w:t xml:space="preserve">. </w:t>
      </w:r>
    </w:p>
    <w:p w14:paraId="2E1FB315" w14:textId="77777777" w:rsidR="008A1A24" w:rsidRPr="00074180" w:rsidRDefault="008A1A24" w:rsidP="000604E3">
      <w:pPr>
        <w:rPr>
          <w:color w:val="000000" w:themeColor="text1"/>
        </w:rPr>
      </w:pPr>
      <w:r w:rsidRPr="00074180">
        <w:rPr>
          <w:color w:val="000000" w:themeColor="text1"/>
        </w:rPr>
        <w:t>The QA/QC for the estimation of cover of benthic communities has two components. The sampling strategy which uses permanently marked transects ensures estimates are derived from the same area of substratum each year to minimise possible sampling error. The second component is to ensure the consistency of identification of community components from digital photo images</w:t>
      </w:r>
      <w:r>
        <w:rPr>
          <w:color w:val="000000" w:themeColor="text1"/>
        </w:rPr>
        <w:t>. A</w:t>
      </w:r>
      <w:r w:rsidRPr="00074180">
        <w:rPr>
          <w:color w:val="000000" w:themeColor="text1"/>
        </w:rPr>
        <w:t xml:space="preserve">ll points are double-checked by a single observer on completion of analysis each year. This double-checking has now been done for all digital still photograph images in the database. All hard corals, soft corals and macroalgae were identified to at least genus level where image quality allowed. Other benthic groups were also checked and consistency in differentiation achieved. </w:t>
      </w:r>
    </w:p>
    <w:p w14:paraId="1125F8AF" w14:textId="77777777" w:rsidR="008E0B4F" w:rsidRPr="006B08D7" w:rsidRDefault="008A1A24" w:rsidP="007E5B6D">
      <w:pPr>
        <w:spacing w:before="240"/>
        <w:rPr>
          <w:i/>
        </w:rPr>
      </w:pPr>
      <w:bookmarkStart w:id="588" w:name="_Toc279952193"/>
      <w:r w:rsidRPr="006B08D7">
        <w:rPr>
          <w:i/>
        </w:rPr>
        <w:t>Juvenile coral belt transects</w:t>
      </w:r>
      <w:bookmarkEnd w:id="588"/>
      <w:r w:rsidRPr="006B08D7">
        <w:rPr>
          <w:i/>
        </w:rPr>
        <w:t xml:space="preserve">. </w:t>
      </w:r>
    </w:p>
    <w:p w14:paraId="78C2130F" w14:textId="77777777" w:rsidR="008A1A24" w:rsidRPr="00074180" w:rsidRDefault="008A1A24">
      <w:pPr>
        <w:rPr>
          <w:color w:val="000000" w:themeColor="text1"/>
        </w:rPr>
      </w:pPr>
      <w:r w:rsidRPr="00074180">
        <w:rPr>
          <w:color w:val="000000" w:themeColor="text1"/>
          <w:lang w:eastAsia="en-AU"/>
        </w:rPr>
        <w:t>Two observers collected juvenile coral count data in 201</w:t>
      </w:r>
      <w:r w:rsidR="008D49AB">
        <w:rPr>
          <w:color w:val="000000" w:themeColor="text1"/>
          <w:lang w:eastAsia="en-AU"/>
        </w:rPr>
        <w:t>4</w:t>
      </w:r>
      <w:r w:rsidRPr="00074180">
        <w:rPr>
          <w:color w:val="000000" w:themeColor="text1"/>
          <w:lang w:eastAsia="en-AU"/>
        </w:rPr>
        <w:t xml:space="preserve">. Data from Snapper Is was supplied by Sea Research. The Sea Research observer, Tony Ayling, is the most experienced individual in Australia in surveying the benthic communities of inshore coral reefs. Like the AIMS observers, his taxonomic skills are complete at genus level and he used the same field protocols, pre-printed datasheets and data entry programs as AIMS observers. Prior to commencement of surveys observer standardisation for Tony Ayling included detailed discussion and demonstration of methodologies with the AIMS team. While we are confident that limited bias was introduced as a result of his participation, as the focus of the program is for temporal comparisons any bias between Tony Ayling and AIMS observers will not manifest in temporal comparisons at Snapper Is. All other reefs were surveyed by an experienced AIMS staff member. It must be acknowledged however that for some of the smallest size class &lt;2cm identification to genus is impossible in the field, though for the most part this is the case for relatively rare taxa for which reference to nearby larger individuals cannot be made. All data are entered into the database and rechecked against field data sheets. </w:t>
      </w:r>
    </w:p>
    <w:p w14:paraId="48621D36" w14:textId="77777777" w:rsidR="008A1A24" w:rsidRPr="007B3DCF" w:rsidRDefault="008A1A24">
      <w:pPr>
        <w:rPr>
          <w:color w:val="0070C0"/>
        </w:rPr>
      </w:pPr>
    </w:p>
    <w:p w14:paraId="770776B5" w14:textId="77777777" w:rsidR="008A1A24" w:rsidRPr="007B3DCF" w:rsidRDefault="008A1A24">
      <w:r w:rsidRPr="007B3DCF">
        <w:rPr>
          <w:color w:val="0070C0"/>
        </w:rPr>
        <w:br w:type="page"/>
      </w:r>
      <w:bookmarkStart w:id="589" w:name="_Toc334990267"/>
    </w:p>
    <w:p w14:paraId="7461F2A4" w14:textId="77777777" w:rsidR="008A1A24" w:rsidRPr="007B3DCF" w:rsidRDefault="008A1A24" w:rsidP="006D0A76">
      <w:pPr>
        <w:pStyle w:val="Heading1"/>
        <w:numPr>
          <w:ilvl w:val="0"/>
          <w:numId w:val="0"/>
        </w:numPr>
        <w:ind w:left="360"/>
      </w:pPr>
      <w:bookmarkStart w:id="590" w:name="_Toc358712540"/>
      <w:bookmarkStart w:id="591" w:name="_Toc374701395"/>
      <w:bookmarkStart w:id="592" w:name="_Toc437424470"/>
      <w:bookmarkStart w:id="593" w:name="_Toc437424594"/>
      <w:bookmarkStart w:id="594" w:name="_Toc437432523"/>
      <w:bookmarkStart w:id="595" w:name="_Toc437432596"/>
      <w:bookmarkStart w:id="596" w:name="_Toc460490684"/>
      <w:bookmarkStart w:id="597" w:name="_Toc205604871"/>
      <w:bookmarkEnd w:id="589"/>
      <w:r w:rsidRPr="007B3DCF">
        <w:lastRenderedPageBreak/>
        <w:t xml:space="preserve">Appendix </w:t>
      </w:r>
      <w:r w:rsidR="002A32AE">
        <w:t>3</w:t>
      </w:r>
      <w:r w:rsidRPr="007B3DCF">
        <w:t xml:space="preserve">: </w:t>
      </w:r>
      <w:r w:rsidR="00D624D1">
        <w:t>P</w:t>
      </w:r>
      <w:r w:rsidRPr="007B3DCF">
        <w:t xml:space="preserve">ublications and </w:t>
      </w:r>
      <w:r w:rsidR="00972D85">
        <w:br/>
      </w:r>
      <w:r w:rsidRPr="007B3DCF">
        <w:t xml:space="preserve">presentations </w:t>
      </w:r>
      <w:r>
        <w:t xml:space="preserve">associated with </w:t>
      </w:r>
      <w:r w:rsidRPr="007B3DCF">
        <w:t>the Program 201</w:t>
      </w:r>
      <w:bookmarkEnd w:id="590"/>
      <w:r w:rsidR="004922D2">
        <w:t>4-</w:t>
      </w:r>
      <w:r w:rsidRPr="007B3DCF">
        <w:t>1</w:t>
      </w:r>
      <w:bookmarkEnd w:id="591"/>
      <w:r w:rsidR="004922D2">
        <w:t>5</w:t>
      </w:r>
      <w:bookmarkEnd w:id="592"/>
      <w:bookmarkEnd w:id="593"/>
      <w:bookmarkEnd w:id="594"/>
      <w:bookmarkEnd w:id="595"/>
      <w:bookmarkEnd w:id="596"/>
    </w:p>
    <w:p w14:paraId="6CA66534" w14:textId="77777777" w:rsidR="008A1A24" w:rsidRPr="007A526D" w:rsidRDefault="008A1A24" w:rsidP="007E5B6D">
      <w:pPr>
        <w:spacing w:before="240"/>
        <w:rPr>
          <w:b/>
        </w:rPr>
      </w:pPr>
      <w:r w:rsidRPr="007A526D">
        <w:rPr>
          <w:b/>
        </w:rPr>
        <w:t>Publications</w:t>
      </w:r>
    </w:p>
    <w:p w14:paraId="46855DD2" w14:textId="77777777" w:rsidR="00EF7563" w:rsidRPr="00EF7563" w:rsidRDefault="00EF7563" w:rsidP="00EF7563">
      <w:pPr>
        <w:ind w:left="284" w:hanging="284"/>
        <w:rPr>
          <w:szCs w:val="22"/>
        </w:rPr>
      </w:pPr>
      <w:r>
        <w:rPr>
          <w:szCs w:val="22"/>
        </w:rPr>
        <w:t>Addison P, Walshe T, Sweatman H</w:t>
      </w:r>
      <w:r w:rsidRPr="00EF7563">
        <w:rPr>
          <w:szCs w:val="22"/>
        </w:rPr>
        <w:t xml:space="preserve">, </w:t>
      </w:r>
      <w:r>
        <w:rPr>
          <w:szCs w:val="22"/>
        </w:rPr>
        <w:t>Jonker M</w:t>
      </w:r>
      <w:r w:rsidRPr="00EF7563">
        <w:rPr>
          <w:szCs w:val="22"/>
        </w:rPr>
        <w:t xml:space="preserve">, </w:t>
      </w:r>
      <w:r>
        <w:rPr>
          <w:szCs w:val="22"/>
        </w:rPr>
        <w:t>MacNeil A, Thompson A, Logan M</w:t>
      </w:r>
      <w:r w:rsidRPr="00EF7563">
        <w:rPr>
          <w:szCs w:val="22"/>
        </w:rPr>
        <w:t xml:space="preserve"> (2015) Towards an integrated monitoring program: Identifying indicators and existing monitoring programs to effectively evaluate the Long Term Sustainability Plan. Report to the National Environmental Science Programme. </w:t>
      </w:r>
      <w:proofErr w:type="gramStart"/>
      <w:r w:rsidRPr="00EF7563">
        <w:rPr>
          <w:szCs w:val="22"/>
        </w:rPr>
        <w:t>Reef and Rainforest Research Centre Limited, Cairns.</w:t>
      </w:r>
      <w:proofErr w:type="gramEnd"/>
    </w:p>
    <w:p w14:paraId="056D2AB8" w14:textId="77777777" w:rsidR="008A1A24" w:rsidRPr="007A526D" w:rsidRDefault="00EF7563" w:rsidP="007E5B6D">
      <w:pPr>
        <w:spacing w:before="240"/>
        <w:rPr>
          <w:b/>
        </w:rPr>
      </w:pPr>
      <w:r>
        <w:rPr>
          <w:b/>
        </w:rPr>
        <w:t>Presentations</w:t>
      </w:r>
    </w:p>
    <w:bookmarkEnd w:id="597"/>
    <w:p w14:paraId="480C77C3" w14:textId="77777777" w:rsidR="008A1A24" w:rsidRPr="007A526D" w:rsidRDefault="004922D2">
      <w:pPr>
        <w:pStyle w:val="Reportrefs"/>
        <w:spacing w:after="120"/>
        <w:ind w:left="284" w:hanging="284"/>
        <w:rPr>
          <w:rFonts w:cs="Arial"/>
          <w:sz w:val="22"/>
          <w:szCs w:val="22"/>
        </w:rPr>
      </w:pPr>
      <w:r>
        <w:rPr>
          <w:rFonts w:cs="Arial"/>
          <w:sz w:val="22"/>
          <w:szCs w:val="22"/>
        </w:rPr>
        <w:t xml:space="preserve">Thompson A, Logan M </w:t>
      </w:r>
      <w:r w:rsidR="007F7841">
        <w:rPr>
          <w:rFonts w:cs="Arial"/>
          <w:sz w:val="22"/>
          <w:szCs w:val="22"/>
        </w:rPr>
        <w:t>(</w:t>
      </w:r>
      <w:r>
        <w:rPr>
          <w:rFonts w:cs="Arial"/>
          <w:sz w:val="22"/>
          <w:szCs w:val="22"/>
        </w:rPr>
        <w:t>2015</w:t>
      </w:r>
      <w:r w:rsidR="007F7841">
        <w:rPr>
          <w:rFonts w:cs="Arial"/>
          <w:sz w:val="22"/>
          <w:szCs w:val="22"/>
        </w:rPr>
        <w:t>)</w:t>
      </w:r>
      <w:r>
        <w:rPr>
          <w:rFonts w:cs="Arial"/>
          <w:sz w:val="22"/>
          <w:szCs w:val="22"/>
        </w:rPr>
        <w:t xml:space="preserve"> Revising coral community condition indicators </w:t>
      </w:r>
      <w:r w:rsidR="008D49AB">
        <w:rPr>
          <w:rFonts w:cs="Arial"/>
          <w:sz w:val="22"/>
          <w:szCs w:val="22"/>
        </w:rPr>
        <w:t>for the inshore Great Barrier Reef. Australian Coral Reef Society, July 2015.</w:t>
      </w:r>
    </w:p>
    <w:p w14:paraId="215B400B" w14:textId="77777777" w:rsidR="008C5017" w:rsidRDefault="008C5017"/>
    <w:sectPr w:rsidR="008C5017" w:rsidSect="006608FC">
      <w:pgSz w:w="11907" w:h="16840" w:code="9"/>
      <w:pgMar w:top="1440" w:right="1134" w:bottom="1440" w:left="1134" w:header="709" w:footer="709"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641">
      <wne:acd wne:acdName="acd0"/>
    </wne:keymap>
  </wne:keymaps>
  <wne:toolbars>
    <wne:acdManifest>
      <wne:acdEntry wne:acdName="acd0"/>
    </wne:acdManifest>
  </wne:toolbars>
  <wne:acds>
    <wne:acd wne:argValue="AgBBAHAAcABlAG4AZABpAHgAIABmAGkAZwB1AHIAZQBzAA==" wne:acdName="acd0"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C7ACB3" w14:textId="77777777" w:rsidR="00A966BF" w:rsidRDefault="00A966BF" w:rsidP="008A1A24">
      <w:r>
        <w:separator/>
      </w:r>
    </w:p>
  </w:endnote>
  <w:endnote w:type="continuationSeparator" w:id="0">
    <w:p w14:paraId="736C1AA4" w14:textId="77777777" w:rsidR="00A966BF" w:rsidRDefault="00A966BF" w:rsidP="008A1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altName w:val="Times New Roman"/>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altName w:val="Times New Roman"/>
    <w:panose1 w:val="00000000000000000000"/>
    <w:charset w:val="00"/>
    <w:family w:val="roman"/>
    <w:notTrueType/>
    <w:pitch w:val="variable"/>
    <w:sig w:usb0="00000001" w:usb1="00000001" w:usb2="00000000" w:usb3="00000000" w:csb0="0000019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Myriad Pro">
    <w:altName w:val="Arial"/>
    <w:panose1 w:val="00000000000000000000"/>
    <w:charset w:val="00"/>
    <w:family w:val="swiss"/>
    <w:notTrueType/>
    <w:pitch w:val="variable"/>
    <w:sig w:usb0="00000001" w:usb1="5000204B" w:usb2="00000000"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30204"/>
    <w:charset w:val="00"/>
    <w:family w:val="swiss"/>
    <w:pitch w:val="variable"/>
    <w:sig w:usb0="00000007" w:usb1="00000000" w:usb2="00000000" w:usb3="00000000" w:csb0="00000093" w:csb1="00000000"/>
  </w:font>
  <w:font w:name="Plantin">
    <w:panose1 w:val="00000000000000000000"/>
    <w:charset w:val="00"/>
    <w:family w:val="roman"/>
    <w:notTrueType/>
    <w:pitch w:val="default"/>
    <w:sig w:usb0="00000003" w:usb1="00000000" w:usb2="00000000" w:usb3="00000000" w:csb0="00000001" w:csb1="00000000"/>
  </w:font>
  <w:font w:name="LMSansQuot8-Regular">
    <w:panose1 w:val="00000000000000000000"/>
    <w:charset w:val="00"/>
    <w:family w:val="auto"/>
    <w:notTrueType/>
    <w:pitch w:val="default"/>
    <w:sig w:usb0="00000003" w:usb1="00000000" w:usb2="00000000" w:usb3="00000000" w:csb0="00000001" w:csb1="00000000"/>
  </w:font>
  <w:font w:name="AdvPTimes">
    <w:altName w:val="Times New Roman"/>
    <w:panose1 w:val="00000000000000000000"/>
    <w:charset w:val="00"/>
    <w:family w:val="roman"/>
    <w:notTrueType/>
    <w:pitch w:val="default"/>
    <w:sig w:usb0="00000003" w:usb1="00000000" w:usb2="00000000" w:usb3="00000000" w:csb0="00000001" w:csb1="00000000"/>
  </w:font>
  <w:font w:name="CMSSI10">
    <w:panose1 w:val="00000000000000000000"/>
    <w:charset w:val="00"/>
    <w:family w:val="auto"/>
    <w:notTrueType/>
    <w:pitch w:val="default"/>
    <w:sig w:usb0="00000003" w:usb1="00000000" w:usb2="00000000" w:usb3="00000000" w:csb0="00000001" w:csb1="00000000"/>
  </w:font>
  <w:font w:name="CMSY10">
    <w:panose1 w:val="00000000000000000000"/>
    <w:charset w:val="00"/>
    <w:family w:val="auto"/>
    <w:notTrueType/>
    <w:pitch w:val="default"/>
    <w:sig w:usb0="00000003" w:usb1="00000000" w:usb2="00000000" w:usb3="00000000" w:csb0="00000001" w:csb1="00000000"/>
  </w:font>
  <w:font w:name="CMSS10">
    <w:panose1 w:val="00000000000000000000"/>
    <w:charset w:val="00"/>
    <w:family w:val="auto"/>
    <w:notTrueType/>
    <w:pitch w:val="default"/>
    <w:sig w:usb0="00000003" w:usb1="00000000" w:usb2="00000000" w:usb3="00000000" w:csb0="00000001" w:csb1="00000000"/>
  </w:font>
  <w:font w:name="MinionPro-Regular">
    <w:altName w:val="MS Mincho"/>
    <w:panose1 w:val="00000000000000000000"/>
    <w:charset w:val="80"/>
    <w:family w:val="roman"/>
    <w:notTrueType/>
    <w:pitch w:val="default"/>
    <w:sig w:usb0="00000001" w:usb1="08070000" w:usb2="00000010" w:usb3="00000000" w:csb0="00020000" w:csb1="00000000"/>
  </w:font>
  <w:font w:name="HelveticaNeue-Bold">
    <w:panose1 w:val="00000000000000000000"/>
    <w:charset w:val="00"/>
    <w:family w:val="swiss"/>
    <w:notTrueType/>
    <w:pitch w:val="default"/>
    <w:sig w:usb0="00000003" w:usb1="00000000" w:usb2="00000000" w:usb3="00000000" w:csb0="00000001" w:csb1="00000000"/>
  </w:font>
  <w:font w:name="Arial Narrow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82BC10" w14:textId="77777777" w:rsidR="00312BEC" w:rsidRDefault="00312BEC" w:rsidP="008C5017">
    <w:pPr>
      <w:pStyle w:val="Footer"/>
      <w:framePr w:wrap="around" w:vAnchor="text" w:hAnchor="margin" w:xAlign="center" w:y="1"/>
    </w:pPr>
    <w:r>
      <w:fldChar w:fldCharType="begin"/>
    </w:r>
    <w:r>
      <w:instrText xml:space="preserve">PAGE  </w:instrText>
    </w:r>
    <w:r>
      <w:fldChar w:fldCharType="end"/>
    </w:r>
  </w:p>
  <w:p w14:paraId="087587AF" w14:textId="77777777" w:rsidR="00312BEC" w:rsidRDefault="00312BE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3E91CA" w14:textId="77777777" w:rsidR="00312BEC" w:rsidRDefault="00312BEC" w:rsidP="008C5017">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3C935F" w14:textId="77777777" w:rsidR="00312BEC" w:rsidRDefault="00312BEC" w:rsidP="008C5017">
    <w:pPr>
      <w:pStyle w:val="Footer"/>
      <w:pBdr>
        <w:top w:val="single" w:sz="12" w:space="1" w:color="000099"/>
      </w:pBd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8</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394544" w14:textId="77777777" w:rsidR="00312BEC" w:rsidRDefault="00312BEC" w:rsidP="008C5017">
    <w:pPr>
      <w:pStyle w:val="Footer"/>
      <w:framePr w:w="660" w:wrap="around" w:vAnchor="text" w:hAnchor="page" w:x="5345" w:y="45"/>
      <w:spacing w:before="60"/>
    </w:pPr>
    <w:r>
      <w:fldChar w:fldCharType="begin"/>
    </w:r>
    <w:r>
      <w:instrText xml:space="preserve">PAGE  </w:instrText>
    </w:r>
    <w:r>
      <w:fldChar w:fldCharType="separate"/>
    </w:r>
    <w:r w:rsidR="006627BC">
      <w:rPr>
        <w:noProof/>
      </w:rPr>
      <w:t>iii</w:t>
    </w:r>
    <w:r>
      <w:rPr>
        <w:noProof/>
      </w:rPr>
      <w:fldChar w:fldCharType="end"/>
    </w:r>
  </w:p>
  <w:p w14:paraId="11231A6C" w14:textId="77777777" w:rsidR="00312BEC" w:rsidRDefault="00312BEC" w:rsidP="008C5017">
    <w:pPr>
      <w:pStyle w:val="Footer"/>
      <w:pBdr>
        <w:top w:val="single" w:sz="18" w:space="1" w:color="0070C0"/>
      </w:pBdr>
      <w:tabs>
        <w:tab w:val="clear" w:pos="8306"/>
      </w:tabs>
      <w:ind w:right="4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619A6" w14:textId="77777777" w:rsidR="00312BEC" w:rsidRDefault="00312BEC" w:rsidP="008C5017">
    <w:pPr>
      <w:pStyle w:val="Footer"/>
      <w:framePr w:w="660" w:wrap="around" w:vAnchor="text" w:hAnchor="page" w:x="5345" w:y="45"/>
      <w:spacing w:before="60"/>
    </w:pPr>
    <w:r>
      <w:fldChar w:fldCharType="begin"/>
    </w:r>
    <w:r>
      <w:instrText xml:space="preserve">PAGE  </w:instrText>
    </w:r>
    <w:r>
      <w:fldChar w:fldCharType="separate"/>
    </w:r>
    <w:r w:rsidR="006627BC">
      <w:rPr>
        <w:noProof/>
      </w:rPr>
      <w:t>2</w:t>
    </w:r>
    <w:r>
      <w:rPr>
        <w:noProof/>
      </w:rPr>
      <w:fldChar w:fldCharType="end"/>
    </w:r>
  </w:p>
  <w:p w14:paraId="4892B418" w14:textId="77777777" w:rsidR="00312BEC" w:rsidRDefault="00312BEC" w:rsidP="008C5017">
    <w:pPr>
      <w:pStyle w:val="Footer"/>
      <w:pBdr>
        <w:top w:val="single" w:sz="18" w:space="1" w:color="0070C0"/>
      </w:pBdr>
      <w:tabs>
        <w:tab w:val="clear" w:pos="8306"/>
      </w:tabs>
      <w:ind w:right="4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572F64" w14:textId="77777777" w:rsidR="00312BEC" w:rsidRDefault="00312BEC" w:rsidP="008C501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3C21620" w14:textId="77777777" w:rsidR="00312BEC" w:rsidRDefault="00312BEC">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6DE3BD" w14:textId="77777777" w:rsidR="00A966BF" w:rsidRDefault="00A966BF" w:rsidP="008A1A24">
      <w:r>
        <w:separator/>
      </w:r>
    </w:p>
  </w:footnote>
  <w:footnote w:type="continuationSeparator" w:id="0">
    <w:p w14:paraId="24CB312C" w14:textId="77777777" w:rsidR="00A966BF" w:rsidRDefault="00A966BF" w:rsidP="008A1A24">
      <w:r>
        <w:continuationSeparator/>
      </w:r>
    </w:p>
  </w:footnote>
  <w:footnote w:id="1">
    <w:p w14:paraId="6DDBDDEB" w14:textId="77777777" w:rsidR="00312BEC" w:rsidRPr="00F96ACA" w:rsidRDefault="00312BEC" w:rsidP="0039303A">
      <w:pPr>
        <w:pStyle w:val="Reportrefs"/>
        <w:spacing w:after="120"/>
        <w:ind w:left="284" w:hanging="284"/>
        <w:rPr>
          <w:rFonts w:cs="Arial"/>
          <w:color w:val="0070C0"/>
          <w:sz w:val="22"/>
          <w:szCs w:val="22"/>
          <w:lang w:eastAsia="en-AU"/>
        </w:rPr>
      </w:pPr>
      <w:r>
        <w:rPr>
          <w:rStyle w:val="FootnoteReference"/>
        </w:rPr>
        <w:footnoteRef/>
      </w:r>
      <w:r>
        <w:t xml:space="preserve"> </w:t>
      </w:r>
      <w:r w:rsidRPr="004F3D40">
        <w:rPr>
          <w:rFonts w:cs="Arial"/>
          <w:sz w:val="20"/>
          <w:lang w:eastAsia="en-AU"/>
        </w:rPr>
        <w:t xml:space="preserve">Connie 2.0, CSIRO Connectivity Interface, </w:t>
      </w:r>
      <w:hyperlink r:id="rId1" w:history="1">
        <w:r>
          <w:rPr>
            <w:rStyle w:val="Hyperlink"/>
            <w:rFonts w:cs="Arial"/>
            <w:color w:val="0070C0"/>
            <w:sz w:val="20"/>
            <w:lang w:eastAsia="en-AU"/>
          </w:rPr>
          <w:t>CSIRO connie2</w:t>
        </w:r>
      </w:hyperlink>
    </w:p>
  </w:footnote>
  <w:footnote w:id="2">
    <w:p w14:paraId="26DD6574" w14:textId="77777777" w:rsidR="00312BEC" w:rsidRPr="004C0333" w:rsidRDefault="00312BEC">
      <w:pPr>
        <w:pStyle w:val="FootnoteText"/>
        <w:rPr>
          <w:lang w:val="en-AU"/>
        </w:rPr>
      </w:pPr>
      <w:r>
        <w:rPr>
          <w:rStyle w:val="FootnoteReference"/>
        </w:rPr>
        <w:footnoteRef/>
      </w:r>
      <w:r w:rsidRPr="004C20BB">
        <w:rPr>
          <w:i/>
        </w:rPr>
        <w:t>Marine water quality indices produced by the Australian Bureau of Meteorology as a contribution to eReefs - a collaboration between the Great Barrier Reef Foundation, Australian Government</w:t>
      </w:r>
      <w:r>
        <w:rPr>
          <w:i/>
        </w:rPr>
        <w:t>,</w:t>
      </w:r>
      <w:r w:rsidRPr="004C20BB">
        <w:rPr>
          <w:i/>
        </w:rPr>
        <w:t xml:space="preserve"> Bureau of Meteorology, Commonwealth Scientific and Industrial Research Organisation, Australian Institute of Marine Science</w:t>
      </w:r>
      <w:r>
        <w:rPr>
          <w:i/>
        </w:rPr>
        <w:t xml:space="preserve"> and the Queensland Government.</w:t>
      </w:r>
      <w:r w:rsidRPr="004C20BB">
        <w:rPr>
          <w:i/>
        </w:rPr>
        <w:t xml:space="preserve"> Data are acquired from NASA spacecraft by the Bureau, Australian Institute of Marine Science, and the Commonwealth Scientific and Industrial Research Organization</w:t>
      </w:r>
      <w:r>
        <w:rPr>
          <w: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12FC35" w14:textId="77777777" w:rsidR="00312BEC" w:rsidRDefault="00312BEC" w:rsidP="008C5017">
    <w:pPr>
      <w:tabs>
        <w:tab w:val="left" w:pos="975"/>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EEC7B" w14:textId="77777777" w:rsidR="00312BEC" w:rsidRDefault="00312BEC">
    <w:pPr>
      <w:pBdr>
        <w:bottom w:val="single" w:sz="6" w:space="1"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9FED2B" w14:textId="77777777" w:rsidR="00312BEC" w:rsidRDefault="00312BEC"/>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EFAA03" w14:textId="77777777" w:rsidR="00312BEC" w:rsidRPr="008D4BB3" w:rsidRDefault="00312BEC" w:rsidP="008D4BB3">
    <w:pPr>
      <w:pStyle w:val="Header"/>
      <w:pBdr>
        <w:bottom w:val="none" w:sz="0" w:space="0" w:color="auto"/>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33603F" w14:textId="77777777" w:rsidR="00312BEC" w:rsidRDefault="00312BEC"/>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B63BC6" w14:textId="77777777" w:rsidR="00312BEC" w:rsidRDefault="00312BEC"/>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30B3ED" w14:textId="77777777" w:rsidR="00312BEC" w:rsidRPr="00C43B68" w:rsidRDefault="00312BEC" w:rsidP="00C43B68">
    <w:pPr>
      <w:pBdr>
        <w:bottom w:val="single" w:sz="12" w:space="1" w:color="0070C0"/>
      </w:pBdr>
      <w:rPr>
        <w:rFonts w:cs="Arial"/>
        <w:sz w:val="18"/>
        <w:lang w:val="en-AU"/>
      </w:rPr>
    </w:pPr>
    <w:r>
      <w:rPr>
        <w:rFonts w:cs="Arial"/>
        <w:sz w:val="18"/>
        <w:lang w:val="en-AU"/>
      </w:rPr>
      <w:t>Marine Monitoring Program: Annual Report for inshore coral reef monitoring 2014-2015</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4F97A8" w14:textId="77777777" w:rsidR="00312BEC" w:rsidRDefault="00312BEC"/>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596CE7" w14:textId="77777777" w:rsidR="00312BEC" w:rsidRPr="00262F5E" w:rsidRDefault="00312BEC" w:rsidP="008C5017">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14:paraId="02B3C4FF" w14:textId="77777777" w:rsidR="00312BEC" w:rsidRDefault="00312BE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nsid w:val="003A68F4"/>
    <w:multiLevelType w:val="hybridMultilevel"/>
    <w:tmpl w:val="41EA0A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01500CE1"/>
    <w:multiLevelType w:val="hybridMultilevel"/>
    <w:tmpl w:val="E2E03784"/>
    <w:lvl w:ilvl="0" w:tplc="33D2679E">
      <w:start w:val="1"/>
      <w:numFmt w:val="bullet"/>
      <w:lvlText w:val=""/>
      <w:lvlJc w:val="left"/>
      <w:pPr>
        <w:tabs>
          <w:tab w:val="num" w:pos="568"/>
        </w:tabs>
        <w:ind w:left="568" w:hanging="284"/>
      </w:pPr>
      <w:rPr>
        <w:rFonts w:ascii="Symbol" w:hAnsi="Symbol" w:hint="default"/>
        <w:color w:val="auto"/>
      </w:rPr>
    </w:lvl>
    <w:lvl w:ilvl="1" w:tplc="0C090003" w:tentative="1">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1">
    <w:nsid w:val="045153B5"/>
    <w:multiLevelType w:val="hybridMultilevel"/>
    <w:tmpl w:val="32F44C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065F2D5F"/>
    <w:multiLevelType w:val="hybridMultilevel"/>
    <w:tmpl w:val="9438A8DE"/>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3">
    <w:nsid w:val="08CE6A84"/>
    <w:multiLevelType w:val="hybridMultilevel"/>
    <w:tmpl w:val="287EBDB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0D9240C5"/>
    <w:multiLevelType w:val="hybridMultilevel"/>
    <w:tmpl w:val="01D463AC"/>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0DB6250B"/>
    <w:multiLevelType w:val="hybridMultilevel"/>
    <w:tmpl w:val="A5B0E45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6">
    <w:nsid w:val="102804C8"/>
    <w:multiLevelType w:val="hybridMultilevel"/>
    <w:tmpl w:val="2892D430"/>
    <w:lvl w:ilvl="0" w:tplc="0C09000F">
      <w:start w:val="1"/>
      <w:numFmt w:val="decimal"/>
      <w:lvlText w:val="%1."/>
      <w:lvlJc w:val="left"/>
      <w:pPr>
        <w:ind w:left="36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18E52DEE"/>
    <w:multiLevelType w:val="hybridMultilevel"/>
    <w:tmpl w:val="87FEB7A0"/>
    <w:lvl w:ilvl="0" w:tplc="0C090001">
      <w:start w:val="1"/>
      <w:numFmt w:val="bullet"/>
      <w:lvlText w:val=""/>
      <w:lvlJc w:val="left"/>
      <w:pPr>
        <w:ind w:left="765" w:hanging="360"/>
      </w:pPr>
      <w:rPr>
        <w:rFonts w:ascii="Symbol" w:hAnsi="Symbol" w:hint="default"/>
      </w:rPr>
    </w:lvl>
    <w:lvl w:ilvl="1" w:tplc="0C090003">
      <w:start w:val="1"/>
      <w:numFmt w:val="bullet"/>
      <w:lvlText w:val="o"/>
      <w:lvlJc w:val="left"/>
      <w:pPr>
        <w:ind w:left="1485" w:hanging="360"/>
      </w:pPr>
      <w:rPr>
        <w:rFonts w:ascii="Courier New" w:hAnsi="Courier New" w:cs="Courier New" w:hint="default"/>
      </w:rPr>
    </w:lvl>
    <w:lvl w:ilvl="2" w:tplc="0C090005">
      <w:start w:val="1"/>
      <w:numFmt w:val="bullet"/>
      <w:lvlText w:val=""/>
      <w:lvlJc w:val="left"/>
      <w:pPr>
        <w:ind w:left="2205" w:hanging="360"/>
      </w:pPr>
      <w:rPr>
        <w:rFonts w:ascii="Wingdings" w:hAnsi="Wingdings" w:hint="default"/>
      </w:rPr>
    </w:lvl>
    <w:lvl w:ilvl="3" w:tplc="0C090001">
      <w:start w:val="1"/>
      <w:numFmt w:val="bullet"/>
      <w:lvlText w:val=""/>
      <w:lvlJc w:val="left"/>
      <w:pPr>
        <w:ind w:left="2925" w:hanging="360"/>
      </w:pPr>
      <w:rPr>
        <w:rFonts w:ascii="Symbol" w:hAnsi="Symbol" w:hint="default"/>
      </w:rPr>
    </w:lvl>
    <w:lvl w:ilvl="4" w:tplc="0C090003">
      <w:start w:val="1"/>
      <w:numFmt w:val="bullet"/>
      <w:lvlText w:val="o"/>
      <w:lvlJc w:val="left"/>
      <w:pPr>
        <w:ind w:left="3645" w:hanging="360"/>
      </w:pPr>
      <w:rPr>
        <w:rFonts w:ascii="Courier New" w:hAnsi="Courier New" w:cs="Courier New" w:hint="default"/>
      </w:rPr>
    </w:lvl>
    <w:lvl w:ilvl="5" w:tplc="0C090005">
      <w:start w:val="1"/>
      <w:numFmt w:val="bullet"/>
      <w:lvlText w:val=""/>
      <w:lvlJc w:val="left"/>
      <w:pPr>
        <w:ind w:left="4365" w:hanging="360"/>
      </w:pPr>
      <w:rPr>
        <w:rFonts w:ascii="Wingdings" w:hAnsi="Wingdings" w:hint="default"/>
      </w:rPr>
    </w:lvl>
    <w:lvl w:ilvl="6" w:tplc="0C090001">
      <w:start w:val="1"/>
      <w:numFmt w:val="bullet"/>
      <w:lvlText w:val=""/>
      <w:lvlJc w:val="left"/>
      <w:pPr>
        <w:ind w:left="5085" w:hanging="360"/>
      </w:pPr>
      <w:rPr>
        <w:rFonts w:ascii="Symbol" w:hAnsi="Symbol" w:hint="default"/>
      </w:rPr>
    </w:lvl>
    <w:lvl w:ilvl="7" w:tplc="0C090003">
      <w:start w:val="1"/>
      <w:numFmt w:val="bullet"/>
      <w:lvlText w:val="o"/>
      <w:lvlJc w:val="left"/>
      <w:pPr>
        <w:ind w:left="5805" w:hanging="360"/>
      </w:pPr>
      <w:rPr>
        <w:rFonts w:ascii="Courier New" w:hAnsi="Courier New" w:cs="Courier New" w:hint="default"/>
      </w:rPr>
    </w:lvl>
    <w:lvl w:ilvl="8" w:tplc="0C090005">
      <w:start w:val="1"/>
      <w:numFmt w:val="bullet"/>
      <w:lvlText w:val=""/>
      <w:lvlJc w:val="left"/>
      <w:pPr>
        <w:ind w:left="6525" w:hanging="360"/>
      </w:pPr>
      <w:rPr>
        <w:rFonts w:ascii="Wingdings" w:hAnsi="Wingdings" w:hint="default"/>
      </w:rPr>
    </w:lvl>
  </w:abstractNum>
  <w:abstractNum w:abstractNumId="18">
    <w:nsid w:val="1A237134"/>
    <w:multiLevelType w:val="hybridMultilevel"/>
    <w:tmpl w:val="563A70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1C7C022C"/>
    <w:multiLevelType w:val="hybridMultilevel"/>
    <w:tmpl w:val="D4EAAEBC"/>
    <w:lvl w:ilvl="0" w:tplc="34D06A2E">
      <w:start w:val="1"/>
      <w:numFmt w:val="decimal"/>
      <w:lvlText w:val="%1."/>
      <w:lvlJc w:val="left"/>
      <w:pPr>
        <w:ind w:left="912" w:hanging="552"/>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244C3654"/>
    <w:multiLevelType w:val="hybridMultilevel"/>
    <w:tmpl w:val="D310ACE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1">
    <w:nsid w:val="292B2297"/>
    <w:multiLevelType w:val="multilevel"/>
    <w:tmpl w:val="996EA30A"/>
    <w:lvl w:ilvl="0">
      <w:start w:val="1"/>
      <w:numFmt w:val="decimal"/>
      <w:lvlText w:val="%1."/>
      <w:lvlJc w:val="left"/>
      <w:pPr>
        <w:tabs>
          <w:tab w:val="num" w:pos="360"/>
        </w:tabs>
        <w:ind w:left="360" w:hanging="360"/>
      </w:pPr>
      <w:rPr>
        <w:rFonts w:cs="Times New Roman"/>
      </w:rPr>
    </w:lvl>
    <w:lvl w:ilvl="1">
      <w:start w:val="3"/>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2A930B32"/>
    <w:multiLevelType w:val="hybridMultilevel"/>
    <w:tmpl w:val="5F1E583C"/>
    <w:lvl w:ilvl="0" w:tplc="6674D36A">
      <w:start w:val="1"/>
      <w:numFmt w:val="decimal"/>
      <w:lvlText w:val="%1."/>
      <w:lvlJc w:val="left"/>
      <w:pPr>
        <w:ind w:left="720" w:hanging="360"/>
      </w:pPr>
      <w:rPr>
        <w:rFonts w:ascii="Arial" w:eastAsia="Times New Roman" w:hAnsi="Arial" w:cs="Times New Roman"/>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5">
    <w:nsid w:val="337C6368"/>
    <w:multiLevelType w:val="hybridMultilevel"/>
    <w:tmpl w:val="98D229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33C53C0B"/>
    <w:multiLevelType w:val="hybridMultilevel"/>
    <w:tmpl w:val="4782A1A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7">
    <w:nsid w:val="33C84B67"/>
    <w:multiLevelType w:val="hybridMultilevel"/>
    <w:tmpl w:val="259C5C0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nsid w:val="396A4B01"/>
    <w:multiLevelType w:val="multilevel"/>
    <w:tmpl w:val="394A360A"/>
    <w:lvl w:ilvl="0">
      <w:start w:val="1"/>
      <w:numFmt w:val="decimal"/>
      <w:lvlText w:val="%1."/>
      <w:lvlJc w:val="left"/>
      <w:pPr>
        <w:tabs>
          <w:tab w:val="num" w:pos="360"/>
        </w:tabs>
        <w:ind w:left="360" w:hanging="360"/>
      </w:pPr>
      <w:rPr>
        <w:rFonts w:cs="Times New Roman" w:hint="default"/>
      </w:rPr>
    </w:lvl>
    <w:lvl w:ilvl="1">
      <w:start w:val="3"/>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nsid w:val="4583683C"/>
    <w:multiLevelType w:val="hybridMultilevel"/>
    <w:tmpl w:val="B402259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0">
    <w:nsid w:val="49922A11"/>
    <w:multiLevelType w:val="hybridMultilevel"/>
    <w:tmpl w:val="2C9CEA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54C37513"/>
    <w:multiLevelType w:val="hybridMultilevel"/>
    <w:tmpl w:val="515832F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2">
    <w:nsid w:val="551B34D6"/>
    <w:multiLevelType w:val="hybridMultilevel"/>
    <w:tmpl w:val="13A4B944"/>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33">
    <w:nsid w:val="5C921552"/>
    <w:multiLevelType w:val="multilevel"/>
    <w:tmpl w:val="2710052A"/>
    <w:lvl w:ilvl="0">
      <w:start w:val="1"/>
      <w:numFmt w:val="decimal"/>
      <w:lvlText w:val="%1."/>
      <w:lvlJc w:val="left"/>
      <w:pPr>
        <w:tabs>
          <w:tab w:val="num" w:pos="360"/>
        </w:tabs>
        <w:ind w:left="360" w:hanging="360"/>
      </w:pPr>
      <w:rPr>
        <w:rFonts w:cs="Times New Roman" w:hint="default"/>
      </w:rPr>
    </w:lvl>
    <w:lvl w:ilvl="1">
      <w:start w:val="3"/>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nsid w:val="644623FC"/>
    <w:multiLevelType w:val="hybridMultilevel"/>
    <w:tmpl w:val="6AE8C0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686A07C7"/>
    <w:multiLevelType w:val="hybridMultilevel"/>
    <w:tmpl w:val="168ECD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6BA27200"/>
    <w:multiLevelType w:val="hybridMultilevel"/>
    <w:tmpl w:val="D91A3864"/>
    <w:lvl w:ilvl="0" w:tplc="D310BDBA">
      <w:start w:val="1"/>
      <w:numFmt w:val="lowerLetter"/>
      <w:lvlText w:val="%1)"/>
      <w:lvlJc w:val="left"/>
      <w:pPr>
        <w:ind w:left="720" w:hanging="360"/>
      </w:pPr>
      <w:rPr>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nsid w:val="6BAD2139"/>
    <w:multiLevelType w:val="hybridMultilevel"/>
    <w:tmpl w:val="6434A8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6DB80A14"/>
    <w:multiLevelType w:val="hybridMultilevel"/>
    <w:tmpl w:val="44502DD2"/>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40">
    <w:nsid w:val="755D4997"/>
    <w:multiLevelType w:val="hybridMultilevel"/>
    <w:tmpl w:val="B3A8A246"/>
    <w:lvl w:ilvl="0" w:tplc="0C090001">
      <w:start w:val="1"/>
      <w:numFmt w:val="bullet"/>
      <w:lvlText w:val=""/>
      <w:lvlJc w:val="left"/>
      <w:pPr>
        <w:ind w:left="778" w:hanging="360"/>
      </w:pPr>
      <w:rPr>
        <w:rFonts w:ascii="Symbol" w:hAnsi="Symbol" w:hint="default"/>
      </w:rPr>
    </w:lvl>
    <w:lvl w:ilvl="1" w:tplc="0C090003" w:tentative="1">
      <w:start w:val="1"/>
      <w:numFmt w:val="bullet"/>
      <w:lvlText w:val="o"/>
      <w:lvlJc w:val="left"/>
      <w:pPr>
        <w:ind w:left="1498" w:hanging="360"/>
      </w:pPr>
      <w:rPr>
        <w:rFonts w:ascii="Courier New" w:hAnsi="Courier New" w:cs="Courier New" w:hint="default"/>
      </w:rPr>
    </w:lvl>
    <w:lvl w:ilvl="2" w:tplc="0C090005" w:tentative="1">
      <w:start w:val="1"/>
      <w:numFmt w:val="bullet"/>
      <w:lvlText w:val=""/>
      <w:lvlJc w:val="left"/>
      <w:pPr>
        <w:ind w:left="2218" w:hanging="360"/>
      </w:pPr>
      <w:rPr>
        <w:rFonts w:ascii="Wingdings" w:hAnsi="Wingdings" w:hint="default"/>
      </w:rPr>
    </w:lvl>
    <w:lvl w:ilvl="3" w:tplc="0C090001" w:tentative="1">
      <w:start w:val="1"/>
      <w:numFmt w:val="bullet"/>
      <w:lvlText w:val=""/>
      <w:lvlJc w:val="left"/>
      <w:pPr>
        <w:ind w:left="2938" w:hanging="360"/>
      </w:pPr>
      <w:rPr>
        <w:rFonts w:ascii="Symbol" w:hAnsi="Symbol" w:hint="default"/>
      </w:rPr>
    </w:lvl>
    <w:lvl w:ilvl="4" w:tplc="0C090003" w:tentative="1">
      <w:start w:val="1"/>
      <w:numFmt w:val="bullet"/>
      <w:lvlText w:val="o"/>
      <w:lvlJc w:val="left"/>
      <w:pPr>
        <w:ind w:left="3658" w:hanging="360"/>
      </w:pPr>
      <w:rPr>
        <w:rFonts w:ascii="Courier New" w:hAnsi="Courier New" w:cs="Courier New" w:hint="default"/>
      </w:rPr>
    </w:lvl>
    <w:lvl w:ilvl="5" w:tplc="0C090005" w:tentative="1">
      <w:start w:val="1"/>
      <w:numFmt w:val="bullet"/>
      <w:lvlText w:val=""/>
      <w:lvlJc w:val="left"/>
      <w:pPr>
        <w:ind w:left="4378" w:hanging="360"/>
      </w:pPr>
      <w:rPr>
        <w:rFonts w:ascii="Wingdings" w:hAnsi="Wingdings" w:hint="default"/>
      </w:rPr>
    </w:lvl>
    <w:lvl w:ilvl="6" w:tplc="0C090001" w:tentative="1">
      <w:start w:val="1"/>
      <w:numFmt w:val="bullet"/>
      <w:lvlText w:val=""/>
      <w:lvlJc w:val="left"/>
      <w:pPr>
        <w:ind w:left="5098" w:hanging="360"/>
      </w:pPr>
      <w:rPr>
        <w:rFonts w:ascii="Symbol" w:hAnsi="Symbol" w:hint="default"/>
      </w:rPr>
    </w:lvl>
    <w:lvl w:ilvl="7" w:tplc="0C090003" w:tentative="1">
      <w:start w:val="1"/>
      <w:numFmt w:val="bullet"/>
      <w:lvlText w:val="o"/>
      <w:lvlJc w:val="left"/>
      <w:pPr>
        <w:ind w:left="5818" w:hanging="360"/>
      </w:pPr>
      <w:rPr>
        <w:rFonts w:ascii="Courier New" w:hAnsi="Courier New" w:cs="Courier New" w:hint="default"/>
      </w:rPr>
    </w:lvl>
    <w:lvl w:ilvl="8" w:tplc="0C090005" w:tentative="1">
      <w:start w:val="1"/>
      <w:numFmt w:val="bullet"/>
      <w:lvlText w:val=""/>
      <w:lvlJc w:val="left"/>
      <w:pPr>
        <w:ind w:left="6538" w:hanging="360"/>
      </w:pPr>
      <w:rPr>
        <w:rFonts w:ascii="Wingdings" w:hAnsi="Wingdings" w:hint="default"/>
      </w:rPr>
    </w:lvl>
  </w:abstractNum>
  <w:abstractNum w:abstractNumId="41">
    <w:nsid w:val="78A519C7"/>
    <w:multiLevelType w:val="hybridMultilevel"/>
    <w:tmpl w:val="FA84315C"/>
    <w:lvl w:ilvl="0" w:tplc="DDDCC994">
      <w:start w:val="1"/>
      <w:numFmt w:val="bullet"/>
      <w:lvlText w:val=""/>
      <w:lvlJc w:val="left"/>
      <w:pPr>
        <w:ind w:left="780" w:hanging="360"/>
      </w:pPr>
      <w:rPr>
        <w:rFonts w:ascii="Symbol" w:hAnsi="Symbol" w:hint="default"/>
        <w:color w:val="000000" w:themeColor="text1"/>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42">
    <w:nsid w:val="793246BD"/>
    <w:multiLevelType w:val="hybridMultilevel"/>
    <w:tmpl w:val="1ADA68C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43">
    <w:nsid w:val="7B4E2C9B"/>
    <w:multiLevelType w:val="hybridMultilevel"/>
    <w:tmpl w:val="38B25D90"/>
    <w:lvl w:ilvl="0" w:tplc="B9AA6640">
      <w:start w:val="1"/>
      <w:numFmt w:val="lowerLetter"/>
      <w:lvlText w:val="%1)"/>
      <w:lvlJc w:val="left"/>
      <w:pPr>
        <w:ind w:left="450" w:hanging="360"/>
      </w:pPr>
      <w:rPr>
        <w:rFonts w:hint="default"/>
      </w:rPr>
    </w:lvl>
    <w:lvl w:ilvl="1" w:tplc="0C090019" w:tentative="1">
      <w:start w:val="1"/>
      <w:numFmt w:val="lowerLetter"/>
      <w:lvlText w:val="%2."/>
      <w:lvlJc w:val="left"/>
      <w:pPr>
        <w:ind w:left="1170" w:hanging="360"/>
      </w:pPr>
    </w:lvl>
    <w:lvl w:ilvl="2" w:tplc="0C09001B" w:tentative="1">
      <w:start w:val="1"/>
      <w:numFmt w:val="lowerRoman"/>
      <w:lvlText w:val="%3."/>
      <w:lvlJc w:val="right"/>
      <w:pPr>
        <w:ind w:left="1890" w:hanging="180"/>
      </w:pPr>
    </w:lvl>
    <w:lvl w:ilvl="3" w:tplc="0C09000F" w:tentative="1">
      <w:start w:val="1"/>
      <w:numFmt w:val="decimal"/>
      <w:lvlText w:val="%4."/>
      <w:lvlJc w:val="left"/>
      <w:pPr>
        <w:ind w:left="2610" w:hanging="360"/>
      </w:pPr>
    </w:lvl>
    <w:lvl w:ilvl="4" w:tplc="0C090019" w:tentative="1">
      <w:start w:val="1"/>
      <w:numFmt w:val="lowerLetter"/>
      <w:lvlText w:val="%5."/>
      <w:lvlJc w:val="left"/>
      <w:pPr>
        <w:ind w:left="3330" w:hanging="360"/>
      </w:pPr>
    </w:lvl>
    <w:lvl w:ilvl="5" w:tplc="0C09001B" w:tentative="1">
      <w:start w:val="1"/>
      <w:numFmt w:val="lowerRoman"/>
      <w:lvlText w:val="%6."/>
      <w:lvlJc w:val="right"/>
      <w:pPr>
        <w:ind w:left="4050" w:hanging="180"/>
      </w:pPr>
    </w:lvl>
    <w:lvl w:ilvl="6" w:tplc="0C09000F" w:tentative="1">
      <w:start w:val="1"/>
      <w:numFmt w:val="decimal"/>
      <w:lvlText w:val="%7."/>
      <w:lvlJc w:val="left"/>
      <w:pPr>
        <w:ind w:left="4770" w:hanging="360"/>
      </w:pPr>
    </w:lvl>
    <w:lvl w:ilvl="7" w:tplc="0C090019" w:tentative="1">
      <w:start w:val="1"/>
      <w:numFmt w:val="lowerLetter"/>
      <w:lvlText w:val="%8."/>
      <w:lvlJc w:val="left"/>
      <w:pPr>
        <w:ind w:left="5490" w:hanging="360"/>
      </w:pPr>
    </w:lvl>
    <w:lvl w:ilvl="8" w:tplc="0C09001B" w:tentative="1">
      <w:start w:val="1"/>
      <w:numFmt w:val="lowerRoman"/>
      <w:lvlText w:val="%9."/>
      <w:lvlJc w:val="right"/>
      <w:pPr>
        <w:ind w:left="6210" w:hanging="180"/>
      </w:pPr>
    </w:lvl>
  </w:abstractNum>
  <w:abstractNum w:abstractNumId="44">
    <w:nsid w:val="7F5373F4"/>
    <w:multiLevelType w:val="multilevel"/>
    <w:tmpl w:val="9FFC35CE"/>
    <w:lvl w:ilvl="0">
      <w:start w:val="1"/>
      <w:numFmt w:val="decimal"/>
      <w:pStyle w:val="Heading1"/>
      <w:lvlText w:val="%1."/>
      <w:lvlJc w:val="left"/>
      <w:pPr>
        <w:tabs>
          <w:tab w:val="num" w:pos="360"/>
        </w:tabs>
        <w:ind w:left="360" w:hanging="360"/>
      </w:pPr>
      <w:rPr>
        <w:rFonts w:cs="Times New Roman" w:hint="default"/>
      </w:rPr>
    </w:lvl>
    <w:lvl w:ilvl="1">
      <w:start w:val="3"/>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4"/>
  </w:num>
  <w:num w:numId="2">
    <w:abstractNumId w:val="33"/>
  </w:num>
  <w:num w:numId="3">
    <w:abstractNumId w:val="23"/>
  </w:num>
  <w:num w:numId="4">
    <w:abstractNumId w:val="10"/>
  </w:num>
  <w:num w:numId="5">
    <w:abstractNumId w:val="8"/>
  </w:num>
  <w:num w:numId="6">
    <w:abstractNumId w:val="6"/>
  </w:num>
  <w:num w:numId="7">
    <w:abstractNumId w:val="5"/>
  </w:num>
  <w:num w:numId="8">
    <w:abstractNumId w:val="4"/>
  </w:num>
  <w:num w:numId="9">
    <w:abstractNumId w:val="7"/>
  </w:num>
  <w:num w:numId="10">
    <w:abstractNumId w:val="3"/>
  </w:num>
  <w:num w:numId="11">
    <w:abstractNumId w:val="2"/>
  </w:num>
  <w:num w:numId="12">
    <w:abstractNumId w:val="1"/>
  </w:num>
  <w:num w:numId="13">
    <w:abstractNumId w:val="0"/>
  </w:num>
  <w:num w:numId="14">
    <w:abstractNumId w:val="41"/>
  </w:num>
  <w:num w:numId="15">
    <w:abstractNumId w:val="35"/>
  </w:num>
  <w:num w:numId="16">
    <w:abstractNumId w:val="19"/>
  </w:num>
  <w:num w:numId="17">
    <w:abstractNumId w:val="40"/>
  </w:num>
  <w:num w:numId="18">
    <w:abstractNumId w:val="36"/>
  </w:num>
  <w:num w:numId="19">
    <w:abstractNumId w:val="20"/>
  </w:num>
  <w:num w:numId="20">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 w:numId="22">
    <w:abstractNumId w:val="42"/>
  </w:num>
  <w:num w:numId="23">
    <w:abstractNumId w:val="31"/>
  </w:num>
  <w:num w:numId="24">
    <w:abstractNumId w:val="26"/>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15"/>
  </w:num>
  <w:num w:numId="28">
    <w:abstractNumId w:val="17"/>
  </w:num>
  <w:num w:numId="29">
    <w:abstractNumId w:val="9"/>
  </w:num>
  <w:num w:numId="30">
    <w:abstractNumId w:val="32"/>
  </w:num>
  <w:num w:numId="31">
    <w:abstractNumId w:val="12"/>
  </w:num>
  <w:num w:numId="32">
    <w:abstractNumId w:val="27"/>
  </w:num>
  <w:num w:numId="33">
    <w:abstractNumId w:val="13"/>
  </w:num>
  <w:num w:numId="34">
    <w:abstractNumId w:val="22"/>
  </w:num>
  <w:num w:numId="35">
    <w:abstractNumId w:val="30"/>
  </w:num>
  <w:num w:numId="36">
    <w:abstractNumId w:val="34"/>
  </w:num>
  <w:num w:numId="37">
    <w:abstractNumId w:val="37"/>
  </w:num>
  <w:num w:numId="38">
    <w:abstractNumId w:val="25"/>
  </w:num>
  <w:num w:numId="39">
    <w:abstractNumId w:val="21"/>
  </w:num>
  <w:num w:numId="40">
    <w:abstractNumId w:val="33"/>
    <w:lvlOverride w:ilvl="0">
      <w:startOverride w:val="5"/>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8"/>
  </w:num>
  <w:num w:numId="42">
    <w:abstractNumId w:val="44"/>
  </w:num>
  <w:num w:numId="43">
    <w:abstractNumId w:val="44"/>
    <w:lvlOverride w:ilvl="0">
      <w:startOverride w:val="7"/>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4"/>
    <w:lvlOverride w:ilvl="0">
      <w:startOverride w:val="8"/>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num>
  <w:num w:numId="46">
    <w:abstractNumId w:val="16"/>
  </w:num>
  <w:num w:numId="47">
    <w:abstractNumId w:val="38"/>
  </w:num>
  <w:num w:numId="48">
    <w:abstractNumId w:val="14"/>
  </w:num>
  <w:num w:numId="49">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stylePaneFormatFilter w:val="1321" w:allStyles="1" w:customStyles="0" w:latentStyles="0" w:stylesInUse="0" w:headingStyles="1" w:numberingStyles="0" w:tableStyles="0" w:directFormattingOnRuns="1" w:directFormattingOnParagraphs="1" w:directFormattingOnNumbering="0" w:directFormattingOnTables="0" w:clearFormatting="1" w:top3HeadingStyles="0" w:visibleStyles="0" w:alternateStyleNames="0"/>
  <w:stylePaneSortMethod w:val="0004"/>
  <w:defaultTabStop w:val="720"/>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A24"/>
    <w:rsid w:val="00001956"/>
    <w:rsid w:val="000114F1"/>
    <w:rsid w:val="0001199E"/>
    <w:rsid w:val="000119B3"/>
    <w:rsid w:val="00011FFD"/>
    <w:rsid w:val="00012CD2"/>
    <w:rsid w:val="0001401C"/>
    <w:rsid w:val="00014DCC"/>
    <w:rsid w:val="00015475"/>
    <w:rsid w:val="00015CB5"/>
    <w:rsid w:val="00016545"/>
    <w:rsid w:val="0001659C"/>
    <w:rsid w:val="0001742D"/>
    <w:rsid w:val="000176B0"/>
    <w:rsid w:val="000205B0"/>
    <w:rsid w:val="00023B99"/>
    <w:rsid w:val="000260D6"/>
    <w:rsid w:val="00026729"/>
    <w:rsid w:val="00026F73"/>
    <w:rsid w:val="0003155D"/>
    <w:rsid w:val="00033CE3"/>
    <w:rsid w:val="000355B6"/>
    <w:rsid w:val="00040878"/>
    <w:rsid w:val="00042894"/>
    <w:rsid w:val="000449B0"/>
    <w:rsid w:val="000450E7"/>
    <w:rsid w:val="000450F4"/>
    <w:rsid w:val="0004538B"/>
    <w:rsid w:val="000462E4"/>
    <w:rsid w:val="00051C52"/>
    <w:rsid w:val="00052402"/>
    <w:rsid w:val="000604E3"/>
    <w:rsid w:val="00060CD2"/>
    <w:rsid w:val="0006421A"/>
    <w:rsid w:val="00064605"/>
    <w:rsid w:val="0006571C"/>
    <w:rsid w:val="00065B97"/>
    <w:rsid w:val="00074884"/>
    <w:rsid w:val="00075887"/>
    <w:rsid w:val="00076BF0"/>
    <w:rsid w:val="0008295B"/>
    <w:rsid w:val="00084053"/>
    <w:rsid w:val="00084218"/>
    <w:rsid w:val="00084A37"/>
    <w:rsid w:val="00084D09"/>
    <w:rsid w:val="00085A53"/>
    <w:rsid w:val="0009044B"/>
    <w:rsid w:val="00090BCC"/>
    <w:rsid w:val="000954E2"/>
    <w:rsid w:val="00096767"/>
    <w:rsid w:val="00096D9A"/>
    <w:rsid w:val="00097F55"/>
    <w:rsid w:val="000A2218"/>
    <w:rsid w:val="000A241F"/>
    <w:rsid w:val="000A3DCB"/>
    <w:rsid w:val="000A4629"/>
    <w:rsid w:val="000A7571"/>
    <w:rsid w:val="000B2FC5"/>
    <w:rsid w:val="000B32D5"/>
    <w:rsid w:val="000B42CD"/>
    <w:rsid w:val="000B5CDC"/>
    <w:rsid w:val="000C1EF8"/>
    <w:rsid w:val="000C31DB"/>
    <w:rsid w:val="000C6FB1"/>
    <w:rsid w:val="000C6FCB"/>
    <w:rsid w:val="000D1395"/>
    <w:rsid w:val="000D268E"/>
    <w:rsid w:val="000D2DB2"/>
    <w:rsid w:val="000D5D89"/>
    <w:rsid w:val="000E4124"/>
    <w:rsid w:val="000E5535"/>
    <w:rsid w:val="000E691C"/>
    <w:rsid w:val="000E6D75"/>
    <w:rsid w:val="000F2D5C"/>
    <w:rsid w:val="000F672F"/>
    <w:rsid w:val="000F6937"/>
    <w:rsid w:val="00100FA0"/>
    <w:rsid w:val="00106022"/>
    <w:rsid w:val="0010715D"/>
    <w:rsid w:val="001111CB"/>
    <w:rsid w:val="001155D8"/>
    <w:rsid w:val="001164A6"/>
    <w:rsid w:val="00116F15"/>
    <w:rsid w:val="00120876"/>
    <w:rsid w:val="00121FC3"/>
    <w:rsid w:val="0012336D"/>
    <w:rsid w:val="001249B7"/>
    <w:rsid w:val="001252BF"/>
    <w:rsid w:val="00127227"/>
    <w:rsid w:val="001272F2"/>
    <w:rsid w:val="00132B90"/>
    <w:rsid w:val="00134C47"/>
    <w:rsid w:val="00135744"/>
    <w:rsid w:val="00143EC4"/>
    <w:rsid w:val="00144530"/>
    <w:rsid w:val="00150AFF"/>
    <w:rsid w:val="0015403F"/>
    <w:rsid w:val="001541DE"/>
    <w:rsid w:val="00154C05"/>
    <w:rsid w:val="00155D71"/>
    <w:rsid w:val="001563B3"/>
    <w:rsid w:val="00156924"/>
    <w:rsid w:val="00156D38"/>
    <w:rsid w:val="00160AD5"/>
    <w:rsid w:val="00162AE6"/>
    <w:rsid w:val="00163853"/>
    <w:rsid w:val="001648C9"/>
    <w:rsid w:val="001661BB"/>
    <w:rsid w:val="001700D7"/>
    <w:rsid w:val="0017016E"/>
    <w:rsid w:val="00171E29"/>
    <w:rsid w:val="00172C37"/>
    <w:rsid w:val="001739D3"/>
    <w:rsid w:val="00176472"/>
    <w:rsid w:val="001768A4"/>
    <w:rsid w:val="001777C3"/>
    <w:rsid w:val="001778B8"/>
    <w:rsid w:val="00180958"/>
    <w:rsid w:val="00181273"/>
    <w:rsid w:val="001827FA"/>
    <w:rsid w:val="00183D90"/>
    <w:rsid w:val="00186731"/>
    <w:rsid w:val="00190BCA"/>
    <w:rsid w:val="00192499"/>
    <w:rsid w:val="00192EB6"/>
    <w:rsid w:val="001A3301"/>
    <w:rsid w:val="001A39DC"/>
    <w:rsid w:val="001A6D4F"/>
    <w:rsid w:val="001B1317"/>
    <w:rsid w:val="001B4129"/>
    <w:rsid w:val="001B5AFA"/>
    <w:rsid w:val="001B5FC9"/>
    <w:rsid w:val="001C2394"/>
    <w:rsid w:val="001C267C"/>
    <w:rsid w:val="001C6416"/>
    <w:rsid w:val="001D3B25"/>
    <w:rsid w:val="001D4ACE"/>
    <w:rsid w:val="001D4EC5"/>
    <w:rsid w:val="001D7DD8"/>
    <w:rsid w:val="001E031F"/>
    <w:rsid w:val="001E0646"/>
    <w:rsid w:val="001E3350"/>
    <w:rsid w:val="001E632F"/>
    <w:rsid w:val="001E684A"/>
    <w:rsid w:val="001E7922"/>
    <w:rsid w:val="001F23E2"/>
    <w:rsid w:val="001F2F84"/>
    <w:rsid w:val="001F6F06"/>
    <w:rsid w:val="001F75A1"/>
    <w:rsid w:val="0020249C"/>
    <w:rsid w:val="002040C2"/>
    <w:rsid w:val="0021071D"/>
    <w:rsid w:val="00210C17"/>
    <w:rsid w:val="002110EF"/>
    <w:rsid w:val="00212276"/>
    <w:rsid w:val="002168E2"/>
    <w:rsid w:val="00216DB8"/>
    <w:rsid w:val="00216E77"/>
    <w:rsid w:val="00217133"/>
    <w:rsid w:val="00222E24"/>
    <w:rsid w:val="00231675"/>
    <w:rsid w:val="00231BB8"/>
    <w:rsid w:val="0023296B"/>
    <w:rsid w:val="00234F71"/>
    <w:rsid w:val="002358BA"/>
    <w:rsid w:val="002422E9"/>
    <w:rsid w:val="002458FB"/>
    <w:rsid w:val="002504B2"/>
    <w:rsid w:val="00250ACA"/>
    <w:rsid w:val="00252B08"/>
    <w:rsid w:val="00254101"/>
    <w:rsid w:val="0025415C"/>
    <w:rsid w:val="00254629"/>
    <w:rsid w:val="00255B7A"/>
    <w:rsid w:val="0026052F"/>
    <w:rsid w:val="00260EFC"/>
    <w:rsid w:val="0026439F"/>
    <w:rsid w:val="002652E9"/>
    <w:rsid w:val="00267FB5"/>
    <w:rsid w:val="00274BB1"/>
    <w:rsid w:val="002763D3"/>
    <w:rsid w:val="00276D8B"/>
    <w:rsid w:val="00277CE5"/>
    <w:rsid w:val="00281F0A"/>
    <w:rsid w:val="002834D0"/>
    <w:rsid w:val="00284F17"/>
    <w:rsid w:val="002877C4"/>
    <w:rsid w:val="00291606"/>
    <w:rsid w:val="002928A4"/>
    <w:rsid w:val="002931B2"/>
    <w:rsid w:val="0029405E"/>
    <w:rsid w:val="002A0417"/>
    <w:rsid w:val="002A109D"/>
    <w:rsid w:val="002A1781"/>
    <w:rsid w:val="002A267D"/>
    <w:rsid w:val="002A28EE"/>
    <w:rsid w:val="002A32AE"/>
    <w:rsid w:val="002A5249"/>
    <w:rsid w:val="002A57AF"/>
    <w:rsid w:val="002A6792"/>
    <w:rsid w:val="002A7C72"/>
    <w:rsid w:val="002B057C"/>
    <w:rsid w:val="002B15FA"/>
    <w:rsid w:val="002B59EE"/>
    <w:rsid w:val="002B6DF5"/>
    <w:rsid w:val="002C2F1B"/>
    <w:rsid w:val="002C34C2"/>
    <w:rsid w:val="002C53DC"/>
    <w:rsid w:val="002C56B6"/>
    <w:rsid w:val="002D4B05"/>
    <w:rsid w:val="002D6EBC"/>
    <w:rsid w:val="002E20D5"/>
    <w:rsid w:val="002E6A21"/>
    <w:rsid w:val="002F0DEB"/>
    <w:rsid w:val="002F15D9"/>
    <w:rsid w:val="002F190D"/>
    <w:rsid w:val="002F24B6"/>
    <w:rsid w:val="002F28C0"/>
    <w:rsid w:val="002F4336"/>
    <w:rsid w:val="002F6E5A"/>
    <w:rsid w:val="00301695"/>
    <w:rsid w:val="003023CE"/>
    <w:rsid w:val="003045D3"/>
    <w:rsid w:val="003053B5"/>
    <w:rsid w:val="0030610B"/>
    <w:rsid w:val="00306AE1"/>
    <w:rsid w:val="0031139F"/>
    <w:rsid w:val="00312BEC"/>
    <w:rsid w:val="00315285"/>
    <w:rsid w:val="00315B22"/>
    <w:rsid w:val="0032060C"/>
    <w:rsid w:val="00324FB6"/>
    <w:rsid w:val="00326869"/>
    <w:rsid w:val="003273C9"/>
    <w:rsid w:val="00327673"/>
    <w:rsid w:val="0033078B"/>
    <w:rsid w:val="0033239F"/>
    <w:rsid w:val="0033244F"/>
    <w:rsid w:val="00334128"/>
    <w:rsid w:val="0033623A"/>
    <w:rsid w:val="00340F78"/>
    <w:rsid w:val="00342FF7"/>
    <w:rsid w:val="00345189"/>
    <w:rsid w:val="00345FC7"/>
    <w:rsid w:val="00346B37"/>
    <w:rsid w:val="00346CBA"/>
    <w:rsid w:val="00350739"/>
    <w:rsid w:val="00355016"/>
    <w:rsid w:val="00361331"/>
    <w:rsid w:val="003619B4"/>
    <w:rsid w:val="003652F8"/>
    <w:rsid w:val="00367B03"/>
    <w:rsid w:val="00370EEF"/>
    <w:rsid w:val="00372109"/>
    <w:rsid w:val="003751DE"/>
    <w:rsid w:val="00381647"/>
    <w:rsid w:val="00383ED2"/>
    <w:rsid w:val="0038659A"/>
    <w:rsid w:val="00386D94"/>
    <w:rsid w:val="003870C2"/>
    <w:rsid w:val="0039114A"/>
    <w:rsid w:val="0039303A"/>
    <w:rsid w:val="00393289"/>
    <w:rsid w:val="00396544"/>
    <w:rsid w:val="003A064F"/>
    <w:rsid w:val="003A08D8"/>
    <w:rsid w:val="003A1EFE"/>
    <w:rsid w:val="003A3C1D"/>
    <w:rsid w:val="003A4236"/>
    <w:rsid w:val="003B3573"/>
    <w:rsid w:val="003B5B93"/>
    <w:rsid w:val="003C0AC1"/>
    <w:rsid w:val="003C3A1E"/>
    <w:rsid w:val="003D0F72"/>
    <w:rsid w:val="003D1B54"/>
    <w:rsid w:val="003D32A2"/>
    <w:rsid w:val="003D356A"/>
    <w:rsid w:val="003D55AA"/>
    <w:rsid w:val="003D5E44"/>
    <w:rsid w:val="003D6188"/>
    <w:rsid w:val="003D66C3"/>
    <w:rsid w:val="003D6C46"/>
    <w:rsid w:val="003D6D87"/>
    <w:rsid w:val="003E0227"/>
    <w:rsid w:val="003E306B"/>
    <w:rsid w:val="003E4B14"/>
    <w:rsid w:val="003E6A57"/>
    <w:rsid w:val="003E78FD"/>
    <w:rsid w:val="003F0873"/>
    <w:rsid w:val="003F1196"/>
    <w:rsid w:val="003F2C40"/>
    <w:rsid w:val="003F3DBB"/>
    <w:rsid w:val="003F4FD5"/>
    <w:rsid w:val="004034B5"/>
    <w:rsid w:val="004051E6"/>
    <w:rsid w:val="00406BD7"/>
    <w:rsid w:val="004118F6"/>
    <w:rsid w:val="0041191E"/>
    <w:rsid w:val="00413104"/>
    <w:rsid w:val="0041415A"/>
    <w:rsid w:val="00416FA1"/>
    <w:rsid w:val="004216B7"/>
    <w:rsid w:val="00422A03"/>
    <w:rsid w:val="00426BAC"/>
    <w:rsid w:val="00427ACC"/>
    <w:rsid w:val="004304DE"/>
    <w:rsid w:val="00430A39"/>
    <w:rsid w:val="004320ED"/>
    <w:rsid w:val="0043235C"/>
    <w:rsid w:val="0043311B"/>
    <w:rsid w:val="00433563"/>
    <w:rsid w:val="004337F8"/>
    <w:rsid w:val="00435BF5"/>
    <w:rsid w:val="0043643D"/>
    <w:rsid w:val="00440AB0"/>
    <w:rsid w:val="00441184"/>
    <w:rsid w:val="00441D3F"/>
    <w:rsid w:val="0044231E"/>
    <w:rsid w:val="00444FCD"/>
    <w:rsid w:val="00446156"/>
    <w:rsid w:val="004462C7"/>
    <w:rsid w:val="004469BD"/>
    <w:rsid w:val="0045156C"/>
    <w:rsid w:val="00452BD9"/>
    <w:rsid w:val="00457EB1"/>
    <w:rsid w:val="00463651"/>
    <w:rsid w:val="0046792F"/>
    <w:rsid w:val="00471A12"/>
    <w:rsid w:val="00472E88"/>
    <w:rsid w:val="00474974"/>
    <w:rsid w:val="00475B7A"/>
    <w:rsid w:val="00477193"/>
    <w:rsid w:val="00481EAA"/>
    <w:rsid w:val="004824E1"/>
    <w:rsid w:val="00487CA0"/>
    <w:rsid w:val="00492116"/>
    <w:rsid w:val="004922D2"/>
    <w:rsid w:val="00493E76"/>
    <w:rsid w:val="00494EBF"/>
    <w:rsid w:val="0049629B"/>
    <w:rsid w:val="004A096B"/>
    <w:rsid w:val="004A1601"/>
    <w:rsid w:val="004A1E57"/>
    <w:rsid w:val="004A4AD2"/>
    <w:rsid w:val="004A65A6"/>
    <w:rsid w:val="004A6B26"/>
    <w:rsid w:val="004A6ED3"/>
    <w:rsid w:val="004C0333"/>
    <w:rsid w:val="004C20BB"/>
    <w:rsid w:val="004C2579"/>
    <w:rsid w:val="004C4B45"/>
    <w:rsid w:val="004C5C0D"/>
    <w:rsid w:val="004C6289"/>
    <w:rsid w:val="004C7867"/>
    <w:rsid w:val="004D0692"/>
    <w:rsid w:val="004D0FFA"/>
    <w:rsid w:val="004D2745"/>
    <w:rsid w:val="004D2B29"/>
    <w:rsid w:val="004D3625"/>
    <w:rsid w:val="004D6D04"/>
    <w:rsid w:val="004D6E78"/>
    <w:rsid w:val="004D76BE"/>
    <w:rsid w:val="004E1553"/>
    <w:rsid w:val="004E2371"/>
    <w:rsid w:val="004E35D0"/>
    <w:rsid w:val="004F0242"/>
    <w:rsid w:val="004F3736"/>
    <w:rsid w:val="004F3901"/>
    <w:rsid w:val="004F3D40"/>
    <w:rsid w:val="004F4CA3"/>
    <w:rsid w:val="004F70A5"/>
    <w:rsid w:val="00500B4F"/>
    <w:rsid w:val="00501813"/>
    <w:rsid w:val="00505C03"/>
    <w:rsid w:val="005076D6"/>
    <w:rsid w:val="00510979"/>
    <w:rsid w:val="00513F91"/>
    <w:rsid w:val="005167C9"/>
    <w:rsid w:val="005178A5"/>
    <w:rsid w:val="00520759"/>
    <w:rsid w:val="00520C58"/>
    <w:rsid w:val="00521E9E"/>
    <w:rsid w:val="0052217F"/>
    <w:rsid w:val="00522D23"/>
    <w:rsid w:val="005233EB"/>
    <w:rsid w:val="00523D87"/>
    <w:rsid w:val="005247C4"/>
    <w:rsid w:val="00525065"/>
    <w:rsid w:val="0053182D"/>
    <w:rsid w:val="005345E1"/>
    <w:rsid w:val="00536E4D"/>
    <w:rsid w:val="005405B2"/>
    <w:rsid w:val="0054101D"/>
    <w:rsid w:val="00541958"/>
    <w:rsid w:val="00543F1C"/>
    <w:rsid w:val="005455E7"/>
    <w:rsid w:val="00546EB8"/>
    <w:rsid w:val="005517BB"/>
    <w:rsid w:val="00553772"/>
    <w:rsid w:val="00553D76"/>
    <w:rsid w:val="00555396"/>
    <w:rsid w:val="005553A2"/>
    <w:rsid w:val="00556F68"/>
    <w:rsid w:val="00570181"/>
    <w:rsid w:val="00570B67"/>
    <w:rsid w:val="0057143E"/>
    <w:rsid w:val="0057169A"/>
    <w:rsid w:val="005716C0"/>
    <w:rsid w:val="00572A2C"/>
    <w:rsid w:val="00574569"/>
    <w:rsid w:val="00574863"/>
    <w:rsid w:val="00581CB9"/>
    <w:rsid w:val="00581FB3"/>
    <w:rsid w:val="00583B90"/>
    <w:rsid w:val="00583F3E"/>
    <w:rsid w:val="005853B6"/>
    <w:rsid w:val="005859DE"/>
    <w:rsid w:val="00586C44"/>
    <w:rsid w:val="00590C38"/>
    <w:rsid w:val="00595BB5"/>
    <w:rsid w:val="005A065B"/>
    <w:rsid w:val="005A0708"/>
    <w:rsid w:val="005A0A7D"/>
    <w:rsid w:val="005A0D19"/>
    <w:rsid w:val="005A0E43"/>
    <w:rsid w:val="005A6626"/>
    <w:rsid w:val="005B086B"/>
    <w:rsid w:val="005B2E4D"/>
    <w:rsid w:val="005B6DEB"/>
    <w:rsid w:val="005C0552"/>
    <w:rsid w:val="005C1709"/>
    <w:rsid w:val="005C258D"/>
    <w:rsid w:val="005C28C3"/>
    <w:rsid w:val="005D0A45"/>
    <w:rsid w:val="005D1885"/>
    <w:rsid w:val="005D2B3B"/>
    <w:rsid w:val="005D2F9F"/>
    <w:rsid w:val="005D3940"/>
    <w:rsid w:val="005D48AD"/>
    <w:rsid w:val="005D4F2F"/>
    <w:rsid w:val="005E0BA2"/>
    <w:rsid w:val="005E4DC4"/>
    <w:rsid w:val="005E5E4B"/>
    <w:rsid w:val="005E705C"/>
    <w:rsid w:val="005E7FC8"/>
    <w:rsid w:val="005F2FB5"/>
    <w:rsid w:val="005F565B"/>
    <w:rsid w:val="00600D2C"/>
    <w:rsid w:val="006017A7"/>
    <w:rsid w:val="00606803"/>
    <w:rsid w:val="00607DBF"/>
    <w:rsid w:val="00613E31"/>
    <w:rsid w:val="00621A64"/>
    <w:rsid w:val="00623D39"/>
    <w:rsid w:val="006252FD"/>
    <w:rsid w:val="006305E9"/>
    <w:rsid w:val="0063201C"/>
    <w:rsid w:val="0063376B"/>
    <w:rsid w:val="00633C68"/>
    <w:rsid w:val="00633D7B"/>
    <w:rsid w:val="006357F4"/>
    <w:rsid w:val="0063597F"/>
    <w:rsid w:val="00636AE7"/>
    <w:rsid w:val="00640444"/>
    <w:rsid w:val="006443C9"/>
    <w:rsid w:val="00646A42"/>
    <w:rsid w:val="00646DCA"/>
    <w:rsid w:val="00651033"/>
    <w:rsid w:val="00651AE0"/>
    <w:rsid w:val="00653B1B"/>
    <w:rsid w:val="00653FAC"/>
    <w:rsid w:val="00655477"/>
    <w:rsid w:val="00655500"/>
    <w:rsid w:val="006561AA"/>
    <w:rsid w:val="006608FC"/>
    <w:rsid w:val="00661AF9"/>
    <w:rsid w:val="006627BC"/>
    <w:rsid w:val="00667AB6"/>
    <w:rsid w:val="00670BC8"/>
    <w:rsid w:val="006714A8"/>
    <w:rsid w:val="0067214C"/>
    <w:rsid w:val="006802CE"/>
    <w:rsid w:val="00680FBC"/>
    <w:rsid w:val="00685F2B"/>
    <w:rsid w:val="0069124E"/>
    <w:rsid w:val="006916AD"/>
    <w:rsid w:val="00692281"/>
    <w:rsid w:val="006931A2"/>
    <w:rsid w:val="00695759"/>
    <w:rsid w:val="006A0D8D"/>
    <w:rsid w:val="006A1B4E"/>
    <w:rsid w:val="006A31B8"/>
    <w:rsid w:val="006A4022"/>
    <w:rsid w:val="006A4E98"/>
    <w:rsid w:val="006A55F4"/>
    <w:rsid w:val="006A7515"/>
    <w:rsid w:val="006B0144"/>
    <w:rsid w:val="006B08D7"/>
    <w:rsid w:val="006B3B22"/>
    <w:rsid w:val="006B3F81"/>
    <w:rsid w:val="006B4E2B"/>
    <w:rsid w:val="006B52C3"/>
    <w:rsid w:val="006B5C58"/>
    <w:rsid w:val="006B6D8C"/>
    <w:rsid w:val="006B6DA8"/>
    <w:rsid w:val="006C02AF"/>
    <w:rsid w:val="006C048F"/>
    <w:rsid w:val="006C16E2"/>
    <w:rsid w:val="006C5434"/>
    <w:rsid w:val="006C593C"/>
    <w:rsid w:val="006C6631"/>
    <w:rsid w:val="006C76A8"/>
    <w:rsid w:val="006D070D"/>
    <w:rsid w:val="006D0755"/>
    <w:rsid w:val="006D0A76"/>
    <w:rsid w:val="006D3890"/>
    <w:rsid w:val="006D4BEA"/>
    <w:rsid w:val="006D561F"/>
    <w:rsid w:val="006D5D0D"/>
    <w:rsid w:val="006D63EA"/>
    <w:rsid w:val="006D709F"/>
    <w:rsid w:val="006E1AA0"/>
    <w:rsid w:val="006E23EE"/>
    <w:rsid w:val="006E3264"/>
    <w:rsid w:val="006E3C16"/>
    <w:rsid w:val="006E5110"/>
    <w:rsid w:val="006E5B54"/>
    <w:rsid w:val="006E5C1E"/>
    <w:rsid w:val="006E6553"/>
    <w:rsid w:val="006E6CD6"/>
    <w:rsid w:val="006F0F0B"/>
    <w:rsid w:val="006F1ACE"/>
    <w:rsid w:val="006F2BDB"/>
    <w:rsid w:val="006F4930"/>
    <w:rsid w:val="006F5BF8"/>
    <w:rsid w:val="0070017D"/>
    <w:rsid w:val="00705CB6"/>
    <w:rsid w:val="007062EE"/>
    <w:rsid w:val="007063F3"/>
    <w:rsid w:val="007115C9"/>
    <w:rsid w:val="00714423"/>
    <w:rsid w:val="00715958"/>
    <w:rsid w:val="00716442"/>
    <w:rsid w:val="00720430"/>
    <w:rsid w:val="00720C7E"/>
    <w:rsid w:val="00721080"/>
    <w:rsid w:val="007232CE"/>
    <w:rsid w:val="007245E8"/>
    <w:rsid w:val="007255C7"/>
    <w:rsid w:val="007263B6"/>
    <w:rsid w:val="007304CF"/>
    <w:rsid w:val="007372D2"/>
    <w:rsid w:val="00737850"/>
    <w:rsid w:val="00741EF2"/>
    <w:rsid w:val="00743AF3"/>
    <w:rsid w:val="0074434A"/>
    <w:rsid w:val="007473CE"/>
    <w:rsid w:val="00752EB1"/>
    <w:rsid w:val="00755447"/>
    <w:rsid w:val="0075554F"/>
    <w:rsid w:val="00755F97"/>
    <w:rsid w:val="00756EA9"/>
    <w:rsid w:val="00757397"/>
    <w:rsid w:val="007601C0"/>
    <w:rsid w:val="007620A6"/>
    <w:rsid w:val="00766D9D"/>
    <w:rsid w:val="00767C10"/>
    <w:rsid w:val="007706C0"/>
    <w:rsid w:val="00773FDE"/>
    <w:rsid w:val="00776E6E"/>
    <w:rsid w:val="00777800"/>
    <w:rsid w:val="00777E52"/>
    <w:rsid w:val="0078113B"/>
    <w:rsid w:val="0078195E"/>
    <w:rsid w:val="00781BD6"/>
    <w:rsid w:val="00782312"/>
    <w:rsid w:val="00782894"/>
    <w:rsid w:val="00782E3F"/>
    <w:rsid w:val="00782ECB"/>
    <w:rsid w:val="0078561E"/>
    <w:rsid w:val="00790B48"/>
    <w:rsid w:val="00792EDF"/>
    <w:rsid w:val="00793C48"/>
    <w:rsid w:val="007A0542"/>
    <w:rsid w:val="007A19C9"/>
    <w:rsid w:val="007A2798"/>
    <w:rsid w:val="007A3D01"/>
    <w:rsid w:val="007A5DAF"/>
    <w:rsid w:val="007A6007"/>
    <w:rsid w:val="007B091C"/>
    <w:rsid w:val="007C02E4"/>
    <w:rsid w:val="007C4AE0"/>
    <w:rsid w:val="007C6D92"/>
    <w:rsid w:val="007D0ABB"/>
    <w:rsid w:val="007D12BE"/>
    <w:rsid w:val="007D23CA"/>
    <w:rsid w:val="007D4B16"/>
    <w:rsid w:val="007D754F"/>
    <w:rsid w:val="007E0446"/>
    <w:rsid w:val="007E5B6D"/>
    <w:rsid w:val="007E666A"/>
    <w:rsid w:val="007E7510"/>
    <w:rsid w:val="007F18E5"/>
    <w:rsid w:val="007F200F"/>
    <w:rsid w:val="007F2887"/>
    <w:rsid w:val="007F377D"/>
    <w:rsid w:val="007F420E"/>
    <w:rsid w:val="007F72C5"/>
    <w:rsid w:val="007F7841"/>
    <w:rsid w:val="008016B6"/>
    <w:rsid w:val="00802CBE"/>
    <w:rsid w:val="00804ECE"/>
    <w:rsid w:val="00804EEB"/>
    <w:rsid w:val="00805A6E"/>
    <w:rsid w:val="00805E1C"/>
    <w:rsid w:val="00806618"/>
    <w:rsid w:val="00811572"/>
    <w:rsid w:val="00815D1D"/>
    <w:rsid w:val="00816B92"/>
    <w:rsid w:val="00817465"/>
    <w:rsid w:val="0081765A"/>
    <w:rsid w:val="00820308"/>
    <w:rsid w:val="008214BF"/>
    <w:rsid w:val="008218B9"/>
    <w:rsid w:val="008219CD"/>
    <w:rsid w:val="00823331"/>
    <w:rsid w:val="00830B6D"/>
    <w:rsid w:val="0083201C"/>
    <w:rsid w:val="0083330E"/>
    <w:rsid w:val="00833B1F"/>
    <w:rsid w:val="0083458F"/>
    <w:rsid w:val="00835454"/>
    <w:rsid w:val="008365B5"/>
    <w:rsid w:val="00840D3B"/>
    <w:rsid w:val="00841A85"/>
    <w:rsid w:val="00842429"/>
    <w:rsid w:val="00843642"/>
    <w:rsid w:val="00843918"/>
    <w:rsid w:val="00844DF9"/>
    <w:rsid w:val="00851754"/>
    <w:rsid w:val="00851E4A"/>
    <w:rsid w:val="00855728"/>
    <w:rsid w:val="0086066F"/>
    <w:rsid w:val="00860BB2"/>
    <w:rsid w:val="00860E07"/>
    <w:rsid w:val="0086604D"/>
    <w:rsid w:val="00866C2A"/>
    <w:rsid w:val="00867E23"/>
    <w:rsid w:val="0087114A"/>
    <w:rsid w:val="00872986"/>
    <w:rsid w:val="00872CBA"/>
    <w:rsid w:val="0087527D"/>
    <w:rsid w:val="008774A5"/>
    <w:rsid w:val="0088288C"/>
    <w:rsid w:val="0088572E"/>
    <w:rsid w:val="00885A94"/>
    <w:rsid w:val="00885CBB"/>
    <w:rsid w:val="00886358"/>
    <w:rsid w:val="008864D1"/>
    <w:rsid w:val="0088707A"/>
    <w:rsid w:val="00887501"/>
    <w:rsid w:val="00890762"/>
    <w:rsid w:val="00891308"/>
    <w:rsid w:val="00893B6E"/>
    <w:rsid w:val="00897BEE"/>
    <w:rsid w:val="008A01BF"/>
    <w:rsid w:val="008A0809"/>
    <w:rsid w:val="008A1A24"/>
    <w:rsid w:val="008B1269"/>
    <w:rsid w:val="008B7170"/>
    <w:rsid w:val="008B7D50"/>
    <w:rsid w:val="008C2607"/>
    <w:rsid w:val="008C2B87"/>
    <w:rsid w:val="008C2ED4"/>
    <w:rsid w:val="008C5017"/>
    <w:rsid w:val="008C51FF"/>
    <w:rsid w:val="008C7ACA"/>
    <w:rsid w:val="008D19E0"/>
    <w:rsid w:val="008D2A85"/>
    <w:rsid w:val="008D3312"/>
    <w:rsid w:val="008D482D"/>
    <w:rsid w:val="008D49AB"/>
    <w:rsid w:val="008D4BB3"/>
    <w:rsid w:val="008D738F"/>
    <w:rsid w:val="008E0B4F"/>
    <w:rsid w:val="008E2554"/>
    <w:rsid w:val="008E2CAB"/>
    <w:rsid w:val="008E3341"/>
    <w:rsid w:val="008E37D2"/>
    <w:rsid w:val="008E6308"/>
    <w:rsid w:val="008E6F11"/>
    <w:rsid w:val="008E7195"/>
    <w:rsid w:val="008E7AEE"/>
    <w:rsid w:val="008F5AE9"/>
    <w:rsid w:val="008F5BE6"/>
    <w:rsid w:val="008F6D65"/>
    <w:rsid w:val="008F7679"/>
    <w:rsid w:val="00901361"/>
    <w:rsid w:val="00903C26"/>
    <w:rsid w:val="00906A94"/>
    <w:rsid w:val="009102AB"/>
    <w:rsid w:val="009109BA"/>
    <w:rsid w:val="00911870"/>
    <w:rsid w:val="0091196B"/>
    <w:rsid w:val="0091249F"/>
    <w:rsid w:val="009139A2"/>
    <w:rsid w:val="00913EDF"/>
    <w:rsid w:val="009142F0"/>
    <w:rsid w:val="0091538C"/>
    <w:rsid w:val="009155F8"/>
    <w:rsid w:val="009203B3"/>
    <w:rsid w:val="00920495"/>
    <w:rsid w:val="009239D8"/>
    <w:rsid w:val="009242CC"/>
    <w:rsid w:val="0092708E"/>
    <w:rsid w:val="009276CC"/>
    <w:rsid w:val="0092783D"/>
    <w:rsid w:val="009362FC"/>
    <w:rsid w:val="00936BFA"/>
    <w:rsid w:val="00936EDF"/>
    <w:rsid w:val="00937BA6"/>
    <w:rsid w:val="00944204"/>
    <w:rsid w:val="009451ED"/>
    <w:rsid w:val="0094679D"/>
    <w:rsid w:val="009472E2"/>
    <w:rsid w:val="0095110B"/>
    <w:rsid w:val="009533FE"/>
    <w:rsid w:val="009548EA"/>
    <w:rsid w:val="009549AC"/>
    <w:rsid w:val="00954B71"/>
    <w:rsid w:val="00955667"/>
    <w:rsid w:val="00956827"/>
    <w:rsid w:val="00963586"/>
    <w:rsid w:val="00963F2D"/>
    <w:rsid w:val="009646AA"/>
    <w:rsid w:val="0096504D"/>
    <w:rsid w:val="00965806"/>
    <w:rsid w:val="00972D85"/>
    <w:rsid w:val="00973735"/>
    <w:rsid w:val="00973E32"/>
    <w:rsid w:val="00974540"/>
    <w:rsid w:val="00975039"/>
    <w:rsid w:val="009819D7"/>
    <w:rsid w:val="009830AD"/>
    <w:rsid w:val="0098330C"/>
    <w:rsid w:val="00984A82"/>
    <w:rsid w:val="0098520E"/>
    <w:rsid w:val="00985BBE"/>
    <w:rsid w:val="00987FA4"/>
    <w:rsid w:val="00993257"/>
    <w:rsid w:val="00997278"/>
    <w:rsid w:val="009A16C8"/>
    <w:rsid w:val="009A3C7E"/>
    <w:rsid w:val="009A5F51"/>
    <w:rsid w:val="009A6EBC"/>
    <w:rsid w:val="009B292B"/>
    <w:rsid w:val="009B342F"/>
    <w:rsid w:val="009B3C21"/>
    <w:rsid w:val="009B773D"/>
    <w:rsid w:val="009B7BBF"/>
    <w:rsid w:val="009C2F74"/>
    <w:rsid w:val="009D13C1"/>
    <w:rsid w:val="009D3707"/>
    <w:rsid w:val="009D3B8F"/>
    <w:rsid w:val="009D540B"/>
    <w:rsid w:val="009D73E5"/>
    <w:rsid w:val="009E226F"/>
    <w:rsid w:val="009E24B7"/>
    <w:rsid w:val="009E3170"/>
    <w:rsid w:val="009E3F08"/>
    <w:rsid w:val="009E59F0"/>
    <w:rsid w:val="009E6E09"/>
    <w:rsid w:val="009E700A"/>
    <w:rsid w:val="009E7AD0"/>
    <w:rsid w:val="009F0F0C"/>
    <w:rsid w:val="009F11FD"/>
    <w:rsid w:val="009F400E"/>
    <w:rsid w:val="009F780B"/>
    <w:rsid w:val="009F7C80"/>
    <w:rsid w:val="00A01797"/>
    <w:rsid w:val="00A02048"/>
    <w:rsid w:val="00A024A1"/>
    <w:rsid w:val="00A04ACF"/>
    <w:rsid w:val="00A073D4"/>
    <w:rsid w:val="00A1750F"/>
    <w:rsid w:val="00A228FB"/>
    <w:rsid w:val="00A24EFD"/>
    <w:rsid w:val="00A273EF"/>
    <w:rsid w:val="00A33471"/>
    <w:rsid w:val="00A352B2"/>
    <w:rsid w:val="00A42CD5"/>
    <w:rsid w:val="00A4319B"/>
    <w:rsid w:val="00A43F29"/>
    <w:rsid w:val="00A4781F"/>
    <w:rsid w:val="00A50344"/>
    <w:rsid w:val="00A54361"/>
    <w:rsid w:val="00A55112"/>
    <w:rsid w:val="00A5578A"/>
    <w:rsid w:val="00A63E90"/>
    <w:rsid w:val="00A65BE1"/>
    <w:rsid w:val="00A678FB"/>
    <w:rsid w:val="00A73FB8"/>
    <w:rsid w:val="00A74ACF"/>
    <w:rsid w:val="00A76024"/>
    <w:rsid w:val="00A76AE9"/>
    <w:rsid w:val="00A77C75"/>
    <w:rsid w:val="00A80FD0"/>
    <w:rsid w:val="00A8420D"/>
    <w:rsid w:val="00A84809"/>
    <w:rsid w:val="00A85060"/>
    <w:rsid w:val="00A85080"/>
    <w:rsid w:val="00A85204"/>
    <w:rsid w:val="00A874E6"/>
    <w:rsid w:val="00A91757"/>
    <w:rsid w:val="00A937E5"/>
    <w:rsid w:val="00A93AD6"/>
    <w:rsid w:val="00A94E0C"/>
    <w:rsid w:val="00A9536E"/>
    <w:rsid w:val="00A966BF"/>
    <w:rsid w:val="00AA39F6"/>
    <w:rsid w:val="00AA3C04"/>
    <w:rsid w:val="00AA6CF4"/>
    <w:rsid w:val="00AB651D"/>
    <w:rsid w:val="00AC274C"/>
    <w:rsid w:val="00AC34C8"/>
    <w:rsid w:val="00AC42FA"/>
    <w:rsid w:val="00AC6692"/>
    <w:rsid w:val="00AC6B85"/>
    <w:rsid w:val="00AD0FEE"/>
    <w:rsid w:val="00AD1B2C"/>
    <w:rsid w:val="00AD45CE"/>
    <w:rsid w:val="00AD507D"/>
    <w:rsid w:val="00AD5099"/>
    <w:rsid w:val="00AD61CD"/>
    <w:rsid w:val="00AD78A5"/>
    <w:rsid w:val="00AE0BFC"/>
    <w:rsid w:val="00AE26CF"/>
    <w:rsid w:val="00AE3B23"/>
    <w:rsid w:val="00AE4877"/>
    <w:rsid w:val="00AE4E6D"/>
    <w:rsid w:val="00AF06B0"/>
    <w:rsid w:val="00AF0E1F"/>
    <w:rsid w:val="00AF3BB1"/>
    <w:rsid w:val="00AF51E0"/>
    <w:rsid w:val="00AF6661"/>
    <w:rsid w:val="00AF762B"/>
    <w:rsid w:val="00B0287B"/>
    <w:rsid w:val="00B06C1B"/>
    <w:rsid w:val="00B0764F"/>
    <w:rsid w:val="00B1341C"/>
    <w:rsid w:val="00B16883"/>
    <w:rsid w:val="00B201CC"/>
    <w:rsid w:val="00B202AC"/>
    <w:rsid w:val="00B21EAD"/>
    <w:rsid w:val="00B22379"/>
    <w:rsid w:val="00B22F84"/>
    <w:rsid w:val="00B24C68"/>
    <w:rsid w:val="00B254E7"/>
    <w:rsid w:val="00B31F10"/>
    <w:rsid w:val="00B32B2E"/>
    <w:rsid w:val="00B340E2"/>
    <w:rsid w:val="00B3738D"/>
    <w:rsid w:val="00B375E6"/>
    <w:rsid w:val="00B4084C"/>
    <w:rsid w:val="00B41E3B"/>
    <w:rsid w:val="00B431B7"/>
    <w:rsid w:val="00B4351B"/>
    <w:rsid w:val="00B47FA3"/>
    <w:rsid w:val="00B52ED5"/>
    <w:rsid w:val="00B538F5"/>
    <w:rsid w:val="00B54CC2"/>
    <w:rsid w:val="00B56E91"/>
    <w:rsid w:val="00B56F9A"/>
    <w:rsid w:val="00B5754F"/>
    <w:rsid w:val="00B61881"/>
    <w:rsid w:val="00B64AEB"/>
    <w:rsid w:val="00B66D05"/>
    <w:rsid w:val="00B702DE"/>
    <w:rsid w:val="00B71E5C"/>
    <w:rsid w:val="00B74875"/>
    <w:rsid w:val="00B764F0"/>
    <w:rsid w:val="00B76A73"/>
    <w:rsid w:val="00B815F5"/>
    <w:rsid w:val="00B87057"/>
    <w:rsid w:val="00B96CE6"/>
    <w:rsid w:val="00B97B5D"/>
    <w:rsid w:val="00BA1A60"/>
    <w:rsid w:val="00BA3C71"/>
    <w:rsid w:val="00BA4109"/>
    <w:rsid w:val="00BA4FA9"/>
    <w:rsid w:val="00BA5AEB"/>
    <w:rsid w:val="00BA6FFE"/>
    <w:rsid w:val="00BB05D4"/>
    <w:rsid w:val="00BB27D3"/>
    <w:rsid w:val="00BB36B2"/>
    <w:rsid w:val="00BB3908"/>
    <w:rsid w:val="00BB691D"/>
    <w:rsid w:val="00BB6D1F"/>
    <w:rsid w:val="00BC12FE"/>
    <w:rsid w:val="00BC39AE"/>
    <w:rsid w:val="00BC4C89"/>
    <w:rsid w:val="00BC54A4"/>
    <w:rsid w:val="00BC5B60"/>
    <w:rsid w:val="00BC6B0B"/>
    <w:rsid w:val="00BD0CAB"/>
    <w:rsid w:val="00BD1DFD"/>
    <w:rsid w:val="00BD4959"/>
    <w:rsid w:val="00BD5271"/>
    <w:rsid w:val="00BD5570"/>
    <w:rsid w:val="00BE287B"/>
    <w:rsid w:val="00BE4B1A"/>
    <w:rsid w:val="00BE4EF1"/>
    <w:rsid w:val="00BE71AF"/>
    <w:rsid w:val="00BE7FAF"/>
    <w:rsid w:val="00BF385B"/>
    <w:rsid w:val="00BF3F4D"/>
    <w:rsid w:val="00BF3FC5"/>
    <w:rsid w:val="00BF5A09"/>
    <w:rsid w:val="00C00421"/>
    <w:rsid w:val="00C02559"/>
    <w:rsid w:val="00C02B12"/>
    <w:rsid w:val="00C04305"/>
    <w:rsid w:val="00C0580F"/>
    <w:rsid w:val="00C05CF7"/>
    <w:rsid w:val="00C07591"/>
    <w:rsid w:val="00C10387"/>
    <w:rsid w:val="00C11839"/>
    <w:rsid w:val="00C1193F"/>
    <w:rsid w:val="00C121F4"/>
    <w:rsid w:val="00C149A6"/>
    <w:rsid w:val="00C14A62"/>
    <w:rsid w:val="00C15536"/>
    <w:rsid w:val="00C22343"/>
    <w:rsid w:val="00C22385"/>
    <w:rsid w:val="00C22707"/>
    <w:rsid w:val="00C25670"/>
    <w:rsid w:val="00C25FB8"/>
    <w:rsid w:val="00C27C67"/>
    <w:rsid w:val="00C27D9A"/>
    <w:rsid w:val="00C32638"/>
    <w:rsid w:val="00C328A0"/>
    <w:rsid w:val="00C3395A"/>
    <w:rsid w:val="00C33ABF"/>
    <w:rsid w:val="00C356AC"/>
    <w:rsid w:val="00C357A9"/>
    <w:rsid w:val="00C40387"/>
    <w:rsid w:val="00C4187F"/>
    <w:rsid w:val="00C43B68"/>
    <w:rsid w:val="00C47738"/>
    <w:rsid w:val="00C51B10"/>
    <w:rsid w:val="00C53B7D"/>
    <w:rsid w:val="00C56729"/>
    <w:rsid w:val="00C63155"/>
    <w:rsid w:val="00C64B11"/>
    <w:rsid w:val="00C65476"/>
    <w:rsid w:val="00C66811"/>
    <w:rsid w:val="00C668BE"/>
    <w:rsid w:val="00C70CED"/>
    <w:rsid w:val="00C7303A"/>
    <w:rsid w:val="00C74114"/>
    <w:rsid w:val="00C76CFA"/>
    <w:rsid w:val="00C8062B"/>
    <w:rsid w:val="00C82FD8"/>
    <w:rsid w:val="00C8364D"/>
    <w:rsid w:val="00C839F8"/>
    <w:rsid w:val="00C853A6"/>
    <w:rsid w:val="00C860B5"/>
    <w:rsid w:val="00C875D9"/>
    <w:rsid w:val="00C87D69"/>
    <w:rsid w:val="00C9030A"/>
    <w:rsid w:val="00C91874"/>
    <w:rsid w:val="00C9339C"/>
    <w:rsid w:val="00CA0CC3"/>
    <w:rsid w:val="00CA2954"/>
    <w:rsid w:val="00CA29DC"/>
    <w:rsid w:val="00CB05A9"/>
    <w:rsid w:val="00CB47F4"/>
    <w:rsid w:val="00CB4912"/>
    <w:rsid w:val="00CB5B8A"/>
    <w:rsid w:val="00CB65F3"/>
    <w:rsid w:val="00CB709D"/>
    <w:rsid w:val="00CD157E"/>
    <w:rsid w:val="00CD2E2F"/>
    <w:rsid w:val="00CD33BD"/>
    <w:rsid w:val="00CD36C2"/>
    <w:rsid w:val="00CD58B7"/>
    <w:rsid w:val="00CD7A57"/>
    <w:rsid w:val="00CE1836"/>
    <w:rsid w:val="00CE1973"/>
    <w:rsid w:val="00CE37C2"/>
    <w:rsid w:val="00CE58A7"/>
    <w:rsid w:val="00CF11EE"/>
    <w:rsid w:val="00CF2BD8"/>
    <w:rsid w:val="00CF402D"/>
    <w:rsid w:val="00CF4F59"/>
    <w:rsid w:val="00CF5D4E"/>
    <w:rsid w:val="00CF627E"/>
    <w:rsid w:val="00CF6ADA"/>
    <w:rsid w:val="00CF70EF"/>
    <w:rsid w:val="00D01A85"/>
    <w:rsid w:val="00D02411"/>
    <w:rsid w:val="00D0241E"/>
    <w:rsid w:val="00D031AE"/>
    <w:rsid w:val="00D0462B"/>
    <w:rsid w:val="00D05896"/>
    <w:rsid w:val="00D06555"/>
    <w:rsid w:val="00D17316"/>
    <w:rsid w:val="00D204E0"/>
    <w:rsid w:val="00D20524"/>
    <w:rsid w:val="00D21C3F"/>
    <w:rsid w:val="00D230AA"/>
    <w:rsid w:val="00D24063"/>
    <w:rsid w:val="00D2433B"/>
    <w:rsid w:val="00D25473"/>
    <w:rsid w:val="00D264A4"/>
    <w:rsid w:val="00D31FCB"/>
    <w:rsid w:val="00D36497"/>
    <w:rsid w:val="00D368F0"/>
    <w:rsid w:val="00D3741B"/>
    <w:rsid w:val="00D42A65"/>
    <w:rsid w:val="00D44891"/>
    <w:rsid w:val="00D448A4"/>
    <w:rsid w:val="00D44AC9"/>
    <w:rsid w:val="00D45D65"/>
    <w:rsid w:val="00D53FA1"/>
    <w:rsid w:val="00D5404E"/>
    <w:rsid w:val="00D60FB4"/>
    <w:rsid w:val="00D618D3"/>
    <w:rsid w:val="00D61C95"/>
    <w:rsid w:val="00D623F2"/>
    <w:rsid w:val="00D624D1"/>
    <w:rsid w:val="00D646D6"/>
    <w:rsid w:val="00D64814"/>
    <w:rsid w:val="00D64FB4"/>
    <w:rsid w:val="00D6687A"/>
    <w:rsid w:val="00D70A23"/>
    <w:rsid w:val="00D71320"/>
    <w:rsid w:val="00D84990"/>
    <w:rsid w:val="00D91085"/>
    <w:rsid w:val="00D93815"/>
    <w:rsid w:val="00D94503"/>
    <w:rsid w:val="00D947C0"/>
    <w:rsid w:val="00D95174"/>
    <w:rsid w:val="00D962A3"/>
    <w:rsid w:val="00DA1B4E"/>
    <w:rsid w:val="00DA4936"/>
    <w:rsid w:val="00DA550A"/>
    <w:rsid w:val="00DA7B6E"/>
    <w:rsid w:val="00DA7F1D"/>
    <w:rsid w:val="00DB0747"/>
    <w:rsid w:val="00DB26E4"/>
    <w:rsid w:val="00DB3A70"/>
    <w:rsid w:val="00DB6841"/>
    <w:rsid w:val="00DB7D45"/>
    <w:rsid w:val="00DC04D0"/>
    <w:rsid w:val="00DC0BF6"/>
    <w:rsid w:val="00DC3023"/>
    <w:rsid w:val="00DC4665"/>
    <w:rsid w:val="00DC60D8"/>
    <w:rsid w:val="00DC624C"/>
    <w:rsid w:val="00DD01AD"/>
    <w:rsid w:val="00DD4164"/>
    <w:rsid w:val="00DD4B52"/>
    <w:rsid w:val="00DD4BB0"/>
    <w:rsid w:val="00DD61D3"/>
    <w:rsid w:val="00DD6E15"/>
    <w:rsid w:val="00DE2118"/>
    <w:rsid w:val="00DE2996"/>
    <w:rsid w:val="00DE3392"/>
    <w:rsid w:val="00DE500F"/>
    <w:rsid w:val="00DE5EF6"/>
    <w:rsid w:val="00DF6AB1"/>
    <w:rsid w:val="00E0160D"/>
    <w:rsid w:val="00E0182E"/>
    <w:rsid w:val="00E01B82"/>
    <w:rsid w:val="00E02BA6"/>
    <w:rsid w:val="00E078C6"/>
    <w:rsid w:val="00E07962"/>
    <w:rsid w:val="00E15C32"/>
    <w:rsid w:val="00E213A8"/>
    <w:rsid w:val="00E22D3F"/>
    <w:rsid w:val="00E24822"/>
    <w:rsid w:val="00E276E3"/>
    <w:rsid w:val="00E3199A"/>
    <w:rsid w:val="00E32DB9"/>
    <w:rsid w:val="00E339B6"/>
    <w:rsid w:val="00E354F6"/>
    <w:rsid w:val="00E35DE2"/>
    <w:rsid w:val="00E40307"/>
    <w:rsid w:val="00E4136F"/>
    <w:rsid w:val="00E41DC1"/>
    <w:rsid w:val="00E426B6"/>
    <w:rsid w:val="00E43C1B"/>
    <w:rsid w:val="00E46B16"/>
    <w:rsid w:val="00E51750"/>
    <w:rsid w:val="00E51EC1"/>
    <w:rsid w:val="00E56A7D"/>
    <w:rsid w:val="00E56CF1"/>
    <w:rsid w:val="00E60B57"/>
    <w:rsid w:val="00E65258"/>
    <w:rsid w:val="00E668C2"/>
    <w:rsid w:val="00E670D1"/>
    <w:rsid w:val="00E7028E"/>
    <w:rsid w:val="00E72E13"/>
    <w:rsid w:val="00E763D2"/>
    <w:rsid w:val="00E8277D"/>
    <w:rsid w:val="00E8607C"/>
    <w:rsid w:val="00E868B5"/>
    <w:rsid w:val="00E91677"/>
    <w:rsid w:val="00E920FD"/>
    <w:rsid w:val="00E93312"/>
    <w:rsid w:val="00E93F30"/>
    <w:rsid w:val="00E94FD9"/>
    <w:rsid w:val="00E95C71"/>
    <w:rsid w:val="00E96494"/>
    <w:rsid w:val="00E979B9"/>
    <w:rsid w:val="00E97BB1"/>
    <w:rsid w:val="00EA25EB"/>
    <w:rsid w:val="00EA5E10"/>
    <w:rsid w:val="00EA753F"/>
    <w:rsid w:val="00EB2345"/>
    <w:rsid w:val="00EB2425"/>
    <w:rsid w:val="00EB5372"/>
    <w:rsid w:val="00EC0B7A"/>
    <w:rsid w:val="00EC30EA"/>
    <w:rsid w:val="00EC540D"/>
    <w:rsid w:val="00ED0A91"/>
    <w:rsid w:val="00ED0E2D"/>
    <w:rsid w:val="00ED2811"/>
    <w:rsid w:val="00ED2E4B"/>
    <w:rsid w:val="00ED41B6"/>
    <w:rsid w:val="00ED6D34"/>
    <w:rsid w:val="00ED72CA"/>
    <w:rsid w:val="00EE5DC8"/>
    <w:rsid w:val="00EF015D"/>
    <w:rsid w:val="00EF030C"/>
    <w:rsid w:val="00EF0D5C"/>
    <w:rsid w:val="00EF333D"/>
    <w:rsid w:val="00EF74BD"/>
    <w:rsid w:val="00EF7563"/>
    <w:rsid w:val="00F01E19"/>
    <w:rsid w:val="00F0270D"/>
    <w:rsid w:val="00F07815"/>
    <w:rsid w:val="00F107DE"/>
    <w:rsid w:val="00F13D51"/>
    <w:rsid w:val="00F143D4"/>
    <w:rsid w:val="00F145CF"/>
    <w:rsid w:val="00F14CBA"/>
    <w:rsid w:val="00F17819"/>
    <w:rsid w:val="00F2172D"/>
    <w:rsid w:val="00F269D5"/>
    <w:rsid w:val="00F27C54"/>
    <w:rsid w:val="00F32D92"/>
    <w:rsid w:val="00F32EDF"/>
    <w:rsid w:val="00F352CD"/>
    <w:rsid w:val="00F40968"/>
    <w:rsid w:val="00F42F2D"/>
    <w:rsid w:val="00F460AB"/>
    <w:rsid w:val="00F4692D"/>
    <w:rsid w:val="00F4791C"/>
    <w:rsid w:val="00F51E55"/>
    <w:rsid w:val="00F522A9"/>
    <w:rsid w:val="00F60823"/>
    <w:rsid w:val="00F60CBF"/>
    <w:rsid w:val="00F618DE"/>
    <w:rsid w:val="00F61CF7"/>
    <w:rsid w:val="00F63B2F"/>
    <w:rsid w:val="00F65711"/>
    <w:rsid w:val="00F65DBA"/>
    <w:rsid w:val="00F72491"/>
    <w:rsid w:val="00F72A5D"/>
    <w:rsid w:val="00F73646"/>
    <w:rsid w:val="00F73F9F"/>
    <w:rsid w:val="00F750BB"/>
    <w:rsid w:val="00F75D6C"/>
    <w:rsid w:val="00F77DC0"/>
    <w:rsid w:val="00F80547"/>
    <w:rsid w:val="00F8067C"/>
    <w:rsid w:val="00F81AB9"/>
    <w:rsid w:val="00F90B2F"/>
    <w:rsid w:val="00F92154"/>
    <w:rsid w:val="00F96BDC"/>
    <w:rsid w:val="00FA06C2"/>
    <w:rsid w:val="00FA0DDB"/>
    <w:rsid w:val="00FA0E69"/>
    <w:rsid w:val="00FA2F45"/>
    <w:rsid w:val="00FA3AF5"/>
    <w:rsid w:val="00FA3DC5"/>
    <w:rsid w:val="00FA47C2"/>
    <w:rsid w:val="00FB3723"/>
    <w:rsid w:val="00FB484F"/>
    <w:rsid w:val="00FB7FD7"/>
    <w:rsid w:val="00FC1B34"/>
    <w:rsid w:val="00FC301C"/>
    <w:rsid w:val="00FC48F0"/>
    <w:rsid w:val="00FC548F"/>
    <w:rsid w:val="00FC584A"/>
    <w:rsid w:val="00FC7D2D"/>
    <w:rsid w:val="00FD1B04"/>
    <w:rsid w:val="00FD254E"/>
    <w:rsid w:val="00FD5CB7"/>
    <w:rsid w:val="00FE056E"/>
    <w:rsid w:val="00FE1A50"/>
    <w:rsid w:val="00FE4691"/>
    <w:rsid w:val="00FE4FD7"/>
    <w:rsid w:val="00FE5FD1"/>
    <w:rsid w:val="00FE7139"/>
    <w:rsid w:val="00FE78AB"/>
    <w:rsid w:val="00FF0B33"/>
    <w:rsid w:val="00FF1AEA"/>
    <w:rsid w:val="00FF1B38"/>
    <w:rsid w:val="00FF1B98"/>
    <w:rsid w:val="00FF1C00"/>
    <w:rsid w:val="00FF3A65"/>
    <w:rsid w:val="00FF44FA"/>
    <w:rsid w:val="00FF576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904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6" w:uiPriority="39"/>
    <w:lsdException w:name="toc 7"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1CF7"/>
    <w:pPr>
      <w:jc w:val="both"/>
    </w:pPr>
    <w:rPr>
      <w:rFonts w:ascii="Arial" w:eastAsia="Times New Roman" w:hAnsi="Arial" w:cs="Times New Roman"/>
      <w:szCs w:val="20"/>
      <w:lang w:val="en-GB"/>
    </w:rPr>
  </w:style>
  <w:style w:type="paragraph" w:styleId="Heading1">
    <w:name w:val="heading 1"/>
    <w:basedOn w:val="Normal"/>
    <w:next w:val="Normal"/>
    <w:link w:val="Heading1Char"/>
    <w:autoRedefine/>
    <w:uiPriority w:val="99"/>
    <w:qFormat/>
    <w:rsid w:val="006D0A76"/>
    <w:pPr>
      <w:keepNext/>
      <w:numPr>
        <w:numId w:val="42"/>
      </w:numPr>
      <w:spacing w:after="240"/>
      <w:ind w:right="-144"/>
      <w:jc w:val="left"/>
      <w:outlineLvl w:val="0"/>
    </w:pPr>
    <w:rPr>
      <w:rFonts w:eastAsia="SimSun"/>
      <w:b/>
      <w:i/>
      <w:color w:val="000000" w:themeColor="text1"/>
      <w:kern w:val="28"/>
      <w:sz w:val="32"/>
      <w:szCs w:val="28"/>
    </w:rPr>
  </w:style>
  <w:style w:type="paragraph" w:styleId="Heading2">
    <w:name w:val="heading 2"/>
    <w:aliases w:val="h2"/>
    <w:basedOn w:val="Normal"/>
    <w:next w:val="Normal"/>
    <w:link w:val="Heading2Char1"/>
    <w:uiPriority w:val="99"/>
    <w:qFormat/>
    <w:rsid w:val="008A1A24"/>
    <w:pPr>
      <w:keepNext/>
      <w:keepLines/>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autoRedefine/>
    <w:uiPriority w:val="99"/>
    <w:qFormat/>
    <w:rsid w:val="009139A2"/>
    <w:pPr>
      <w:keepNext/>
      <w:spacing w:before="240"/>
      <w:outlineLvl w:val="2"/>
    </w:pPr>
    <w:rPr>
      <w:rFonts w:eastAsia="SimSun"/>
      <w:b/>
      <w:i/>
      <w:color w:val="000000" w:themeColor="text1"/>
      <w:sz w:val="24"/>
    </w:rPr>
  </w:style>
  <w:style w:type="paragraph" w:styleId="Heading4">
    <w:name w:val="heading 4"/>
    <w:basedOn w:val="Caption"/>
    <w:next w:val="Normal"/>
    <w:link w:val="Heading4Char"/>
    <w:uiPriority w:val="99"/>
    <w:qFormat/>
    <w:rsid w:val="008A1A24"/>
    <w:pPr>
      <w:outlineLvl w:val="3"/>
    </w:pPr>
    <w:rPr>
      <w:rFonts w:ascii="Arial" w:hAnsi="Arial"/>
      <w:i/>
      <w:sz w:val="22"/>
    </w:rPr>
  </w:style>
  <w:style w:type="paragraph" w:styleId="Heading5">
    <w:name w:val="heading 5"/>
    <w:basedOn w:val="Normal"/>
    <w:next w:val="Normal"/>
    <w:link w:val="Heading5Char"/>
    <w:autoRedefine/>
    <w:uiPriority w:val="99"/>
    <w:qFormat/>
    <w:rsid w:val="008A1A24"/>
    <w:pPr>
      <w:keepNext/>
      <w:outlineLvl w:val="4"/>
    </w:pPr>
    <w:rPr>
      <w:rFonts w:ascii="Gill Sans MT" w:hAnsi="Gill Sans MT"/>
      <w:b/>
      <w:color w:val="000000"/>
    </w:rPr>
  </w:style>
  <w:style w:type="paragraph" w:styleId="Heading6">
    <w:name w:val="heading 6"/>
    <w:aliases w:val="Appendix Heading 1"/>
    <w:next w:val="Normal"/>
    <w:link w:val="Heading6Char"/>
    <w:uiPriority w:val="99"/>
    <w:qFormat/>
    <w:rsid w:val="00F80547"/>
    <w:pPr>
      <w:keepNext/>
      <w:jc w:val="center"/>
      <w:outlineLvl w:val="5"/>
    </w:pPr>
    <w:rPr>
      <w:rFonts w:ascii="Arial" w:eastAsia="SimSun" w:hAnsi="Arial" w:cs="Times New Roman"/>
      <w:color w:val="000000"/>
      <w:sz w:val="40"/>
      <w:szCs w:val="24"/>
      <w:lang w:val="en-GB"/>
    </w:rPr>
  </w:style>
  <w:style w:type="paragraph" w:styleId="Heading7">
    <w:name w:val="heading 7"/>
    <w:aliases w:val="Tables"/>
    <w:basedOn w:val="Normal"/>
    <w:next w:val="Normal"/>
    <w:link w:val="Heading7Char"/>
    <w:uiPriority w:val="99"/>
    <w:qFormat/>
    <w:rsid w:val="008A1A24"/>
    <w:pPr>
      <w:keepNext/>
      <w:outlineLvl w:val="6"/>
    </w:pPr>
    <w:rPr>
      <w:rFonts w:ascii="Arial Narrow" w:hAnsi="Arial Narrow"/>
      <w:sz w:val="20"/>
      <w:szCs w:val="24"/>
    </w:rPr>
  </w:style>
  <w:style w:type="paragraph" w:styleId="Heading8">
    <w:name w:val="heading 8"/>
    <w:basedOn w:val="Normal"/>
    <w:next w:val="Normal"/>
    <w:link w:val="Heading8Char"/>
    <w:uiPriority w:val="99"/>
    <w:qFormat/>
    <w:rsid w:val="008A1A24"/>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8A1A24"/>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6D0A76"/>
    <w:rPr>
      <w:rFonts w:ascii="Arial" w:eastAsia="SimSun" w:hAnsi="Arial" w:cs="Times New Roman"/>
      <w:b/>
      <w:i/>
      <w:color w:val="000000" w:themeColor="text1"/>
      <w:kern w:val="28"/>
      <w:sz w:val="32"/>
      <w:szCs w:val="28"/>
      <w:lang w:val="en-GB"/>
    </w:rPr>
  </w:style>
  <w:style w:type="character" w:customStyle="1" w:styleId="Heading2Char">
    <w:name w:val="Heading 2 Char"/>
    <w:aliases w:val="h2 Char"/>
    <w:basedOn w:val="DefaultParagraphFont"/>
    <w:uiPriority w:val="99"/>
    <w:rsid w:val="008A1A24"/>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9"/>
    <w:rsid w:val="009139A2"/>
    <w:rPr>
      <w:rFonts w:ascii="Arial" w:eastAsia="SimSun" w:hAnsi="Arial" w:cs="Times New Roman"/>
      <w:b/>
      <w:i/>
      <w:color w:val="000000" w:themeColor="text1"/>
      <w:sz w:val="24"/>
      <w:szCs w:val="20"/>
      <w:lang w:val="en-GB"/>
    </w:rPr>
  </w:style>
  <w:style w:type="character" w:customStyle="1" w:styleId="Heading4Char">
    <w:name w:val="Heading 4 Char"/>
    <w:basedOn w:val="DefaultParagraphFont"/>
    <w:link w:val="Heading4"/>
    <w:uiPriority w:val="99"/>
    <w:rsid w:val="008A1A24"/>
    <w:rPr>
      <w:rFonts w:ascii="Arial" w:eastAsia="SimSun" w:hAnsi="Arial" w:cs="Times New Roman"/>
      <w:i/>
      <w:szCs w:val="24"/>
      <w:lang w:val="en-GB"/>
    </w:rPr>
  </w:style>
  <w:style w:type="character" w:customStyle="1" w:styleId="Heading5Char">
    <w:name w:val="Heading 5 Char"/>
    <w:basedOn w:val="DefaultParagraphFont"/>
    <w:link w:val="Heading5"/>
    <w:uiPriority w:val="99"/>
    <w:rsid w:val="008A1A24"/>
    <w:rPr>
      <w:rFonts w:ascii="Gill Sans MT" w:eastAsia="Times New Roman" w:hAnsi="Gill Sans MT" w:cs="Times New Roman"/>
      <w:b/>
      <w:color w:val="000000"/>
      <w:szCs w:val="20"/>
      <w:lang w:val="en-GB"/>
    </w:rPr>
  </w:style>
  <w:style w:type="character" w:customStyle="1" w:styleId="Heading6Char">
    <w:name w:val="Heading 6 Char"/>
    <w:aliases w:val="Appendix Heading 1 Char"/>
    <w:basedOn w:val="DefaultParagraphFont"/>
    <w:link w:val="Heading6"/>
    <w:uiPriority w:val="99"/>
    <w:rsid w:val="00F80547"/>
    <w:rPr>
      <w:rFonts w:ascii="Arial" w:eastAsia="SimSun" w:hAnsi="Arial" w:cs="Times New Roman"/>
      <w:color w:val="000000"/>
      <w:sz w:val="40"/>
      <w:szCs w:val="24"/>
      <w:lang w:val="en-GB"/>
    </w:rPr>
  </w:style>
  <w:style w:type="character" w:customStyle="1" w:styleId="Heading7Char">
    <w:name w:val="Heading 7 Char"/>
    <w:aliases w:val="Tables Char"/>
    <w:basedOn w:val="DefaultParagraphFont"/>
    <w:link w:val="Heading7"/>
    <w:uiPriority w:val="99"/>
    <w:rsid w:val="008A1A24"/>
    <w:rPr>
      <w:rFonts w:ascii="Arial Narrow" w:eastAsia="Times New Roman" w:hAnsi="Arial Narrow" w:cs="Times New Roman"/>
      <w:sz w:val="20"/>
      <w:szCs w:val="24"/>
      <w:lang w:val="en-GB"/>
    </w:rPr>
  </w:style>
  <w:style w:type="character" w:customStyle="1" w:styleId="Heading8Char">
    <w:name w:val="Heading 8 Char"/>
    <w:basedOn w:val="DefaultParagraphFont"/>
    <w:link w:val="Heading8"/>
    <w:uiPriority w:val="99"/>
    <w:rsid w:val="008A1A24"/>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A1A24"/>
    <w:rPr>
      <w:rFonts w:ascii="Cambria" w:eastAsia="Times New Roman" w:hAnsi="Cambria" w:cs="Times New Roman"/>
      <w:sz w:val="20"/>
      <w:szCs w:val="20"/>
      <w:lang w:val="en-GB"/>
    </w:rPr>
  </w:style>
  <w:style w:type="paragraph" w:customStyle="1" w:styleId="References">
    <w:name w:val="References"/>
    <w:basedOn w:val="Normal"/>
    <w:uiPriority w:val="99"/>
    <w:rsid w:val="008A1A24"/>
    <w:pPr>
      <w:ind w:left="288" w:hanging="288"/>
    </w:pPr>
    <w:rPr>
      <w:szCs w:val="22"/>
      <w:lang w:val="en-AU"/>
    </w:rPr>
  </w:style>
  <w:style w:type="character" w:styleId="CommentReference">
    <w:name w:val="annotation reference"/>
    <w:basedOn w:val="DefaultParagraphFont"/>
    <w:uiPriority w:val="99"/>
    <w:rsid w:val="008A1A24"/>
    <w:rPr>
      <w:rFonts w:cs="Times New Roman"/>
      <w:sz w:val="28"/>
    </w:rPr>
  </w:style>
  <w:style w:type="paragraph" w:styleId="CommentText">
    <w:name w:val="annotation text"/>
    <w:basedOn w:val="Normal"/>
    <w:link w:val="CommentTextChar"/>
    <w:uiPriority w:val="99"/>
    <w:rsid w:val="008A1A24"/>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rsid w:val="008A1A24"/>
    <w:rPr>
      <w:rFonts w:ascii="Gill Sans MT" w:eastAsia="Times New Roman" w:hAnsi="Gill Sans MT" w:cs="Times New Roman"/>
      <w:sz w:val="20"/>
      <w:szCs w:val="20"/>
      <w:lang w:eastAsia="en-AU"/>
    </w:rPr>
  </w:style>
  <w:style w:type="paragraph" w:styleId="Footer">
    <w:name w:val="footer"/>
    <w:basedOn w:val="Normal"/>
    <w:link w:val="FooterChar"/>
    <w:uiPriority w:val="99"/>
    <w:rsid w:val="008A1A24"/>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A1A24"/>
    <w:rPr>
      <w:rFonts w:ascii="Gill Sans MT" w:eastAsia="Times New Roman" w:hAnsi="Gill Sans MT" w:cs="Times New Roman"/>
      <w:sz w:val="20"/>
      <w:szCs w:val="20"/>
      <w:lang w:val="en-GB"/>
    </w:rPr>
  </w:style>
  <w:style w:type="paragraph" w:customStyle="1" w:styleId="Reportsummary">
    <w:name w:val="Report summary"/>
    <w:basedOn w:val="Normal"/>
    <w:uiPriority w:val="99"/>
    <w:rsid w:val="008A1A24"/>
    <w:pPr>
      <w:tabs>
        <w:tab w:val="num" w:pos="432"/>
      </w:tabs>
      <w:spacing w:after="240"/>
      <w:ind w:left="432" w:hanging="432"/>
    </w:pPr>
    <w:rPr>
      <w:sz w:val="24"/>
    </w:rPr>
  </w:style>
  <w:style w:type="paragraph" w:customStyle="1" w:styleId="Reportrefs">
    <w:name w:val="Report refs"/>
    <w:basedOn w:val="Normal"/>
    <w:uiPriority w:val="99"/>
    <w:rsid w:val="008A1A24"/>
    <w:pPr>
      <w:spacing w:after="180"/>
      <w:ind w:left="432" w:hanging="432"/>
    </w:pPr>
    <w:rPr>
      <w:sz w:val="24"/>
    </w:rPr>
  </w:style>
  <w:style w:type="paragraph" w:styleId="TOC4">
    <w:name w:val="toc 4"/>
    <w:basedOn w:val="Normal"/>
    <w:next w:val="Normal"/>
    <w:autoRedefine/>
    <w:uiPriority w:val="39"/>
    <w:rsid w:val="004F3736"/>
    <w:pPr>
      <w:tabs>
        <w:tab w:val="left" w:pos="1440"/>
        <w:tab w:val="right" w:leader="dot" w:pos="9072"/>
      </w:tabs>
    </w:pPr>
    <w:rPr>
      <w:rFonts w:eastAsiaTheme="majorEastAsia"/>
      <w:noProof/>
      <w:sz w:val="20"/>
      <w:szCs w:val="24"/>
      <w:lang w:val="en-AU"/>
    </w:rPr>
  </w:style>
  <w:style w:type="paragraph" w:customStyle="1" w:styleId="Figure">
    <w:name w:val="Figure"/>
    <w:basedOn w:val="Normal"/>
    <w:link w:val="FigureChar"/>
    <w:rsid w:val="008A1A24"/>
    <w:pPr>
      <w:spacing w:before="120"/>
    </w:pPr>
    <w:rPr>
      <w:rFonts w:ascii="Arial Narrow" w:hAnsi="Arial Narrow"/>
    </w:rPr>
  </w:style>
  <w:style w:type="character" w:customStyle="1" w:styleId="FigureChar">
    <w:name w:val="Figure Char"/>
    <w:link w:val="Figure"/>
    <w:locked/>
    <w:rsid w:val="008A1A24"/>
    <w:rPr>
      <w:rFonts w:ascii="Arial Narrow" w:eastAsia="Times New Roman" w:hAnsi="Arial Narrow" w:cs="Times New Roman"/>
      <w:szCs w:val="20"/>
      <w:lang w:val="en-GB"/>
    </w:rPr>
  </w:style>
  <w:style w:type="paragraph" w:customStyle="1" w:styleId="Table">
    <w:name w:val="Table"/>
    <w:basedOn w:val="Normal"/>
    <w:link w:val="TableChar"/>
    <w:autoRedefine/>
    <w:rsid w:val="008A1A24"/>
    <w:pPr>
      <w:spacing w:before="120"/>
    </w:pPr>
    <w:rPr>
      <w:rFonts w:ascii="Arial Narrow" w:hAnsi="Arial Narrow"/>
    </w:rPr>
  </w:style>
  <w:style w:type="character" w:customStyle="1" w:styleId="TableChar">
    <w:name w:val="Table Char"/>
    <w:link w:val="Table"/>
    <w:locked/>
    <w:rsid w:val="008A1A24"/>
    <w:rPr>
      <w:rFonts w:ascii="Arial Narrow" w:eastAsia="Times New Roman" w:hAnsi="Arial Narrow" w:cs="Times New Roman"/>
      <w:szCs w:val="20"/>
      <w:lang w:val="en-GB"/>
    </w:rPr>
  </w:style>
  <w:style w:type="paragraph" w:customStyle="1" w:styleId="Infopage">
    <w:name w:val="Info page"/>
    <w:basedOn w:val="Normal"/>
    <w:uiPriority w:val="99"/>
    <w:rsid w:val="008A1A24"/>
    <w:rPr>
      <w:rFonts w:ascii="Arial Narrow" w:hAnsi="Arial Narrow"/>
      <w:szCs w:val="22"/>
    </w:rPr>
  </w:style>
  <w:style w:type="paragraph" w:styleId="TOC1">
    <w:name w:val="toc 1"/>
    <w:basedOn w:val="Normal"/>
    <w:next w:val="Normal"/>
    <w:autoRedefine/>
    <w:uiPriority w:val="39"/>
    <w:qFormat/>
    <w:rsid w:val="00CF402D"/>
    <w:pPr>
      <w:tabs>
        <w:tab w:val="left" w:pos="450"/>
        <w:tab w:val="left" w:pos="1100"/>
        <w:tab w:val="right" w:leader="dot" w:pos="9061"/>
      </w:tabs>
      <w:spacing w:after="0"/>
    </w:pPr>
    <w:rPr>
      <w:noProof/>
    </w:rPr>
  </w:style>
  <w:style w:type="paragraph" w:customStyle="1" w:styleId="TableContents">
    <w:name w:val="Table Contents"/>
    <w:basedOn w:val="Normal"/>
    <w:uiPriority w:val="99"/>
    <w:rsid w:val="008A1A24"/>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A1A24"/>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8A1A24"/>
    <w:rPr>
      <w:rFonts w:cs="Times New Roman"/>
      <w:color w:val="0000FF"/>
      <w:u w:val="single"/>
    </w:rPr>
  </w:style>
  <w:style w:type="paragraph" w:customStyle="1" w:styleId="name1">
    <w:name w:val="name1"/>
    <w:basedOn w:val="Normal"/>
    <w:uiPriority w:val="99"/>
    <w:rsid w:val="008A1A24"/>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8A1A24"/>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A1A24"/>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A1A24"/>
    <w:rPr>
      <w:rFonts w:ascii="Times New Roman" w:hAnsi="Times New Roman"/>
      <w:sz w:val="16"/>
    </w:rPr>
  </w:style>
  <w:style w:type="character" w:customStyle="1" w:styleId="BalloonTextChar">
    <w:name w:val="Balloon Text Char"/>
    <w:basedOn w:val="DefaultParagraphFont"/>
    <w:link w:val="BalloonText"/>
    <w:uiPriority w:val="99"/>
    <w:rsid w:val="008A1A24"/>
    <w:rPr>
      <w:rFonts w:ascii="Times New Roman" w:eastAsia="Times New Roman" w:hAnsi="Times New Roman" w:cs="Times New Roman"/>
      <w:sz w:val="16"/>
      <w:szCs w:val="20"/>
      <w:lang w:val="en-GB"/>
    </w:rPr>
  </w:style>
  <w:style w:type="paragraph" w:styleId="Title">
    <w:name w:val="Title"/>
    <w:basedOn w:val="Normal"/>
    <w:link w:val="TitleChar"/>
    <w:uiPriority w:val="99"/>
    <w:qFormat/>
    <w:rsid w:val="008A1A24"/>
    <w:pPr>
      <w:jc w:val="center"/>
    </w:pPr>
    <w:rPr>
      <w:rFonts w:ascii="Cambria" w:hAnsi="Cambria"/>
      <w:b/>
      <w:bCs/>
      <w:kern w:val="28"/>
      <w:sz w:val="32"/>
      <w:szCs w:val="32"/>
    </w:rPr>
  </w:style>
  <w:style w:type="character" w:customStyle="1" w:styleId="TitleChar">
    <w:name w:val="Title Char"/>
    <w:basedOn w:val="DefaultParagraphFont"/>
    <w:link w:val="Title"/>
    <w:uiPriority w:val="99"/>
    <w:rsid w:val="008A1A24"/>
    <w:rPr>
      <w:rFonts w:ascii="Cambria" w:eastAsia="Times New Roman" w:hAnsi="Cambria" w:cs="Times New Roman"/>
      <w:b/>
      <w:bCs/>
      <w:kern w:val="28"/>
      <w:sz w:val="32"/>
      <w:szCs w:val="32"/>
      <w:lang w:val="en-GB"/>
    </w:rPr>
  </w:style>
  <w:style w:type="character" w:styleId="PageNumber">
    <w:name w:val="page number"/>
    <w:basedOn w:val="DefaultParagraphFont"/>
    <w:uiPriority w:val="99"/>
    <w:rsid w:val="008A1A24"/>
    <w:rPr>
      <w:rFonts w:cs="Times New Roman"/>
    </w:rPr>
  </w:style>
  <w:style w:type="paragraph" w:styleId="TOC2">
    <w:name w:val="toc 2"/>
    <w:basedOn w:val="Normal"/>
    <w:next w:val="Normal"/>
    <w:uiPriority w:val="39"/>
    <w:qFormat/>
    <w:rsid w:val="0092783D"/>
    <w:pPr>
      <w:tabs>
        <w:tab w:val="left" w:pos="720"/>
        <w:tab w:val="right" w:leader="dot" w:pos="9072"/>
      </w:tabs>
      <w:ind w:left="216" w:right="432"/>
    </w:pPr>
    <w:rPr>
      <w:sz w:val="20"/>
    </w:rPr>
  </w:style>
  <w:style w:type="paragraph" w:styleId="TOC3">
    <w:name w:val="toc 3"/>
    <w:basedOn w:val="Normal"/>
    <w:next w:val="Normal"/>
    <w:autoRedefine/>
    <w:uiPriority w:val="39"/>
    <w:qFormat/>
    <w:rsid w:val="00CF402D"/>
    <w:pPr>
      <w:tabs>
        <w:tab w:val="left" w:pos="450"/>
        <w:tab w:val="left" w:pos="720"/>
        <w:tab w:val="right" w:leader="dot" w:pos="9061"/>
      </w:tabs>
      <w:ind w:left="1440" w:hanging="720"/>
    </w:pPr>
    <w:rPr>
      <w:rFonts w:eastAsia="SimSun"/>
      <w:noProof/>
      <w:color w:val="000000" w:themeColor="text1"/>
      <w:sz w:val="20"/>
    </w:rPr>
  </w:style>
  <w:style w:type="paragraph" w:styleId="TOC5">
    <w:name w:val="toc 5"/>
    <w:basedOn w:val="Normal"/>
    <w:next w:val="Normal"/>
    <w:autoRedefine/>
    <w:uiPriority w:val="99"/>
    <w:semiHidden/>
    <w:rsid w:val="008A1A24"/>
    <w:pPr>
      <w:ind w:left="880"/>
    </w:pPr>
  </w:style>
  <w:style w:type="paragraph" w:customStyle="1" w:styleId="StyleTitleOptimum">
    <w:name w:val="Style Title + Optimum"/>
    <w:basedOn w:val="Title"/>
    <w:uiPriority w:val="99"/>
    <w:rsid w:val="008A1A24"/>
    <w:rPr>
      <w:rFonts w:ascii="Arial Black" w:hAnsi="Arial Black"/>
      <w:b w:val="0"/>
    </w:rPr>
  </w:style>
  <w:style w:type="paragraph" w:customStyle="1" w:styleId="StyleHeading5Optimum">
    <w:name w:val="Style Heading 5 + Optimum"/>
    <w:basedOn w:val="Heading5"/>
    <w:uiPriority w:val="99"/>
    <w:rsid w:val="008A1A24"/>
    <w:pPr>
      <w:spacing w:after="60"/>
    </w:pPr>
    <w:rPr>
      <w:bCs/>
      <w:i/>
      <w:sz w:val="32"/>
    </w:rPr>
  </w:style>
  <w:style w:type="paragraph" w:customStyle="1" w:styleId="StyleHeading4After6pt">
    <w:name w:val="Style Heading 4 + After:  6 pt"/>
    <w:basedOn w:val="Heading4"/>
    <w:uiPriority w:val="99"/>
    <w:rsid w:val="008A1A24"/>
    <w:rPr>
      <w:b/>
      <w:bCs/>
      <w:i w:val="0"/>
      <w:iCs/>
    </w:rPr>
  </w:style>
  <w:style w:type="character" w:customStyle="1" w:styleId="pubref">
    <w:name w:val="pubref"/>
    <w:rsid w:val="008A1A24"/>
  </w:style>
  <w:style w:type="paragraph" w:styleId="FootnoteText">
    <w:name w:val="footnote text"/>
    <w:basedOn w:val="Normal"/>
    <w:link w:val="FootnoteTextChar"/>
    <w:uiPriority w:val="99"/>
    <w:semiHidden/>
    <w:rsid w:val="008A1A24"/>
    <w:rPr>
      <w:rFonts w:ascii="Gill Sans MT" w:hAnsi="Gill Sans MT"/>
      <w:sz w:val="20"/>
    </w:rPr>
  </w:style>
  <w:style w:type="character" w:customStyle="1" w:styleId="FootnoteTextChar">
    <w:name w:val="Footnote Text Char"/>
    <w:basedOn w:val="DefaultParagraphFont"/>
    <w:link w:val="FootnoteText"/>
    <w:uiPriority w:val="99"/>
    <w:semiHidden/>
    <w:rsid w:val="008A1A24"/>
    <w:rPr>
      <w:rFonts w:ascii="Gill Sans MT" w:eastAsia="Times New Roman" w:hAnsi="Gill Sans MT" w:cs="Times New Roman"/>
      <w:sz w:val="20"/>
      <w:szCs w:val="20"/>
      <w:lang w:val="en-GB"/>
    </w:rPr>
  </w:style>
  <w:style w:type="paragraph" w:styleId="ListBullet2">
    <w:name w:val="List Bullet 2"/>
    <w:basedOn w:val="Normal"/>
    <w:uiPriority w:val="99"/>
    <w:rsid w:val="008A1A24"/>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8A1A24"/>
    <w:rPr>
      <w:rFonts w:ascii="Courier New" w:hAnsi="Courier New"/>
      <w:sz w:val="20"/>
    </w:rPr>
  </w:style>
  <w:style w:type="character" w:customStyle="1" w:styleId="PlainTextChar">
    <w:name w:val="Plain Text Char"/>
    <w:basedOn w:val="DefaultParagraphFont"/>
    <w:link w:val="PlainText"/>
    <w:uiPriority w:val="99"/>
    <w:rsid w:val="008A1A24"/>
    <w:rPr>
      <w:rFonts w:ascii="Courier New" w:eastAsia="Times New Roman" w:hAnsi="Courier New" w:cs="Times New Roman"/>
      <w:sz w:val="20"/>
      <w:szCs w:val="20"/>
      <w:lang w:val="en-GB"/>
    </w:rPr>
  </w:style>
  <w:style w:type="paragraph" w:customStyle="1" w:styleId="references0">
    <w:name w:val="references"/>
    <w:basedOn w:val="Normal"/>
    <w:uiPriority w:val="99"/>
    <w:rsid w:val="008A1A24"/>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8A1A24"/>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8A1A24"/>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8A1A24"/>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8A1A24"/>
    <w:rPr>
      <w:rFonts w:cs="Times New Roman"/>
      <w:b/>
    </w:rPr>
  </w:style>
  <w:style w:type="paragraph" w:customStyle="1" w:styleId="Style2">
    <w:name w:val="Style2"/>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8A1A24"/>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8A1A24"/>
    <w:pPr>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A1A24"/>
    <w:rPr>
      <w:rFonts w:ascii="Gill Sans MT" w:eastAsia="Times New Roman" w:hAnsi="Gill Sans MT" w:cs="Times New Roman"/>
      <w:sz w:val="20"/>
      <w:szCs w:val="20"/>
      <w:lang w:val="en-GB"/>
    </w:rPr>
  </w:style>
  <w:style w:type="paragraph" w:customStyle="1" w:styleId="TOCfig-table">
    <w:name w:val="TOC fig-table"/>
    <w:basedOn w:val="Normal"/>
    <w:uiPriority w:val="99"/>
    <w:rsid w:val="008A1A24"/>
    <w:pPr>
      <w:tabs>
        <w:tab w:val="left" w:pos="1152"/>
        <w:tab w:val="right" w:leader="dot" w:pos="8640"/>
      </w:tabs>
      <w:spacing w:before="120"/>
      <w:ind w:left="1152" w:right="720" w:hanging="1152"/>
    </w:pPr>
    <w:rPr>
      <w:b/>
      <w:sz w:val="20"/>
    </w:rPr>
  </w:style>
  <w:style w:type="table" w:styleId="TableGrid">
    <w:name w:val="Table Grid"/>
    <w:basedOn w:val="TableNormal"/>
    <w:uiPriority w:val="59"/>
    <w:rsid w:val="008A1A24"/>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TOC7"/>
    <w:next w:val="Normal"/>
    <w:link w:val="TableofFiguresChar"/>
    <w:uiPriority w:val="99"/>
    <w:rsid w:val="00E4136F"/>
    <w:pPr>
      <w:tabs>
        <w:tab w:val="clear" w:pos="709"/>
        <w:tab w:val="right" w:leader="dot" w:pos="9629"/>
      </w:tabs>
      <w:spacing w:after="0"/>
      <w:ind w:left="440" w:hanging="440"/>
    </w:pPr>
    <w:rPr>
      <w:rFonts w:eastAsiaTheme="majorEastAsia" w:cs="Arial"/>
      <w:bCs/>
      <w:noProof/>
      <w:sz w:val="22"/>
    </w:rPr>
  </w:style>
  <w:style w:type="paragraph" w:styleId="Header">
    <w:name w:val="header"/>
    <w:basedOn w:val="Normal"/>
    <w:link w:val="HeaderChar"/>
    <w:uiPriority w:val="99"/>
    <w:rsid w:val="008A1A2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A1A24"/>
    <w:rPr>
      <w:rFonts w:ascii="Gill Sans MT" w:eastAsia="Times New Roman" w:hAnsi="Gill Sans MT" w:cs="Times New Roman"/>
      <w:sz w:val="20"/>
      <w:szCs w:val="20"/>
      <w:lang w:val="en-GB"/>
    </w:rPr>
  </w:style>
  <w:style w:type="paragraph" w:customStyle="1" w:styleId="Head4">
    <w:name w:val="Head 4"/>
    <w:basedOn w:val="Heading3"/>
    <w:uiPriority w:val="99"/>
    <w:rsid w:val="008A1A24"/>
    <w:pPr>
      <w:spacing w:before="120" w:after="240"/>
      <w:outlineLvl w:val="9"/>
    </w:pPr>
    <w:rPr>
      <w:b w:val="0"/>
      <w:smallCaps/>
      <w:sz w:val="22"/>
      <w:u w:val="single"/>
    </w:rPr>
  </w:style>
  <w:style w:type="paragraph" w:customStyle="1" w:styleId="Bodytxt">
    <w:name w:val="Body txt"/>
    <w:basedOn w:val="Normal"/>
    <w:uiPriority w:val="99"/>
    <w:rsid w:val="008A1A24"/>
    <w:pPr>
      <w:spacing w:line="320" w:lineRule="exact"/>
    </w:pPr>
  </w:style>
  <w:style w:type="paragraph" w:styleId="BodyText">
    <w:name w:val="Body Text"/>
    <w:basedOn w:val="Normal"/>
    <w:link w:val="BodyTextChar"/>
    <w:uiPriority w:val="99"/>
    <w:rsid w:val="008A1A2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A1A24"/>
    <w:rPr>
      <w:rFonts w:ascii="Gill Sans MT" w:eastAsia="Times New Roman" w:hAnsi="Gill Sans MT" w:cs="Times New Roman"/>
      <w:sz w:val="20"/>
      <w:szCs w:val="20"/>
      <w:lang w:val="en-GB"/>
    </w:rPr>
  </w:style>
  <w:style w:type="character" w:customStyle="1" w:styleId="CharChar">
    <w:name w:val="Char Char"/>
    <w:uiPriority w:val="99"/>
    <w:rsid w:val="008A1A24"/>
    <w:rPr>
      <w:rFonts w:ascii="Arial" w:hAnsi="Arial"/>
      <w:b/>
      <w:kern w:val="32"/>
      <w:sz w:val="32"/>
      <w:lang w:val="en-AU" w:eastAsia="en-US"/>
    </w:rPr>
  </w:style>
  <w:style w:type="paragraph" w:styleId="BodyTextIndent2">
    <w:name w:val="Body Text Indent 2"/>
    <w:basedOn w:val="Normal"/>
    <w:link w:val="BodyTextIndent2Char"/>
    <w:uiPriority w:val="99"/>
    <w:rsid w:val="008A1A2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A1A24"/>
    <w:rPr>
      <w:rFonts w:ascii="Gill Sans MT" w:eastAsia="Times New Roman" w:hAnsi="Gill Sans MT" w:cs="Times New Roman"/>
      <w:sz w:val="20"/>
      <w:szCs w:val="20"/>
      <w:lang w:val="en-GB"/>
    </w:rPr>
  </w:style>
  <w:style w:type="character" w:customStyle="1" w:styleId="CaptionChar">
    <w:name w:val="Caption Char"/>
    <w:uiPriority w:val="99"/>
    <w:rsid w:val="008A1A24"/>
    <w:rPr>
      <w:rFonts w:eastAsia="SimSun"/>
      <w:sz w:val="24"/>
      <w:lang w:val="en-GB" w:eastAsia="en-US"/>
    </w:rPr>
  </w:style>
  <w:style w:type="paragraph" w:styleId="BodyText2">
    <w:name w:val="Body Text 2"/>
    <w:basedOn w:val="Normal"/>
    <w:link w:val="BodyText2Char"/>
    <w:uiPriority w:val="99"/>
    <w:rsid w:val="008A1A24"/>
    <w:pPr>
      <w:spacing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rsid w:val="008A1A24"/>
    <w:rPr>
      <w:rFonts w:ascii="Times New Roman" w:eastAsia="Times New Roman" w:hAnsi="Times New Roman" w:cs="Times New Roman"/>
      <w:sz w:val="24"/>
      <w:szCs w:val="24"/>
    </w:rPr>
  </w:style>
  <w:style w:type="character" w:styleId="Emphasis">
    <w:name w:val="Emphasis"/>
    <w:basedOn w:val="DefaultParagraphFont"/>
    <w:uiPriority w:val="20"/>
    <w:qFormat/>
    <w:rsid w:val="008A1A24"/>
    <w:rPr>
      <w:rFonts w:cs="Times New Roman"/>
      <w:i/>
    </w:rPr>
  </w:style>
  <w:style w:type="character" w:customStyle="1" w:styleId="CharChar1">
    <w:name w:val="Char Char1"/>
    <w:uiPriority w:val="99"/>
    <w:rsid w:val="008A1A2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A1A24"/>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A1A24"/>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A1A24"/>
    <w:rPr>
      <w:b/>
      <w:bCs/>
    </w:rPr>
  </w:style>
  <w:style w:type="character" w:customStyle="1" w:styleId="CommentSubjectChar">
    <w:name w:val="Comment Subject Char"/>
    <w:basedOn w:val="CommentTextChar"/>
    <w:link w:val="CommentSubject"/>
    <w:uiPriority w:val="99"/>
    <w:semiHidden/>
    <w:rsid w:val="008A1A24"/>
    <w:rPr>
      <w:rFonts w:ascii="Gill Sans MT" w:eastAsia="Times New Roman" w:hAnsi="Gill Sans MT" w:cs="Times New Roman"/>
      <w:b/>
      <w:bCs/>
      <w:sz w:val="20"/>
      <w:szCs w:val="20"/>
      <w:lang w:eastAsia="en-AU"/>
    </w:rPr>
  </w:style>
  <w:style w:type="paragraph" w:styleId="Caption">
    <w:name w:val="caption"/>
    <w:aliases w:val="Fig title,Figures"/>
    <w:next w:val="Normal"/>
    <w:autoRedefine/>
    <w:uiPriority w:val="99"/>
    <w:qFormat/>
    <w:rsid w:val="0026052F"/>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pPr>
    <w:rPr>
      <w:rFonts w:ascii="Arial Narrow" w:eastAsia="SimSun" w:hAnsi="Arial Narrow" w:cs="Times New Roman"/>
      <w:sz w:val="20"/>
      <w:szCs w:val="24"/>
      <w:lang w:val="en-GB"/>
    </w:rPr>
  </w:style>
  <w:style w:type="paragraph" w:customStyle="1" w:styleId="Captions">
    <w:name w:val="Captions"/>
    <w:basedOn w:val="Normal"/>
    <w:uiPriority w:val="99"/>
    <w:semiHidden/>
    <w:rsid w:val="008A1A24"/>
    <w:rPr>
      <w:rFonts w:ascii="Times New Roman" w:hAnsi="Times New Roman"/>
      <w:i/>
      <w:sz w:val="24"/>
      <w:szCs w:val="24"/>
      <w:lang w:val="en-AU"/>
    </w:rPr>
  </w:style>
  <w:style w:type="paragraph" w:customStyle="1" w:styleId="Pa3">
    <w:name w:val="Pa3"/>
    <w:basedOn w:val="Normal"/>
    <w:next w:val="Normal"/>
    <w:uiPriority w:val="99"/>
    <w:rsid w:val="008A1A2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8A1A24"/>
    <w:rPr>
      <w:color w:val="221E1F"/>
      <w:sz w:val="22"/>
    </w:rPr>
  </w:style>
  <w:style w:type="paragraph" w:customStyle="1" w:styleId="default">
    <w:name w:val="default"/>
    <w:basedOn w:val="Normal"/>
    <w:uiPriority w:val="99"/>
    <w:rsid w:val="008A1A2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8A1A24"/>
  </w:style>
  <w:style w:type="paragraph" w:customStyle="1" w:styleId="table0">
    <w:name w:val="table"/>
    <w:basedOn w:val="Normal"/>
    <w:uiPriority w:val="99"/>
    <w:rsid w:val="008A1A24"/>
    <w:rPr>
      <w:rFonts w:ascii="Arial Narrow" w:hAnsi="Arial Narrow"/>
      <w:szCs w:val="22"/>
      <w:lang w:val="en-AU" w:eastAsia="en-AU"/>
    </w:rPr>
  </w:style>
  <w:style w:type="character" w:styleId="FootnoteReference">
    <w:name w:val="footnote reference"/>
    <w:basedOn w:val="DefaultParagraphFont"/>
    <w:uiPriority w:val="99"/>
    <w:semiHidden/>
    <w:rsid w:val="008A1A24"/>
    <w:rPr>
      <w:rFonts w:cs="Times New Roman"/>
      <w:vertAlign w:val="superscript"/>
    </w:rPr>
  </w:style>
  <w:style w:type="character" w:customStyle="1" w:styleId="authors5">
    <w:name w:val="authors5"/>
    <w:uiPriority w:val="99"/>
    <w:rsid w:val="008A1A24"/>
  </w:style>
  <w:style w:type="character" w:styleId="FollowedHyperlink">
    <w:name w:val="FollowedHyperlink"/>
    <w:basedOn w:val="DefaultParagraphFont"/>
    <w:uiPriority w:val="99"/>
    <w:rsid w:val="008A1A24"/>
    <w:rPr>
      <w:rFonts w:cs="Times New Roman"/>
      <w:color w:val="800080"/>
      <w:u w:val="single"/>
    </w:rPr>
  </w:style>
  <w:style w:type="paragraph" w:styleId="ListParagraph">
    <w:name w:val="List Paragraph"/>
    <w:basedOn w:val="Normal"/>
    <w:link w:val="ListParagraphChar"/>
    <w:uiPriority w:val="34"/>
    <w:qFormat/>
    <w:rsid w:val="008A1A24"/>
    <w:pPr>
      <w:ind w:left="720"/>
      <w:contextualSpacing/>
    </w:pPr>
    <w:rPr>
      <w:szCs w:val="24"/>
      <w:lang w:eastAsia="en-GB"/>
    </w:rPr>
  </w:style>
  <w:style w:type="paragraph" w:customStyle="1" w:styleId="Default0">
    <w:name w:val="Default"/>
    <w:rsid w:val="008A1A24"/>
    <w:pPr>
      <w:autoSpaceDE w:val="0"/>
      <w:autoSpaceDN w:val="0"/>
      <w:adjustRightInd w:val="0"/>
      <w:spacing w:after="0"/>
    </w:pPr>
    <w:rPr>
      <w:rFonts w:ascii="Calibri" w:eastAsia="Times New Roman" w:hAnsi="Calibri" w:cs="Calibri"/>
      <w:color w:val="000000"/>
      <w:sz w:val="24"/>
      <w:szCs w:val="24"/>
      <w:lang w:val="en-GB" w:eastAsia="en-GB"/>
    </w:rPr>
  </w:style>
  <w:style w:type="paragraph" w:styleId="Revision">
    <w:name w:val="Revision"/>
    <w:hidden/>
    <w:uiPriority w:val="99"/>
    <w:semiHidden/>
    <w:rsid w:val="008A1A24"/>
    <w:pPr>
      <w:spacing w:after="0"/>
    </w:pPr>
    <w:rPr>
      <w:rFonts w:ascii="Gill Sans MT" w:eastAsia="Times New Roman" w:hAnsi="Gill Sans MT" w:cs="Times New Roman"/>
      <w:szCs w:val="20"/>
      <w:lang w:val="en-GB"/>
    </w:rPr>
  </w:style>
  <w:style w:type="paragraph" w:styleId="NoSpacing">
    <w:name w:val="No Spacing"/>
    <w:uiPriority w:val="99"/>
    <w:qFormat/>
    <w:rsid w:val="008A1A24"/>
    <w:pPr>
      <w:spacing w:after="0"/>
    </w:pPr>
    <w:rPr>
      <w:rFonts w:ascii="Gill Sans MT" w:eastAsia="Times New Roman" w:hAnsi="Gill Sans MT" w:cs="Times New Roman"/>
      <w:szCs w:val="20"/>
      <w:lang w:val="en-GB"/>
    </w:rPr>
  </w:style>
  <w:style w:type="character" w:customStyle="1" w:styleId="Heading2Char1">
    <w:name w:val="Heading 2 Char1"/>
    <w:aliases w:val="h2 Char1"/>
    <w:basedOn w:val="DefaultParagraphFont"/>
    <w:link w:val="Heading2"/>
    <w:uiPriority w:val="99"/>
    <w:rsid w:val="008A1A24"/>
    <w:rPr>
      <w:rFonts w:ascii="Arial" w:eastAsiaTheme="majorEastAsia" w:hAnsi="Arial" w:cstheme="majorBidi"/>
      <w:b/>
      <w:bCs/>
      <w:color w:val="000000" w:themeColor="text1"/>
      <w:sz w:val="26"/>
      <w:szCs w:val="26"/>
      <w:lang w:val="en-GB"/>
    </w:rPr>
  </w:style>
  <w:style w:type="character" w:styleId="SubtleReference">
    <w:name w:val="Subtle Reference"/>
    <w:basedOn w:val="DefaultParagraphFont"/>
    <w:uiPriority w:val="31"/>
    <w:qFormat/>
    <w:rsid w:val="008A1A24"/>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8A1A24"/>
    <w:rPr>
      <w:rFonts w:ascii="Arial Narrow" w:eastAsia="Times New Roman" w:hAnsi="Arial Narrow" w:cs="Times New Roman"/>
      <w:b w:val="0"/>
      <w:bCs/>
      <w:caps w:val="0"/>
      <w:smallCaps w:val="0"/>
      <w:color w:val="000000" w:themeColor="text1"/>
      <w:spacing w:val="0"/>
      <w:w w:val="100"/>
      <w:sz w:val="20"/>
      <w:szCs w:val="20"/>
      <w:u w:val="none"/>
      <w:lang w:val="en-GB"/>
    </w:rPr>
  </w:style>
  <w:style w:type="character" w:customStyle="1" w:styleId="cit-issue1">
    <w:name w:val="cit-issue1"/>
    <w:basedOn w:val="DefaultParagraphFont"/>
    <w:rsid w:val="008A1A24"/>
    <w:rPr>
      <w:vanish/>
      <w:webHidden w:val="0"/>
      <w:specVanish w:val="0"/>
    </w:rPr>
  </w:style>
  <w:style w:type="character" w:customStyle="1" w:styleId="cit-vol2">
    <w:name w:val="cit-vol2"/>
    <w:basedOn w:val="DefaultParagraphFont"/>
    <w:rsid w:val="008A1A24"/>
  </w:style>
  <w:style w:type="character" w:customStyle="1" w:styleId="cit-elocation">
    <w:name w:val="cit-elocation"/>
    <w:basedOn w:val="DefaultParagraphFont"/>
    <w:rsid w:val="008A1A24"/>
  </w:style>
  <w:style w:type="character" w:customStyle="1" w:styleId="cit-sep2">
    <w:name w:val="cit-sep2"/>
    <w:basedOn w:val="DefaultParagraphFont"/>
    <w:rsid w:val="008A1A24"/>
  </w:style>
  <w:style w:type="character" w:customStyle="1" w:styleId="cit-doi3">
    <w:name w:val="cit-doi3"/>
    <w:basedOn w:val="DefaultParagraphFont"/>
    <w:rsid w:val="008A1A24"/>
  </w:style>
  <w:style w:type="character" w:customStyle="1" w:styleId="ListParagraphChar">
    <w:name w:val="List Paragraph Char"/>
    <w:basedOn w:val="DefaultParagraphFont"/>
    <w:link w:val="ListParagraph"/>
    <w:uiPriority w:val="34"/>
    <w:locked/>
    <w:rsid w:val="008A1A24"/>
    <w:rPr>
      <w:rFonts w:ascii="Arial" w:eastAsia="Times New Roman" w:hAnsi="Arial" w:cs="Times New Roman"/>
      <w:szCs w:val="24"/>
      <w:lang w:val="en-GB" w:eastAsia="en-GB"/>
    </w:rPr>
  </w:style>
  <w:style w:type="paragraph" w:styleId="Bibliography">
    <w:name w:val="Bibliography"/>
    <w:basedOn w:val="Normal"/>
    <w:next w:val="Normal"/>
    <w:uiPriority w:val="37"/>
    <w:semiHidden/>
    <w:unhideWhenUsed/>
    <w:rsid w:val="008A1A24"/>
  </w:style>
  <w:style w:type="paragraph" w:styleId="BlockText">
    <w:name w:val="Block Text"/>
    <w:basedOn w:val="Normal"/>
    <w:uiPriority w:val="99"/>
    <w:semiHidden/>
    <w:unhideWhenUsed/>
    <w:rsid w:val="008A1A2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unhideWhenUsed/>
    <w:rsid w:val="008A1A24"/>
    <w:rPr>
      <w:sz w:val="16"/>
      <w:szCs w:val="16"/>
    </w:rPr>
  </w:style>
  <w:style w:type="character" w:customStyle="1" w:styleId="BodyText3Char">
    <w:name w:val="Body Text 3 Char"/>
    <w:basedOn w:val="DefaultParagraphFont"/>
    <w:link w:val="BodyText3"/>
    <w:uiPriority w:val="99"/>
    <w:rsid w:val="008A1A24"/>
    <w:rPr>
      <w:rFonts w:ascii="Arial" w:eastAsia="Times New Roman" w:hAnsi="Arial" w:cs="Times New Roman"/>
      <w:sz w:val="16"/>
      <w:szCs w:val="16"/>
      <w:lang w:val="en-GB"/>
    </w:rPr>
  </w:style>
  <w:style w:type="paragraph" w:styleId="BodyTextFirstIndent">
    <w:name w:val="Body Text First Indent"/>
    <w:basedOn w:val="BodyText"/>
    <w:link w:val="BodyTextFirstIndentChar"/>
    <w:uiPriority w:val="99"/>
    <w:semiHidden/>
    <w:unhideWhenUsed/>
    <w:rsid w:val="008A1A24"/>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A1A24"/>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A1A24"/>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A1A24"/>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A1A24"/>
    <w:pPr>
      <w:ind w:left="4252"/>
    </w:pPr>
  </w:style>
  <w:style w:type="character" w:customStyle="1" w:styleId="ClosingChar">
    <w:name w:val="Closing Char"/>
    <w:basedOn w:val="DefaultParagraphFont"/>
    <w:link w:val="Closing"/>
    <w:uiPriority w:val="99"/>
    <w:semiHidden/>
    <w:rsid w:val="008A1A24"/>
    <w:rPr>
      <w:rFonts w:ascii="Arial" w:eastAsia="Times New Roman" w:hAnsi="Arial" w:cs="Times New Roman"/>
      <w:szCs w:val="20"/>
      <w:lang w:val="en-GB"/>
    </w:rPr>
  </w:style>
  <w:style w:type="paragraph" w:styleId="Date">
    <w:name w:val="Date"/>
    <w:basedOn w:val="Normal"/>
    <w:next w:val="Normal"/>
    <w:link w:val="DateChar"/>
    <w:uiPriority w:val="99"/>
    <w:semiHidden/>
    <w:unhideWhenUsed/>
    <w:rsid w:val="008A1A24"/>
  </w:style>
  <w:style w:type="character" w:customStyle="1" w:styleId="DateChar">
    <w:name w:val="Date Char"/>
    <w:basedOn w:val="DefaultParagraphFont"/>
    <w:link w:val="Date"/>
    <w:uiPriority w:val="99"/>
    <w:semiHidden/>
    <w:rsid w:val="008A1A24"/>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A1A24"/>
  </w:style>
  <w:style w:type="character" w:customStyle="1" w:styleId="E-mailSignatureChar">
    <w:name w:val="E-mail Signature Char"/>
    <w:basedOn w:val="DefaultParagraphFont"/>
    <w:link w:val="E-mailSignature"/>
    <w:uiPriority w:val="99"/>
    <w:semiHidden/>
    <w:rsid w:val="008A1A24"/>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A1A24"/>
    <w:rPr>
      <w:sz w:val="20"/>
    </w:rPr>
  </w:style>
  <w:style w:type="character" w:customStyle="1" w:styleId="EndnoteTextChar">
    <w:name w:val="Endnote Text Char"/>
    <w:basedOn w:val="DefaultParagraphFont"/>
    <w:link w:val="EndnoteText"/>
    <w:uiPriority w:val="99"/>
    <w:semiHidden/>
    <w:rsid w:val="008A1A24"/>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A1A24"/>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A1A24"/>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A1A24"/>
    <w:rPr>
      <w:i/>
      <w:iCs/>
    </w:rPr>
  </w:style>
  <w:style w:type="character" w:customStyle="1" w:styleId="HTMLAddressChar">
    <w:name w:val="HTML Address Char"/>
    <w:basedOn w:val="DefaultParagraphFont"/>
    <w:link w:val="HTMLAddress"/>
    <w:uiPriority w:val="99"/>
    <w:semiHidden/>
    <w:rsid w:val="008A1A24"/>
    <w:rPr>
      <w:rFonts w:ascii="Arial" w:eastAsia="Times New Roman" w:hAnsi="Arial" w:cs="Times New Roman"/>
      <w:i/>
      <w:iCs/>
      <w:szCs w:val="20"/>
      <w:lang w:val="en-GB"/>
    </w:rPr>
  </w:style>
  <w:style w:type="paragraph" w:styleId="HTMLPreformatted">
    <w:name w:val="HTML Preformatted"/>
    <w:basedOn w:val="Normal"/>
    <w:link w:val="HTMLPreformattedChar"/>
    <w:uiPriority w:val="99"/>
    <w:semiHidden/>
    <w:unhideWhenUsed/>
    <w:rsid w:val="008A1A24"/>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8A1A24"/>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A1A24"/>
    <w:pPr>
      <w:ind w:left="220" w:hanging="220"/>
    </w:pPr>
  </w:style>
  <w:style w:type="paragraph" w:styleId="Index2">
    <w:name w:val="index 2"/>
    <w:basedOn w:val="Normal"/>
    <w:next w:val="Normal"/>
    <w:autoRedefine/>
    <w:uiPriority w:val="99"/>
    <w:semiHidden/>
    <w:unhideWhenUsed/>
    <w:rsid w:val="008A1A24"/>
    <w:pPr>
      <w:ind w:left="440" w:hanging="220"/>
    </w:pPr>
  </w:style>
  <w:style w:type="paragraph" w:styleId="Index3">
    <w:name w:val="index 3"/>
    <w:basedOn w:val="Normal"/>
    <w:next w:val="Normal"/>
    <w:autoRedefine/>
    <w:uiPriority w:val="99"/>
    <w:semiHidden/>
    <w:unhideWhenUsed/>
    <w:rsid w:val="008A1A24"/>
    <w:pPr>
      <w:ind w:left="660" w:hanging="220"/>
    </w:pPr>
  </w:style>
  <w:style w:type="paragraph" w:styleId="Index4">
    <w:name w:val="index 4"/>
    <w:basedOn w:val="Normal"/>
    <w:next w:val="Normal"/>
    <w:autoRedefine/>
    <w:uiPriority w:val="99"/>
    <w:semiHidden/>
    <w:unhideWhenUsed/>
    <w:rsid w:val="008A1A24"/>
    <w:pPr>
      <w:ind w:left="880" w:hanging="220"/>
    </w:pPr>
  </w:style>
  <w:style w:type="paragraph" w:styleId="Index5">
    <w:name w:val="index 5"/>
    <w:basedOn w:val="Normal"/>
    <w:next w:val="Normal"/>
    <w:autoRedefine/>
    <w:uiPriority w:val="99"/>
    <w:semiHidden/>
    <w:unhideWhenUsed/>
    <w:rsid w:val="008A1A24"/>
    <w:pPr>
      <w:ind w:left="1100" w:hanging="220"/>
    </w:pPr>
  </w:style>
  <w:style w:type="paragraph" w:styleId="Index6">
    <w:name w:val="index 6"/>
    <w:basedOn w:val="Normal"/>
    <w:next w:val="Normal"/>
    <w:autoRedefine/>
    <w:uiPriority w:val="99"/>
    <w:semiHidden/>
    <w:unhideWhenUsed/>
    <w:rsid w:val="008A1A24"/>
    <w:pPr>
      <w:ind w:left="1320" w:hanging="220"/>
    </w:pPr>
  </w:style>
  <w:style w:type="paragraph" w:styleId="Index7">
    <w:name w:val="index 7"/>
    <w:basedOn w:val="Normal"/>
    <w:next w:val="Normal"/>
    <w:autoRedefine/>
    <w:uiPriority w:val="99"/>
    <w:semiHidden/>
    <w:unhideWhenUsed/>
    <w:rsid w:val="008A1A24"/>
    <w:pPr>
      <w:ind w:left="1540" w:hanging="220"/>
    </w:pPr>
  </w:style>
  <w:style w:type="paragraph" w:styleId="Index8">
    <w:name w:val="index 8"/>
    <w:basedOn w:val="Normal"/>
    <w:next w:val="Normal"/>
    <w:autoRedefine/>
    <w:uiPriority w:val="99"/>
    <w:semiHidden/>
    <w:unhideWhenUsed/>
    <w:rsid w:val="008A1A24"/>
    <w:pPr>
      <w:ind w:left="1760" w:hanging="220"/>
    </w:pPr>
  </w:style>
  <w:style w:type="paragraph" w:styleId="Index9">
    <w:name w:val="index 9"/>
    <w:basedOn w:val="Normal"/>
    <w:next w:val="Normal"/>
    <w:autoRedefine/>
    <w:uiPriority w:val="99"/>
    <w:semiHidden/>
    <w:unhideWhenUsed/>
    <w:rsid w:val="008A1A24"/>
    <w:pPr>
      <w:ind w:left="1980" w:hanging="220"/>
    </w:pPr>
  </w:style>
  <w:style w:type="paragraph" w:styleId="IndexHeading">
    <w:name w:val="index heading"/>
    <w:basedOn w:val="Normal"/>
    <w:next w:val="Index1"/>
    <w:uiPriority w:val="99"/>
    <w:semiHidden/>
    <w:unhideWhenUsed/>
    <w:rsid w:val="008A1A2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A1A2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A1A24"/>
    <w:rPr>
      <w:rFonts w:ascii="Arial" w:eastAsia="Times New Roman" w:hAnsi="Arial" w:cs="Times New Roman"/>
      <w:b/>
      <w:bCs/>
      <w:i/>
      <w:iCs/>
      <w:color w:val="4F81BD" w:themeColor="accent1"/>
      <w:szCs w:val="20"/>
      <w:lang w:val="en-GB"/>
    </w:rPr>
  </w:style>
  <w:style w:type="paragraph" w:styleId="List">
    <w:name w:val="List"/>
    <w:basedOn w:val="Normal"/>
    <w:uiPriority w:val="99"/>
    <w:semiHidden/>
    <w:unhideWhenUsed/>
    <w:rsid w:val="008A1A24"/>
    <w:pPr>
      <w:ind w:left="283" w:hanging="283"/>
      <w:contextualSpacing/>
    </w:pPr>
  </w:style>
  <w:style w:type="paragraph" w:styleId="List2">
    <w:name w:val="List 2"/>
    <w:basedOn w:val="Normal"/>
    <w:uiPriority w:val="99"/>
    <w:semiHidden/>
    <w:unhideWhenUsed/>
    <w:rsid w:val="008A1A24"/>
    <w:pPr>
      <w:ind w:left="566" w:hanging="283"/>
      <w:contextualSpacing/>
    </w:pPr>
  </w:style>
  <w:style w:type="paragraph" w:styleId="List3">
    <w:name w:val="List 3"/>
    <w:basedOn w:val="Normal"/>
    <w:uiPriority w:val="99"/>
    <w:semiHidden/>
    <w:unhideWhenUsed/>
    <w:rsid w:val="008A1A24"/>
    <w:pPr>
      <w:ind w:left="849" w:hanging="283"/>
      <w:contextualSpacing/>
    </w:pPr>
  </w:style>
  <w:style w:type="paragraph" w:styleId="List4">
    <w:name w:val="List 4"/>
    <w:basedOn w:val="Normal"/>
    <w:uiPriority w:val="99"/>
    <w:semiHidden/>
    <w:unhideWhenUsed/>
    <w:rsid w:val="008A1A24"/>
    <w:pPr>
      <w:ind w:left="1132" w:hanging="283"/>
      <w:contextualSpacing/>
    </w:pPr>
  </w:style>
  <w:style w:type="paragraph" w:styleId="List5">
    <w:name w:val="List 5"/>
    <w:basedOn w:val="Normal"/>
    <w:uiPriority w:val="99"/>
    <w:semiHidden/>
    <w:unhideWhenUsed/>
    <w:rsid w:val="008A1A24"/>
    <w:pPr>
      <w:ind w:left="1415" w:hanging="283"/>
      <w:contextualSpacing/>
    </w:pPr>
  </w:style>
  <w:style w:type="paragraph" w:styleId="ListBullet">
    <w:name w:val="List Bullet"/>
    <w:basedOn w:val="Normal"/>
    <w:uiPriority w:val="99"/>
    <w:semiHidden/>
    <w:unhideWhenUsed/>
    <w:rsid w:val="008A1A24"/>
    <w:pPr>
      <w:numPr>
        <w:numId w:val="5"/>
      </w:numPr>
      <w:contextualSpacing/>
    </w:pPr>
  </w:style>
  <w:style w:type="paragraph" w:styleId="ListBullet3">
    <w:name w:val="List Bullet 3"/>
    <w:basedOn w:val="Normal"/>
    <w:uiPriority w:val="99"/>
    <w:semiHidden/>
    <w:unhideWhenUsed/>
    <w:rsid w:val="008A1A24"/>
    <w:pPr>
      <w:numPr>
        <w:numId w:val="6"/>
      </w:numPr>
      <w:contextualSpacing/>
    </w:pPr>
  </w:style>
  <w:style w:type="paragraph" w:styleId="ListBullet4">
    <w:name w:val="List Bullet 4"/>
    <w:basedOn w:val="Normal"/>
    <w:uiPriority w:val="99"/>
    <w:semiHidden/>
    <w:unhideWhenUsed/>
    <w:rsid w:val="008A1A24"/>
    <w:pPr>
      <w:numPr>
        <w:numId w:val="7"/>
      </w:numPr>
      <w:contextualSpacing/>
    </w:pPr>
  </w:style>
  <w:style w:type="paragraph" w:styleId="ListBullet5">
    <w:name w:val="List Bullet 5"/>
    <w:basedOn w:val="Normal"/>
    <w:uiPriority w:val="99"/>
    <w:semiHidden/>
    <w:unhideWhenUsed/>
    <w:rsid w:val="008A1A24"/>
    <w:pPr>
      <w:numPr>
        <w:numId w:val="8"/>
      </w:numPr>
      <w:contextualSpacing/>
    </w:pPr>
  </w:style>
  <w:style w:type="paragraph" w:styleId="ListContinue">
    <w:name w:val="List Continue"/>
    <w:basedOn w:val="Normal"/>
    <w:uiPriority w:val="99"/>
    <w:semiHidden/>
    <w:unhideWhenUsed/>
    <w:rsid w:val="008A1A24"/>
    <w:pPr>
      <w:ind w:left="283"/>
      <w:contextualSpacing/>
    </w:pPr>
  </w:style>
  <w:style w:type="paragraph" w:styleId="ListContinue2">
    <w:name w:val="List Continue 2"/>
    <w:basedOn w:val="Normal"/>
    <w:uiPriority w:val="99"/>
    <w:semiHidden/>
    <w:unhideWhenUsed/>
    <w:rsid w:val="008A1A24"/>
    <w:pPr>
      <w:ind w:left="566"/>
      <w:contextualSpacing/>
    </w:pPr>
  </w:style>
  <w:style w:type="paragraph" w:styleId="ListContinue3">
    <w:name w:val="List Continue 3"/>
    <w:basedOn w:val="Normal"/>
    <w:uiPriority w:val="99"/>
    <w:semiHidden/>
    <w:unhideWhenUsed/>
    <w:rsid w:val="008A1A24"/>
    <w:pPr>
      <w:ind w:left="849"/>
      <w:contextualSpacing/>
    </w:pPr>
  </w:style>
  <w:style w:type="paragraph" w:styleId="ListContinue4">
    <w:name w:val="List Continue 4"/>
    <w:basedOn w:val="Normal"/>
    <w:uiPriority w:val="99"/>
    <w:semiHidden/>
    <w:unhideWhenUsed/>
    <w:rsid w:val="008A1A24"/>
    <w:pPr>
      <w:ind w:left="1132"/>
      <w:contextualSpacing/>
    </w:pPr>
  </w:style>
  <w:style w:type="paragraph" w:styleId="ListContinue5">
    <w:name w:val="List Continue 5"/>
    <w:basedOn w:val="Normal"/>
    <w:uiPriority w:val="99"/>
    <w:semiHidden/>
    <w:unhideWhenUsed/>
    <w:rsid w:val="008A1A24"/>
    <w:pPr>
      <w:ind w:left="1415"/>
      <w:contextualSpacing/>
    </w:pPr>
  </w:style>
  <w:style w:type="paragraph" w:styleId="ListNumber">
    <w:name w:val="List Number"/>
    <w:basedOn w:val="Normal"/>
    <w:uiPriority w:val="99"/>
    <w:semiHidden/>
    <w:unhideWhenUsed/>
    <w:rsid w:val="008A1A24"/>
    <w:pPr>
      <w:numPr>
        <w:numId w:val="9"/>
      </w:numPr>
      <w:contextualSpacing/>
    </w:pPr>
  </w:style>
  <w:style w:type="paragraph" w:styleId="ListNumber2">
    <w:name w:val="List Number 2"/>
    <w:basedOn w:val="Normal"/>
    <w:uiPriority w:val="99"/>
    <w:semiHidden/>
    <w:unhideWhenUsed/>
    <w:rsid w:val="008A1A24"/>
    <w:pPr>
      <w:numPr>
        <w:numId w:val="10"/>
      </w:numPr>
      <w:contextualSpacing/>
    </w:pPr>
  </w:style>
  <w:style w:type="paragraph" w:styleId="ListNumber3">
    <w:name w:val="List Number 3"/>
    <w:basedOn w:val="Normal"/>
    <w:uiPriority w:val="99"/>
    <w:semiHidden/>
    <w:unhideWhenUsed/>
    <w:rsid w:val="008A1A24"/>
    <w:pPr>
      <w:numPr>
        <w:numId w:val="11"/>
      </w:numPr>
      <w:contextualSpacing/>
    </w:pPr>
  </w:style>
  <w:style w:type="paragraph" w:styleId="ListNumber4">
    <w:name w:val="List Number 4"/>
    <w:basedOn w:val="Normal"/>
    <w:uiPriority w:val="99"/>
    <w:semiHidden/>
    <w:unhideWhenUsed/>
    <w:rsid w:val="008A1A24"/>
    <w:pPr>
      <w:numPr>
        <w:numId w:val="12"/>
      </w:numPr>
      <w:contextualSpacing/>
    </w:pPr>
  </w:style>
  <w:style w:type="paragraph" w:styleId="ListNumber5">
    <w:name w:val="List Number 5"/>
    <w:basedOn w:val="Normal"/>
    <w:uiPriority w:val="99"/>
    <w:semiHidden/>
    <w:unhideWhenUsed/>
    <w:rsid w:val="008A1A24"/>
    <w:pPr>
      <w:numPr>
        <w:numId w:val="13"/>
      </w:numPr>
      <w:contextualSpacing/>
    </w:pPr>
  </w:style>
  <w:style w:type="paragraph" w:styleId="MacroText">
    <w:name w:val="macro"/>
    <w:link w:val="MacroTextChar"/>
    <w:uiPriority w:val="99"/>
    <w:semiHidden/>
    <w:unhideWhenUsed/>
    <w:rsid w:val="008A1A24"/>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A1A24"/>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A1A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A1A24"/>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A1A24"/>
    <w:pPr>
      <w:ind w:left="720"/>
    </w:pPr>
  </w:style>
  <w:style w:type="paragraph" w:styleId="NoteHeading">
    <w:name w:val="Note Heading"/>
    <w:basedOn w:val="Normal"/>
    <w:next w:val="Normal"/>
    <w:link w:val="NoteHeadingChar"/>
    <w:uiPriority w:val="99"/>
    <w:semiHidden/>
    <w:unhideWhenUsed/>
    <w:rsid w:val="008A1A24"/>
  </w:style>
  <w:style w:type="character" w:customStyle="1" w:styleId="NoteHeadingChar">
    <w:name w:val="Note Heading Char"/>
    <w:basedOn w:val="DefaultParagraphFont"/>
    <w:link w:val="NoteHeading"/>
    <w:uiPriority w:val="99"/>
    <w:semiHidden/>
    <w:rsid w:val="008A1A24"/>
    <w:rPr>
      <w:rFonts w:ascii="Arial" w:eastAsia="Times New Roman" w:hAnsi="Arial" w:cs="Times New Roman"/>
      <w:szCs w:val="20"/>
      <w:lang w:val="en-GB"/>
    </w:rPr>
  </w:style>
  <w:style w:type="paragraph" w:styleId="Quote">
    <w:name w:val="Quote"/>
    <w:basedOn w:val="Normal"/>
    <w:next w:val="Normal"/>
    <w:link w:val="QuoteChar"/>
    <w:uiPriority w:val="29"/>
    <w:qFormat/>
    <w:rsid w:val="008A1A24"/>
    <w:rPr>
      <w:i/>
      <w:iCs/>
      <w:color w:val="000000" w:themeColor="text1"/>
    </w:rPr>
  </w:style>
  <w:style w:type="character" w:customStyle="1" w:styleId="QuoteChar">
    <w:name w:val="Quote Char"/>
    <w:basedOn w:val="DefaultParagraphFont"/>
    <w:link w:val="Quote"/>
    <w:uiPriority w:val="29"/>
    <w:rsid w:val="008A1A24"/>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A1A24"/>
  </w:style>
  <w:style w:type="character" w:customStyle="1" w:styleId="SalutationChar">
    <w:name w:val="Salutation Char"/>
    <w:basedOn w:val="DefaultParagraphFont"/>
    <w:link w:val="Salutation"/>
    <w:uiPriority w:val="99"/>
    <w:semiHidden/>
    <w:rsid w:val="008A1A24"/>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A1A24"/>
    <w:pPr>
      <w:ind w:left="4252"/>
    </w:pPr>
  </w:style>
  <w:style w:type="character" w:customStyle="1" w:styleId="SignatureChar">
    <w:name w:val="Signature Char"/>
    <w:basedOn w:val="DefaultParagraphFont"/>
    <w:link w:val="Signature"/>
    <w:uiPriority w:val="99"/>
    <w:semiHidden/>
    <w:rsid w:val="008A1A24"/>
    <w:rPr>
      <w:rFonts w:ascii="Arial" w:eastAsia="Times New Roman" w:hAnsi="Arial" w:cs="Times New Roman"/>
      <w:szCs w:val="20"/>
      <w:lang w:val="en-GB"/>
    </w:rPr>
  </w:style>
  <w:style w:type="paragraph" w:styleId="Subtitle">
    <w:name w:val="Subtitle"/>
    <w:basedOn w:val="Normal"/>
    <w:next w:val="Normal"/>
    <w:link w:val="SubtitleChar"/>
    <w:uiPriority w:val="99"/>
    <w:qFormat/>
    <w:rsid w:val="008A1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99"/>
    <w:rsid w:val="008A1A24"/>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8A1A24"/>
    <w:pPr>
      <w:ind w:left="220" w:hanging="220"/>
    </w:pPr>
  </w:style>
  <w:style w:type="paragraph" w:styleId="TOAHeading">
    <w:name w:val="toa heading"/>
    <w:basedOn w:val="Normal"/>
    <w:next w:val="Normal"/>
    <w:uiPriority w:val="99"/>
    <w:semiHidden/>
    <w:unhideWhenUsed/>
    <w:rsid w:val="008A1A24"/>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uiPriority w:val="39"/>
    <w:rsid w:val="008A1A24"/>
    <w:pPr>
      <w:spacing w:after="100"/>
      <w:ind w:left="1100"/>
    </w:pPr>
  </w:style>
  <w:style w:type="paragraph" w:styleId="TOC7">
    <w:name w:val="toc 7"/>
    <w:basedOn w:val="Normal"/>
    <w:next w:val="Normal"/>
    <w:link w:val="TOC7Char"/>
    <w:autoRedefine/>
    <w:uiPriority w:val="39"/>
    <w:rsid w:val="0038659A"/>
    <w:pPr>
      <w:tabs>
        <w:tab w:val="left" w:pos="709"/>
      </w:tabs>
    </w:pPr>
    <w:rPr>
      <w:sz w:val="20"/>
    </w:rPr>
  </w:style>
  <w:style w:type="paragraph" w:styleId="TOC8">
    <w:name w:val="toc 8"/>
    <w:basedOn w:val="Normal"/>
    <w:next w:val="Normal"/>
    <w:autoRedefine/>
    <w:uiPriority w:val="99"/>
    <w:rsid w:val="008A1A24"/>
    <w:pPr>
      <w:spacing w:after="100"/>
      <w:ind w:left="1540"/>
    </w:pPr>
  </w:style>
  <w:style w:type="paragraph" w:styleId="TOC9">
    <w:name w:val="toc 9"/>
    <w:basedOn w:val="Normal"/>
    <w:next w:val="Normal"/>
    <w:autoRedefine/>
    <w:uiPriority w:val="99"/>
    <w:rsid w:val="008A1A24"/>
    <w:pPr>
      <w:spacing w:after="100"/>
      <w:ind w:left="1760"/>
    </w:pPr>
  </w:style>
  <w:style w:type="paragraph" w:styleId="TOCHeading">
    <w:name w:val="TOC Heading"/>
    <w:basedOn w:val="Heading1"/>
    <w:next w:val="Normal"/>
    <w:uiPriority w:val="39"/>
    <w:unhideWhenUsed/>
    <w:qFormat/>
    <w:rsid w:val="008A1A24"/>
    <w:pPr>
      <w:keepLines/>
      <w:spacing w:before="480"/>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uiPriority w:val="99"/>
    <w:qFormat/>
    <w:rsid w:val="008A1A24"/>
    <w:pPr>
      <w:spacing w:after="40"/>
      <w:ind w:left="360" w:hanging="360"/>
    </w:pPr>
    <w:rPr>
      <w:rFonts w:ascii="Gill Sans MT" w:hAnsi="Gill Sans MT"/>
      <w:sz w:val="20"/>
      <w:lang w:val="en-AU"/>
    </w:rPr>
  </w:style>
  <w:style w:type="character" w:customStyle="1" w:styleId="math">
    <w:name w:val="math"/>
    <w:basedOn w:val="DefaultParagraphFont"/>
    <w:rsid w:val="008A1A24"/>
  </w:style>
  <w:style w:type="character" w:customStyle="1" w:styleId="st">
    <w:name w:val="st"/>
    <w:basedOn w:val="DefaultParagraphFont"/>
    <w:rsid w:val="008A1A24"/>
  </w:style>
  <w:style w:type="paragraph" w:customStyle="1" w:styleId="Imprint">
    <w:name w:val="Imprint"/>
    <w:basedOn w:val="Normal"/>
    <w:uiPriority w:val="99"/>
    <w:rsid w:val="008A1A24"/>
    <w:rPr>
      <w:rFonts w:cs="Arial"/>
      <w:sz w:val="18"/>
      <w:szCs w:val="18"/>
      <w:lang w:val="en-US"/>
    </w:rPr>
  </w:style>
  <w:style w:type="numbering" w:customStyle="1" w:styleId="NoList1">
    <w:name w:val="No List1"/>
    <w:next w:val="NoList"/>
    <w:uiPriority w:val="99"/>
    <w:semiHidden/>
    <w:unhideWhenUsed/>
    <w:rsid w:val="008A1A24"/>
  </w:style>
  <w:style w:type="table" w:customStyle="1" w:styleId="TableGrid1">
    <w:name w:val="Table Grid1"/>
    <w:basedOn w:val="TableNormal"/>
    <w:next w:val="TableGrid"/>
    <w:uiPriority w:val="59"/>
    <w:rsid w:val="008A1A2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8A1A24"/>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8A1A24"/>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8A1A24"/>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A1A24"/>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8A1A24"/>
  </w:style>
  <w:style w:type="paragraph" w:customStyle="1" w:styleId="DocDefaults">
    <w:name w:val="DocDefaults"/>
    <w:uiPriority w:val="99"/>
    <w:rsid w:val="008A1A24"/>
    <w:pPr>
      <w:spacing w:after="0"/>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A1A24"/>
  </w:style>
  <w:style w:type="character" w:customStyle="1" w:styleId="apple-converted-space">
    <w:name w:val="apple-converted-space"/>
    <w:basedOn w:val="DefaultParagraphFont"/>
    <w:rsid w:val="008A1A24"/>
  </w:style>
  <w:style w:type="paragraph" w:customStyle="1" w:styleId="CM51">
    <w:name w:val="CM51"/>
    <w:basedOn w:val="Default0"/>
    <w:next w:val="Default0"/>
    <w:uiPriority w:val="99"/>
    <w:rsid w:val="008A1A24"/>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A1A24"/>
    <w:rPr>
      <w:rFonts w:ascii="Arial" w:eastAsiaTheme="minorHAnsi" w:hAnsi="Arial" w:cs="Arial"/>
      <w:color w:val="auto"/>
      <w:lang w:val="en-AU" w:eastAsia="en-US"/>
    </w:rPr>
  </w:style>
  <w:style w:type="paragraph" w:customStyle="1" w:styleId="CM4">
    <w:name w:val="CM4"/>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A1A24"/>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A1A24"/>
    <w:rPr>
      <w:vertAlign w:val="superscript"/>
    </w:rPr>
  </w:style>
  <w:style w:type="character" w:customStyle="1" w:styleId="pbtocarticletitle1">
    <w:name w:val="pb_toc_article_title1"/>
    <w:basedOn w:val="DefaultParagraphFont"/>
    <w:rsid w:val="008A1A24"/>
    <w:rPr>
      <w:rFonts w:ascii="Verdana" w:hAnsi="Verdana" w:hint="default"/>
      <w:b/>
      <w:bCs/>
      <w:color w:val="000000"/>
    </w:rPr>
  </w:style>
  <w:style w:type="character" w:customStyle="1" w:styleId="pbtocauthors1">
    <w:name w:val="pb_toc_authors1"/>
    <w:basedOn w:val="DefaultParagraphFont"/>
    <w:rsid w:val="008A1A24"/>
    <w:rPr>
      <w:rFonts w:ascii="Verdana" w:hAnsi="Verdana" w:hint="default"/>
      <w:b w:val="0"/>
      <w:bCs w:val="0"/>
      <w:color w:val="000000"/>
    </w:rPr>
  </w:style>
  <w:style w:type="character" w:customStyle="1" w:styleId="pbtocpages1">
    <w:name w:val="pb_toc_pages1"/>
    <w:basedOn w:val="DefaultParagraphFont"/>
    <w:rsid w:val="008A1A24"/>
    <w:rPr>
      <w:rFonts w:ascii="Verdana" w:hAnsi="Verdana" w:hint="default"/>
      <w:b w:val="0"/>
      <w:bCs w:val="0"/>
      <w:color w:val="000000"/>
    </w:rPr>
  </w:style>
  <w:style w:type="character" w:customStyle="1" w:styleId="style1">
    <w:name w:val="style1"/>
    <w:basedOn w:val="DefaultParagraphFont"/>
    <w:rsid w:val="008A1A24"/>
    <w:rPr>
      <w:rFonts w:ascii="Arial" w:hAnsi="Arial" w:cs="Arial" w:hint="default"/>
      <w:b/>
      <w:bCs/>
      <w:i w:val="0"/>
      <w:iCs w:val="0"/>
    </w:rPr>
  </w:style>
  <w:style w:type="paragraph" w:customStyle="1" w:styleId="mainTOC">
    <w:name w:val="main TOC"/>
    <w:basedOn w:val="TOC3"/>
    <w:uiPriority w:val="99"/>
    <w:qFormat/>
    <w:rsid w:val="007A3D01"/>
    <w:pPr>
      <w:tabs>
        <w:tab w:val="left" w:pos="1320"/>
      </w:tabs>
    </w:pPr>
  </w:style>
  <w:style w:type="character" w:customStyle="1" w:styleId="TOC7Char">
    <w:name w:val="TOC 7 Char"/>
    <w:basedOn w:val="DefaultParagraphFont"/>
    <w:link w:val="TOC7"/>
    <w:uiPriority w:val="39"/>
    <w:rsid w:val="0038659A"/>
    <w:rPr>
      <w:rFonts w:ascii="Arial" w:eastAsia="Times New Roman" w:hAnsi="Arial" w:cs="Times New Roman"/>
      <w:sz w:val="20"/>
      <w:szCs w:val="20"/>
      <w:lang w:val="en-GB"/>
    </w:rPr>
  </w:style>
  <w:style w:type="character" w:customStyle="1" w:styleId="TableofFiguresChar">
    <w:name w:val="Table of Figures Char"/>
    <w:basedOn w:val="TOC7Char"/>
    <w:link w:val="TableofFigures"/>
    <w:uiPriority w:val="99"/>
    <w:rsid w:val="00E4136F"/>
    <w:rPr>
      <w:rFonts w:ascii="Arial" w:eastAsiaTheme="majorEastAsia" w:hAnsi="Arial" w:cs="Arial"/>
      <w:bCs/>
      <w:noProof/>
      <w:sz w:val="20"/>
      <w:szCs w:val="20"/>
      <w:lang w:val="en-GB"/>
    </w:rPr>
  </w:style>
  <w:style w:type="paragraph" w:customStyle="1" w:styleId="TOC-figs-tables">
    <w:name w:val="TOC-figs-tables"/>
    <w:basedOn w:val="Figure"/>
    <w:next w:val="TableofFigures"/>
    <w:uiPriority w:val="99"/>
    <w:qFormat/>
    <w:rsid w:val="00CF402D"/>
    <w:pPr>
      <w:tabs>
        <w:tab w:val="left" w:pos="1296"/>
      </w:tabs>
      <w:ind w:left="1296"/>
    </w:pPr>
  </w:style>
  <w:style w:type="paragraph" w:customStyle="1" w:styleId="font5">
    <w:name w:val="font5"/>
    <w:basedOn w:val="Normal"/>
    <w:uiPriority w:val="99"/>
    <w:rsid w:val="00AB651D"/>
    <w:pPr>
      <w:spacing w:before="100" w:beforeAutospacing="1" w:after="100" w:afterAutospacing="1"/>
    </w:pPr>
    <w:rPr>
      <w:rFonts w:ascii="Arial Narrow" w:hAnsi="Arial Narrow"/>
      <w:b/>
      <w:bCs/>
      <w:color w:val="000000"/>
      <w:sz w:val="18"/>
      <w:szCs w:val="18"/>
      <w:lang w:val="en-AU" w:eastAsia="en-AU"/>
    </w:rPr>
  </w:style>
  <w:style w:type="paragraph" w:customStyle="1" w:styleId="font6">
    <w:name w:val="font6"/>
    <w:basedOn w:val="Normal"/>
    <w:uiPriority w:val="99"/>
    <w:rsid w:val="00AB651D"/>
    <w:pPr>
      <w:spacing w:before="100" w:beforeAutospacing="1" w:after="100" w:afterAutospacing="1"/>
    </w:pPr>
    <w:rPr>
      <w:rFonts w:ascii="Cambria Math" w:hAnsi="Cambria Math"/>
      <w:b/>
      <w:bCs/>
      <w:color w:val="000000"/>
      <w:sz w:val="18"/>
      <w:szCs w:val="18"/>
      <w:lang w:val="en-AU" w:eastAsia="en-AU"/>
    </w:rPr>
  </w:style>
  <w:style w:type="paragraph" w:customStyle="1" w:styleId="xl67">
    <w:name w:val="xl67"/>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18"/>
      <w:szCs w:val="18"/>
      <w:lang w:val="en-AU" w:eastAsia="en-AU"/>
    </w:rPr>
  </w:style>
  <w:style w:type="paragraph" w:customStyle="1" w:styleId="xl68">
    <w:name w:val="xl68"/>
    <w:basedOn w:val="Normal"/>
    <w:rsid w:val="00AB651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pPr>
    <w:rPr>
      <w:rFonts w:ascii="Times New Roman" w:hAnsi="Times New Roman"/>
      <w:sz w:val="18"/>
      <w:szCs w:val="18"/>
      <w:lang w:val="en-AU" w:eastAsia="en-AU"/>
    </w:rPr>
  </w:style>
  <w:style w:type="paragraph" w:customStyle="1" w:styleId="xl69">
    <w:name w:val="xl69"/>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paragraph" w:customStyle="1" w:styleId="xl70">
    <w:name w:val="xl70"/>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numbering" w:customStyle="1" w:styleId="NoList3">
    <w:name w:val="No List3"/>
    <w:next w:val="NoList"/>
    <w:uiPriority w:val="99"/>
    <w:semiHidden/>
    <w:unhideWhenUsed/>
    <w:rsid w:val="00737850"/>
  </w:style>
  <w:style w:type="numbering" w:customStyle="1" w:styleId="NoList4">
    <w:name w:val="No List4"/>
    <w:next w:val="NoList"/>
    <w:uiPriority w:val="99"/>
    <w:semiHidden/>
    <w:unhideWhenUsed/>
    <w:rsid w:val="00737850"/>
  </w:style>
  <w:style w:type="numbering" w:customStyle="1" w:styleId="NoList5">
    <w:name w:val="No List5"/>
    <w:next w:val="NoList"/>
    <w:uiPriority w:val="99"/>
    <w:semiHidden/>
    <w:unhideWhenUsed/>
    <w:rsid w:val="00737850"/>
  </w:style>
  <w:style w:type="character" w:styleId="PlaceholderText">
    <w:name w:val="Placeholder Text"/>
    <w:basedOn w:val="DefaultParagraphFont"/>
    <w:uiPriority w:val="99"/>
    <w:semiHidden/>
    <w:rsid w:val="002B057C"/>
    <w:rPr>
      <w:color w:val="808080"/>
    </w:rPr>
  </w:style>
  <w:style w:type="paragraph" w:customStyle="1" w:styleId="AppendixFigures">
    <w:name w:val="Appendix Figures"/>
    <w:next w:val="Normal"/>
    <w:autoRedefine/>
    <w:qFormat/>
    <w:rsid w:val="00BF3FC5"/>
    <w:pPr>
      <w:spacing w:after="0"/>
      <w:ind w:left="426"/>
    </w:pPr>
    <w:rPr>
      <w:rFonts w:ascii="Arial Narrow" w:eastAsia="SimSun" w:hAnsi="Arial Narrow" w:cs="Times New Roman"/>
      <w:sz w:val="20"/>
      <w:szCs w:val="24"/>
      <w:lang w:val="en-GB"/>
    </w:rPr>
  </w:style>
  <w:style w:type="character" w:customStyle="1" w:styleId="Heading7Char1">
    <w:name w:val="Heading 7 Char1"/>
    <w:aliases w:val="Tables Char1"/>
    <w:basedOn w:val="DefaultParagraphFont"/>
    <w:uiPriority w:val="99"/>
    <w:semiHidden/>
    <w:rsid w:val="007372D2"/>
    <w:rPr>
      <w:rFonts w:asciiTheme="majorHAnsi" w:eastAsiaTheme="majorEastAsia" w:hAnsiTheme="majorHAnsi" w:cstheme="majorBidi"/>
      <w:i/>
      <w:iCs/>
      <w:color w:val="404040" w:themeColor="text1" w:themeTint="BF"/>
      <w:sz w:val="22"/>
      <w:szCs w:val="22"/>
    </w:rPr>
  </w:style>
  <w:style w:type="paragraph" w:customStyle="1" w:styleId="xl63">
    <w:name w:val="xl63"/>
    <w:basedOn w:val="Normal"/>
    <w:rsid w:val="00C63155"/>
    <w:pPr>
      <w:spacing w:before="100" w:beforeAutospacing="1" w:after="100" w:afterAutospacing="1"/>
    </w:pPr>
    <w:rPr>
      <w:rFonts w:ascii="Arial Narrow" w:hAnsi="Arial Narrow"/>
      <w:sz w:val="20"/>
      <w:lang w:val="en-AU" w:eastAsia="en-AU"/>
    </w:rPr>
  </w:style>
  <w:style w:type="paragraph" w:customStyle="1" w:styleId="xl64">
    <w:name w:val="xl64"/>
    <w:basedOn w:val="Normal"/>
    <w:rsid w:val="00C63155"/>
    <w:pPr>
      <w:spacing w:before="100" w:beforeAutospacing="1" w:after="100" w:afterAutospacing="1"/>
      <w:jc w:val="center"/>
      <w:textAlignment w:val="center"/>
    </w:pPr>
    <w:rPr>
      <w:rFonts w:ascii="Times New Roman" w:hAnsi="Times New Roman"/>
      <w:sz w:val="24"/>
      <w:szCs w:val="24"/>
      <w:lang w:val="en-AU" w:eastAsia="en-AU"/>
    </w:rPr>
  </w:style>
  <w:style w:type="paragraph" w:customStyle="1" w:styleId="xl71">
    <w:name w:val="xl71"/>
    <w:basedOn w:val="Normal"/>
    <w:rsid w:val="00C63155"/>
    <w:pPr>
      <w:spacing w:before="100" w:beforeAutospacing="1" w:after="100" w:afterAutospacing="1"/>
      <w:jc w:val="center"/>
      <w:textAlignment w:val="center"/>
    </w:pPr>
    <w:rPr>
      <w:rFonts w:ascii="Arial Narrow" w:hAnsi="Arial Narrow"/>
      <w:sz w:val="20"/>
      <w:lang w:val="en-AU" w:eastAsia="en-AU"/>
    </w:rPr>
  </w:style>
  <w:style w:type="paragraph" w:customStyle="1" w:styleId="xl72">
    <w:name w:val="xl72"/>
    <w:basedOn w:val="Normal"/>
    <w:rsid w:val="00C63155"/>
    <w:pPr>
      <w:spacing w:before="100" w:beforeAutospacing="1" w:after="100" w:afterAutospacing="1"/>
      <w:jc w:val="center"/>
      <w:textAlignment w:val="center"/>
    </w:pPr>
    <w:rPr>
      <w:rFonts w:ascii="Arial Narrow" w:hAnsi="Arial Narrow"/>
      <w:sz w:val="20"/>
      <w:lang w:val="en-AU" w:eastAsia="en-AU"/>
    </w:rPr>
  </w:style>
  <w:style w:type="paragraph" w:customStyle="1" w:styleId="xl73">
    <w:name w:val="xl73"/>
    <w:basedOn w:val="Normal"/>
    <w:rsid w:val="00A073D4"/>
    <w:pPr>
      <w:spacing w:before="100" w:beforeAutospacing="1" w:after="100" w:afterAutospacing="1"/>
      <w:jc w:val="center"/>
      <w:textAlignment w:val="center"/>
    </w:pPr>
    <w:rPr>
      <w:rFonts w:ascii="Arial Narrow" w:hAnsi="Arial Narrow"/>
      <w:sz w:val="20"/>
      <w:lang w:val="en-AU" w:eastAsia="en-AU"/>
    </w:rPr>
  </w:style>
  <w:style w:type="paragraph" w:customStyle="1" w:styleId="xl74">
    <w:name w:val="xl74"/>
    <w:basedOn w:val="Normal"/>
    <w:rsid w:val="00A073D4"/>
    <w:pPr>
      <w:spacing w:before="100" w:beforeAutospacing="1" w:after="100" w:afterAutospacing="1"/>
      <w:jc w:val="center"/>
      <w:textAlignment w:val="center"/>
    </w:pPr>
    <w:rPr>
      <w:rFonts w:ascii="Arial Narrow" w:hAnsi="Arial Narrow"/>
      <w:sz w:val="20"/>
      <w:lang w:val="en-AU"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6" w:uiPriority="39"/>
    <w:lsdException w:name="toc 7"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1CF7"/>
    <w:pPr>
      <w:jc w:val="both"/>
    </w:pPr>
    <w:rPr>
      <w:rFonts w:ascii="Arial" w:eastAsia="Times New Roman" w:hAnsi="Arial" w:cs="Times New Roman"/>
      <w:szCs w:val="20"/>
      <w:lang w:val="en-GB"/>
    </w:rPr>
  </w:style>
  <w:style w:type="paragraph" w:styleId="Heading1">
    <w:name w:val="heading 1"/>
    <w:basedOn w:val="Normal"/>
    <w:next w:val="Normal"/>
    <w:link w:val="Heading1Char"/>
    <w:autoRedefine/>
    <w:uiPriority w:val="99"/>
    <w:qFormat/>
    <w:rsid w:val="006D0A76"/>
    <w:pPr>
      <w:keepNext/>
      <w:numPr>
        <w:numId w:val="42"/>
      </w:numPr>
      <w:spacing w:after="240"/>
      <w:ind w:right="-144"/>
      <w:jc w:val="left"/>
      <w:outlineLvl w:val="0"/>
    </w:pPr>
    <w:rPr>
      <w:rFonts w:eastAsia="SimSun"/>
      <w:b/>
      <w:i/>
      <w:color w:val="000000" w:themeColor="text1"/>
      <w:kern w:val="28"/>
      <w:sz w:val="32"/>
      <w:szCs w:val="28"/>
    </w:rPr>
  </w:style>
  <w:style w:type="paragraph" w:styleId="Heading2">
    <w:name w:val="heading 2"/>
    <w:aliases w:val="h2"/>
    <w:basedOn w:val="Normal"/>
    <w:next w:val="Normal"/>
    <w:link w:val="Heading2Char1"/>
    <w:uiPriority w:val="99"/>
    <w:qFormat/>
    <w:rsid w:val="008A1A24"/>
    <w:pPr>
      <w:keepNext/>
      <w:keepLines/>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autoRedefine/>
    <w:uiPriority w:val="99"/>
    <w:qFormat/>
    <w:rsid w:val="009139A2"/>
    <w:pPr>
      <w:keepNext/>
      <w:spacing w:before="240"/>
      <w:outlineLvl w:val="2"/>
    </w:pPr>
    <w:rPr>
      <w:rFonts w:eastAsia="SimSun"/>
      <w:b/>
      <w:i/>
      <w:color w:val="000000" w:themeColor="text1"/>
      <w:sz w:val="24"/>
    </w:rPr>
  </w:style>
  <w:style w:type="paragraph" w:styleId="Heading4">
    <w:name w:val="heading 4"/>
    <w:basedOn w:val="Caption"/>
    <w:next w:val="Normal"/>
    <w:link w:val="Heading4Char"/>
    <w:uiPriority w:val="99"/>
    <w:qFormat/>
    <w:rsid w:val="008A1A24"/>
    <w:pPr>
      <w:outlineLvl w:val="3"/>
    </w:pPr>
    <w:rPr>
      <w:rFonts w:ascii="Arial" w:hAnsi="Arial"/>
      <w:i/>
      <w:sz w:val="22"/>
    </w:rPr>
  </w:style>
  <w:style w:type="paragraph" w:styleId="Heading5">
    <w:name w:val="heading 5"/>
    <w:basedOn w:val="Normal"/>
    <w:next w:val="Normal"/>
    <w:link w:val="Heading5Char"/>
    <w:autoRedefine/>
    <w:uiPriority w:val="99"/>
    <w:qFormat/>
    <w:rsid w:val="008A1A24"/>
    <w:pPr>
      <w:keepNext/>
      <w:outlineLvl w:val="4"/>
    </w:pPr>
    <w:rPr>
      <w:rFonts w:ascii="Gill Sans MT" w:hAnsi="Gill Sans MT"/>
      <w:b/>
      <w:color w:val="000000"/>
    </w:rPr>
  </w:style>
  <w:style w:type="paragraph" w:styleId="Heading6">
    <w:name w:val="heading 6"/>
    <w:aliases w:val="Appendix Heading 1"/>
    <w:next w:val="Normal"/>
    <w:link w:val="Heading6Char"/>
    <w:uiPriority w:val="99"/>
    <w:qFormat/>
    <w:rsid w:val="00F80547"/>
    <w:pPr>
      <w:keepNext/>
      <w:jc w:val="center"/>
      <w:outlineLvl w:val="5"/>
    </w:pPr>
    <w:rPr>
      <w:rFonts w:ascii="Arial" w:eastAsia="SimSun" w:hAnsi="Arial" w:cs="Times New Roman"/>
      <w:color w:val="000000"/>
      <w:sz w:val="40"/>
      <w:szCs w:val="24"/>
      <w:lang w:val="en-GB"/>
    </w:rPr>
  </w:style>
  <w:style w:type="paragraph" w:styleId="Heading7">
    <w:name w:val="heading 7"/>
    <w:aliases w:val="Tables"/>
    <w:basedOn w:val="Normal"/>
    <w:next w:val="Normal"/>
    <w:link w:val="Heading7Char"/>
    <w:uiPriority w:val="99"/>
    <w:qFormat/>
    <w:rsid w:val="008A1A24"/>
    <w:pPr>
      <w:keepNext/>
      <w:outlineLvl w:val="6"/>
    </w:pPr>
    <w:rPr>
      <w:rFonts w:ascii="Arial Narrow" w:hAnsi="Arial Narrow"/>
      <w:sz w:val="20"/>
      <w:szCs w:val="24"/>
    </w:rPr>
  </w:style>
  <w:style w:type="paragraph" w:styleId="Heading8">
    <w:name w:val="heading 8"/>
    <w:basedOn w:val="Normal"/>
    <w:next w:val="Normal"/>
    <w:link w:val="Heading8Char"/>
    <w:uiPriority w:val="99"/>
    <w:qFormat/>
    <w:rsid w:val="008A1A24"/>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8A1A24"/>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6D0A76"/>
    <w:rPr>
      <w:rFonts w:ascii="Arial" w:eastAsia="SimSun" w:hAnsi="Arial" w:cs="Times New Roman"/>
      <w:b/>
      <w:i/>
      <w:color w:val="000000" w:themeColor="text1"/>
      <w:kern w:val="28"/>
      <w:sz w:val="32"/>
      <w:szCs w:val="28"/>
      <w:lang w:val="en-GB"/>
    </w:rPr>
  </w:style>
  <w:style w:type="character" w:customStyle="1" w:styleId="Heading2Char">
    <w:name w:val="Heading 2 Char"/>
    <w:aliases w:val="h2 Char"/>
    <w:basedOn w:val="DefaultParagraphFont"/>
    <w:uiPriority w:val="99"/>
    <w:rsid w:val="008A1A24"/>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9"/>
    <w:rsid w:val="009139A2"/>
    <w:rPr>
      <w:rFonts w:ascii="Arial" w:eastAsia="SimSun" w:hAnsi="Arial" w:cs="Times New Roman"/>
      <w:b/>
      <w:i/>
      <w:color w:val="000000" w:themeColor="text1"/>
      <w:sz w:val="24"/>
      <w:szCs w:val="20"/>
      <w:lang w:val="en-GB"/>
    </w:rPr>
  </w:style>
  <w:style w:type="character" w:customStyle="1" w:styleId="Heading4Char">
    <w:name w:val="Heading 4 Char"/>
    <w:basedOn w:val="DefaultParagraphFont"/>
    <w:link w:val="Heading4"/>
    <w:uiPriority w:val="99"/>
    <w:rsid w:val="008A1A24"/>
    <w:rPr>
      <w:rFonts w:ascii="Arial" w:eastAsia="SimSun" w:hAnsi="Arial" w:cs="Times New Roman"/>
      <w:i/>
      <w:szCs w:val="24"/>
      <w:lang w:val="en-GB"/>
    </w:rPr>
  </w:style>
  <w:style w:type="character" w:customStyle="1" w:styleId="Heading5Char">
    <w:name w:val="Heading 5 Char"/>
    <w:basedOn w:val="DefaultParagraphFont"/>
    <w:link w:val="Heading5"/>
    <w:uiPriority w:val="99"/>
    <w:rsid w:val="008A1A24"/>
    <w:rPr>
      <w:rFonts w:ascii="Gill Sans MT" w:eastAsia="Times New Roman" w:hAnsi="Gill Sans MT" w:cs="Times New Roman"/>
      <w:b/>
      <w:color w:val="000000"/>
      <w:szCs w:val="20"/>
      <w:lang w:val="en-GB"/>
    </w:rPr>
  </w:style>
  <w:style w:type="character" w:customStyle="1" w:styleId="Heading6Char">
    <w:name w:val="Heading 6 Char"/>
    <w:aliases w:val="Appendix Heading 1 Char"/>
    <w:basedOn w:val="DefaultParagraphFont"/>
    <w:link w:val="Heading6"/>
    <w:uiPriority w:val="99"/>
    <w:rsid w:val="00F80547"/>
    <w:rPr>
      <w:rFonts w:ascii="Arial" w:eastAsia="SimSun" w:hAnsi="Arial" w:cs="Times New Roman"/>
      <w:color w:val="000000"/>
      <w:sz w:val="40"/>
      <w:szCs w:val="24"/>
      <w:lang w:val="en-GB"/>
    </w:rPr>
  </w:style>
  <w:style w:type="character" w:customStyle="1" w:styleId="Heading7Char">
    <w:name w:val="Heading 7 Char"/>
    <w:aliases w:val="Tables Char"/>
    <w:basedOn w:val="DefaultParagraphFont"/>
    <w:link w:val="Heading7"/>
    <w:uiPriority w:val="99"/>
    <w:rsid w:val="008A1A24"/>
    <w:rPr>
      <w:rFonts w:ascii="Arial Narrow" w:eastAsia="Times New Roman" w:hAnsi="Arial Narrow" w:cs="Times New Roman"/>
      <w:sz w:val="20"/>
      <w:szCs w:val="24"/>
      <w:lang w:val="en-GB"/>
    </w:rPr>
  </w:style>
  <w:style w:type="character" w:customStyle="1" w:styleId="Heading8Char">
    <w:name w:val="Heading 8 Char"/>
    <w:basedOn w:val="DefaultParagraphFont"/>
    <w:link w:val="Heading8"/>
    <w:uiPriority w:val="99"/>
    <w:rsid w:val="008A1A24"/>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A1A24"/>
    <w:rPr>
      <w:rFonts w:ascii="Cambria" w:eastAsia="Times New Roman" w:hAnsi="Cambria" w:cs="Times New Roman"/>
      <w:sz w:val="20"/>
      <w:szCs w:val="20"/>
      <w:lang w:val="en-GB"/>
    </w:rPr>
  </w:style>
  <w:style w:type="paragraph" w:customStyle="1" w:styleId="References">
    <w:name w:val="References"/>
    <w:basedOn w:val="Normal"/>
    <w:uiPriority w:val="99"/>
    <w:rsid w:val="008A1A24"/>
    <w:pPr>
      <w:ind w:left="288" w:hanging="288"/>
    </w:pPr>
    <w:rPr>
      <w:szCs w:val="22"/>
      <w:lang w:val="en-AU"/>
    </w:rPr>
  </w:style>
  <w:style w:type="character" w:styleId="CommentReference">
    <w:name w:val="annotation reference"/>
    <w:basedOn w:val="DefaultParagraphFont"/>
    <w:uiPriority w:val="99"/>
    <w:rsid w:val="008A1A24"/>
    <w:rPr>
      <w:rFonts w:cs="Times New Roman"/>
      <w:sz w:val="28"/>
    </w:rPr>
  </w:style>
  <w:style w:type="paragraph" w:styleId="CommentText">
    <w:name w:val="annotation text"/>
    <w:basedOn w:val="Normal"/>
    <w:link w:val="CommentTextChar"/>
    <w:uiPriority w:val="99"/>
    <w:rsid w:val="008A1A24"/>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rsid w:val="008A1A24"/>
    <w:rPr>
      <w:rFonts w:ascii="Gill Sans MT" w:eastAsia="Times New Roman" w:hAnsi="Gill Sans MT" w:cs="Times New Roman"/>
      <w:sz w:val="20"/>
      <w:szCs w:val="20"/>
      <w:lang w:eastAsia="en-AU"/>
    </w:rPr>
  </w:style>
  <w:style w:type="paragraph" w:styleId="Footer">
    <w:name w:val="footer"/>
    <w:basedOn w:val="Normal"/>
    <w:link w:val="FooterChar"/>
    <w:uiPriority w:val="99"/>
    <w:rsid w:val="008A1A24"/>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A1A24"/>
    <w:rPr>
      <w:rFonts w:ascii="Gill Sans MT" w:eastAsia="Times New Roman" w:hAnsi="Gill Sans MT" w:cs="Times New Roman"/>
      <w:sz w:val="20"/>
      <w:szCs w:val="20"/>
      <w:lang w:val="en-GB"/>
    </w:rPr>
  </w:style>
  <w:style w:type="paragraph" w:customStyle="1" w:styleId="Reportsummary">
    <w:name w:val="Report summary"/>
    <w:basedOn w:val="Normal"/>
    <w:uiPriority w:val="99"/>
    <w:rsid w:val="008A1A24"/>
    <w:pPr>
      <w:tabs>
        <w:tab w:val="num" w:pos="432"/>
      </w:tabs>
      <w:spacing w:after="240"/>
      <w:ind w:left="432" w:hanging="432"/>
    </w:pPr>
    <w:rPr>
      <w:sz w:val="24"/>
    </w:rPr>
  </w:style>
  <w:style w:type="paragraph" w:customStyle="1" w:styleId="Reportrefs">
    <w:name w:val="Report refs"/>
    <w:basedOn w:val="Normal"/>
    <w:uiPriority w:val="99"/>
    <w:rsid w:val="008A1A24"/>
    <w:pPr>
      <w:spacing w:after="180"/>
      <w:ind w:left="432" w:hanging="432"/>
    </w:pPr>
    <w:rPr>
      <w:sz w:val="24"/>
    </w:rPr>
  </w:style>
  <w:style w:type="paragraph" w:styleId="TOC4">
    <w:name w:val="toc 4"/>
    <w:basedOn w:val="Normal"/>
    <w:next w:val="Normal"/>
    <w:autoRedefine/>
    <w:uiPriority w:val="39"/>
    <w:rsid w:val="004F3736"/>
    <w:pPr>
      <w:tabs>
        <w:tab w:val="left" w:pos="1440"/>
        <w:tab w:val="right" w:leader="dot" w:pos="9072"/>
      </w:tabs>
    </w:pPr>
    <w:rPr>
      <w:rFonts w:eastAsiaTheme="majorEastAsia"/>
      <w:noProof/>
      <w:sz w:val="20"/>
      <w:szCs w:val="24"/>
      <w:lang w:val="en-AU"/>
    </w:rPr>
  </w:style>
  <w:style w:type="paragraph" w:customStyle="1" w:styleId="Figure">
    <w:name w:val="Figure"/>
    <w:basedOn w:val="Normal"/>
    <w:link w:val="FigureChar"/>
    <w:rsid w:val="008A1A24"/>
    <w:pPr>
      <w:spacing w:before="120"/>
    </w:pPr>
    <w:rPr>
      <w:rFonts w:ascii="Arial Narrow" w:hAnsi="Arial Narrow"/>
    </w:rPr>
  </w:style>
  <w:style w:type="character" w:customStyle="1" w:styleId="FigureChar">
    <w:name w:val="Figure Char"/>
    <w:link w:val="Figure"/>
    <w:locked/>
    <w:rsid w:val="008A1A24"/>
    <w:rPr>
      <w:rFonts w:ascii="Arial Narrow" w:eastAsia="Times New Roman" w:hAnsi="Arial Narrow" w:cs="Times New Roman"/>
      <w:szCs w:val="20"/>
      <w:lang w:val="en-GB"/>
    </w:rPr>
  </w:style>
  <w:style w:type="paragraph" w:customStyle="1" w:styleId="Table">
    <w:name w:val="Table"/>
    <w:basedOn w:val="Normal"/>
    <w:link w:val="TableChar"/>
    <w:autoRedefine/>
    <w:rsid w:val="008A1A24"/>
    <w:pPr>
      <w:spacing w:before="120"/>
    </w:pPr>
    <w:rPr>
      <w:rFonts w:ascii="Arial Narrow" w:hAnsi="Arial Narrow"/>
    </w:rPr>
  </w:style>
  <w:style w:type="character" w:customStyle="1" w:styleId="TableChar">
    <w:name w:val="Table Char"/>
    <w:link w:val="Table"/>
    <w:locked/>
    <w:rsid w:val="008A1A24"/>
    <w:rPr>
      <w:rFonts w:ascii="Arial Narrow" w:eastAsia="Times New Roman" w:hAnsi="Arial Narrow" w:cs="Times New Roman"/>
      <w:szCs w:val="20"/>
      <w:lang w:val="en-GB"/>
    </w:rPr>
  </w:style>
  <w:style w:type="paragraph" w:customStyle="1" w:styleId="Infopage">
    <w:name w:val="Info page"/>
    <w:basedOn w:val="Normal"/>
    <w:uiPriority w:val="99"/>
    <w:rsid w:val="008A1A24"/>
    <w:rPr>
      <w:rFonts w:ascii="Arial Narrow" w:hAnsi="Arial Narrow"/>
      <w:szCs w:val="22"/>
    </w:rPr>
  </w:style>
  <w:style w:type="paragraph" w:styleId="TOC1">
    <w:name w:val="toc 1"/>
    <w:basedOn w:val="Normal"/>
    <w:next w:val="Normal"/>
    <w:autoRedefine/>
    <w:uiPriority w:val="39"/>
    <w:qFormat/>
    <w:rsid w:val="00CF402D"/>
    <w:pPr>
      <w:tabs>
        <w:tab w:val="left" w:pos="450"/>
        <w:tab w:val="left" w:pos="1100"/>
        <w:tab w:val="right" w:leader="dot" w:pos="9061"/>
      </w:tabs>
      <w:spacing w:after="0"/>
    </w:pPr>
    <w:rPr>
      <w:noProof/>
    </w:rPr>
  </w:style>
  <w:style w:type="paragraph" w:customStyle="1" w:styleId="TableContents">
    <w:name w:val="Table Contents"/>
    <w:basedOn w:val="Normal"/>
    <w:uiPriority w:val="99"/>
    <w:rsid w:val="008A1A24"/>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A1A24"/>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8A1A24"/>
    <w:rPr>
      <w:rFonts w:cs="Times New Roman"/>
      <w:color w:val="0000FF"/>
      <w:u w:val="single"/>
    </w:rPr>
  </w:style>
  <w:style w:type="paragraph" w:customStyle="1" w:styleId="name1">
    <w:name w:val="name1"/>
    <w:basedOn w:val="Normal"/>
    <w:uiPriority w:val="99"/>
    <w:rsid w:val="008A1A24"/>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8A1A24"/>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A1A24"/>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A1A24"/>
    <w:rPr>
      <w:rFonts w:ascii="Times New Roman" w:hAnsi="Times New Roman"/>
      <w:sz w:val="16"/>
    </w:rPr>
  </w:style>
  <w:style w:type="character" w:customStyle="1" w:styleId="BalloonTextChar">
    <w:name w:val="Balloon Text Char"/>
    <w:basedOn w:val="DefaultParagraphFont"/>
    <w:link w:val="BalloonText"/>
    <w:uiPriority w:val="99"/>
    <w:rsid w:val="008A1A24"/>
    <w:rPr>
      <w:rFonts w:ascii="Times New Roman" w:eastAsia="Times New Roman" w:hAnsi="Times New Roman" w:cs="Times New Roman"/>
      <w:sz w:val="16"/>
      <w:szCs w:val="20"/>
      <w:lang w:val="en-GB"/>
    </w:rPr>
  </w:style>
  <w:style w:type="paragraph" w:styleId="Title">
    <w:name w:val="Title"/>
    <w:basedOn w:val="Normal"/>
    <w:link w:val="TitleChar"/>
    <w:uiPriority w:val="99"/>
    <w:qFormat/>
    <w:rsid w:val="008A1A24"/>
    <w:pPr>
      <w:jc w:val="center"/>
    </w:pPr>
    <w:rPr>
      <w:rFonts w:ascii="Cambria" w:hAnsi="Cambria"/>
      <w:b/>
      <w:bCs/>
      <w:kern w:val="28"/>
      <w:sz w:val="32"/>
      <w:szCs w:val="32"/>
    </w:rPr>
  </w:style>
  <w:style w:type="character" w:customStyle="1" w:styleId="TitleChar">
    <w:name w:val="Title Char"/>
    <w:basedOn w:val="DefaultParagraphFont"/>
    <w:link w:val="Title"/>
    <w:uiPriority w:val="99"/>
    <w:rsid w:val="008A1A24"/>
    <w:rPr>
      <w:rFonts w:ascii="Cambria" w:eastAsia="Times New Roman" w:hAnsi="Cambria" w:cs="Times New Roman"/>
      <w:b/>
      <w:bCs/>
      <w:kern w:val="28"/>
      <w:sz w:val="32"/>
      <w:szCs w:val="32"/>
      <w:lang w:val="en-GB"/>
    </w:rPr>
  </w:style>
  <w:style w:type="character" w:styleId="PageNumber">
    <w:name w:val="page number"/>
    <w:basedOn w:val="DefaultParagraphFont"/>
    <w:uiPriority w:val="99"/>
    <w:rsid w:val="008A1A24"/>
    <w:rPr>
      <w:rFonts w:cs="Times New Roman"/>
    </w:rPr>
  </w:style>
  <w:style w:type="paragraph" w:styleId="TOC2">
    <w:name w:val="toc 2"/>
    <w:basedOn w:val="Normal"/>
    <w:next w:val="Normal"/>
    <w:uiPriority w:val="39"/>
    <w:qFormat/>
    <w:rsid w:val="0092783D"/>
    <w:pPr>
      <w:tabs>
        <w:tab w:val="left" w:pos="720"/>
        <w:tab w:val="right" w:leader="dot" w:pos="9072"/>
      </w:tabs>
      <w:ind w:left="216" w:right="432"/>
    </w:pPr>
    <w:rPr>
      <w:sz w:val="20"/>
    </w:rPr>
  </w:style>
  <w:style w:type="paragraph" w:styleId="TOC3">
    <w:name w:val="toc 3"/>
    <w:basedOn w:val="Normal"/>
    <w:next w:val="Normal"/>
    <w:autoRedefine/>
    <w:uiPriority w:val="39"/>
    <w:qFormat/>
    <w:rsid w:val="00CF402D"/>
    <w:pPr>
      <w:tabs>
        <w:tab w:val="left" w:pos="450"/>
        <w:tab w:val="left" w:pos="720"/>
        <w:tab w:val="right" w:leader="dot" w:pos="9061"/>
      </w:tabs>
      <w:ind w:left="1440" w:hanging="720"/>
    </w:pPr>
    <w:rPr>
      <w:rFonts w:eastAsia="SimSun"/>
      <w:noProof/>
      <w:color w:val="000000" w:themeColor="text1"/>
      <w:sz w:val="20"/>
    </w:rPr>
  </w:style>
  <w:style w:type="paragraph" w:styleId="TOC5">
    <w:name w:val="toc 5"/>
    <w:basedOn w:val="Normal"/>
    <w:next w:val="Normal"/>
    <w:autoRedefine/>
    <w:uiPriority w:val="99"/>
    <w:semiHidden/>
    <w:rsid w:val="008A1A24"/>
    <w:pPr>
      <w:ind w:left="880"/>
    </w:pPr>
  </w:style>
  <w:style w:type="paragraph" w:customStyle="1" w:styleId="StyleTitleOptimum">
    <w:name w:val="Style Title + Optimum"/>
    <w:basedOn w:val="Title"/>
    <w:uiPriority w:val="99"/>
    <w:rsid w:val="008A1A24"/>
    <w:rPr>
      <w:rFonts w:ascii="Arial Black" w:hAnsi="Arial Black"/>
      <w:b w:val="0"/>
    </w:rPr>
  </w:style>
  <w:style w:type="paragraph" w:customStyle="1" w:styleId="StyleHeading5Optimum">
    <w:name w:val="Style Heading 5 + Optimum"/>
    <w:basedOn w:val="Heading5"/>
    <w:uiPriority w:val="99"/>
    <w:rsid w:val="008A1A24"/>
    <w:pPr>
      <w:spacing w:after="60"/>
    </w:pPr>
    <w:rPr>
      <w:bCs/>
      <w:i/>
      <w:sz w:val="32"/>
    </w:rPr>
  </w:style>
  <w:style w:type="paragraph" w:customStyle="1" w:styleId="StyleHeading4After6pt">
    <w:name w:val="Style Heading 4 + After:  6 pt"/>
    <w:basedOn w:val="Heading4"/>
    <w:uiPriority w:val="99"/>
    <w:rsid w:val="008A1A24"/>
    <w:rPr>
      <w:b/>
      <w:bCs/>
      <w:i w:val="0"/>
      <w:iCs/>
    </w:rPr>
  </w:style>
  <w:style w:type="character" w:customStyle="1" w:styleId="pubref">
    <w:name w:val="pubref"/>
    <w:rsid w:val="008A1A24"/>
  </w:style>
  <w:style w:type="paragraph" w:styleId="FootnoteText">
    <w:name w:val="footnote text"/>
    <w:basedOn w:val="Normal"/>
    <w:link w:val="FootnoteTextChar"/>
    <w:uiPriority w:val="99"/>
    <w:semiHidden/>
    <w:rsid w:val="008A1A24"/>
    <w:rPr>
      <w:rFonts w:ascii="Gill Sans MT" w:hAnsi="Gill Sans MT"/>
      <w:sz w:val="20"/>
    </w:rPr>
  </w:style>
  <w:style w:type="character" w:customStyle="1" w:styleId="FootnoteTextChar">
    <w:name w:val="Footnote Text Char"/>
    <w:basedOn w:val="DefaultParagraphFont"/>
    <w:link w:val="FootnoteText"/>
    <w:uiPriority w:val="99"/>
    <w:semiHidden/>
    <w:rsid w:val="008A1A24"/>
    <w:rPr>
      <w:rFonts w:ascii="Gill Sans MT" w:eastAsia="Times New Roman" w:hAnsi="Gill Sans MT" w:cs="Times New Roman"/>
      <w:sz w:val="20"/>
      <w:szCs w:val="20"/>
      <w:lang w:val="en-GB"/>
    </w:rPr>
  </w:style>
  <w:style w:type="paragraph" w:styleId="ListBullet2">
    <w:name w:val="List Bullet 2"/>
    <w:basedOn w:val="Normal"/>
    <w:uiPriority w:val="99"/>
    <w:rsid w:val="008A1A24"/>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8A1A24"/>
    <w:rPr>
      <w:rFonts w:ascii="Courier New" w:hAnsi="Courier New"/>
      <w:sz w:val="20"/>
    </w:rPr>
  </w:style>
  <w:style w:type="character" w:customStyle="1" w:styleId="PlainTextChar">
    <w:name w:val="Plain Text Char"/>
    <w:basedOn w:val="DefaultParagraphFont"/>
    <w:link w:val="PlainText"/>
    <w:uiPriority w:val="99"/>
    <w:rsid w:val="008A1A24"/>
    <w:rPr>
      <w:rFonts w:ascii="Courier New" w:eastAsia="Times New Roman" w:hAnsi="Courier New" w:cs="Times New Roman"/>
      <w:sz w:val="20"/>
      <w:szCs w:val="20"/>
      <w:lang w:val="en-GB"/>
    </w:rPr>
  </w:style>
  <w:style w:type="paragraph" w:customStyle="1" w:styleId="references0">
    <w:name w:val="references"/>
    <w:basedOn w:val="Normal"/>
    <w:uiPriority w:val="99"/>
    <w:rsid w:val="008A1A24"/>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8A1A24"/>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8A1A24"/>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8A1A24"/>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8A1A24"/>
    <w:rPr>
      <w:rFonts w:cs="Times New Roman"/>
      <w:b/>
    </w:rPr>
  </w:style>
  <w:style w:type="paragraph" w:customStyle="1" w:styleId="Style2">
    <w:name w:val="Style2"/>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8A1A24"/>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8A1A24"/>
    <w:pPr>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A1A24"/>
    <w:rPr>
      <w:rFonts w:ascii="Gill Sans MT" w:eastAsia="Times New Roman" w:hAnsi="Gill Sans MT" w:cs="Times New Roman"/>
      <w:sz w:val="20"/>
      <w:szCs w:val="20"/>
      <w:lang w:val="en-GB"/>
    </w:rPr>
  </w:style>
  <w:style w:type="paragraph" w:customStyle="1" w:styleId="TOCfig-table">
    <w:name w:val="TOC fig-table"/>
    <w:basedOn w:val="Normal"/>
    <w:uiPriority w:val="99"/>
    <w:rsid w:val="008A1A24"/>
    <w:pPr>
      <w:tabs>
        <w:tab w:val="left" w:pos="1152"/>
        <w:tab w:val="right" w:leader="dot" w:pos="8640"/>
      </w:tabs>
      <w:spacing w:before="120"/>
      <w:ind w:left="1152" w:right="720" w:hanging="1152"/>
    </w:pPr>
    <w:rPr>
      <w:b/>
      <w:sz w:val="20"/>
    </w:rPr>
  </w:style>
  <w:style w:type="table" w:styleId="TableGrid">
    <w:name w:val="Table Grid"/>
    <w:basedOn w:val="TableNormal"/>
    <w:uiPriority w:val="59"/>
    <w:rsid w:val="008A1A24"/>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TOC7"/>
    <w:next w:val="Normal"/>
    <w:link w:val="TableofFiguresChar"/>
    <w:uiPriority w:val="99"/>
    <w:rsid w:val="00E4136F"/>
    <w:pPr>
      <w:tabs>
        <w:tab w:val="clear" w:pos="709"/>
        <w:tab w:val="right" w:leader="dot" w:pos="9629"/>
      </w:tabs>
      <w:spacing w:after="0"/>
      <w:ind w:left="440" w:hanging="440"/>
    </w:pPr>
    <w:rPr>
      <w:rFonts w:eastAsiaTheme="majorEastAsia" w:cs="Arial"/>
      <w:bCs/>
      <w:noProof/>
      <w:sz w:val="22"/>
    </w:rPr>
  </w:style>
  <w:style w:type="paragraph" w:styleId="Header">
    <w:name w:val="header"/>
    <w:basedOn w:val="Normal"/>
    <w:link w:val="HeaderChar"/>
    <w:uiPriority w:val="99"/>
    <w:rsid w:val="008A1A2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A1A24"/>
    <w:rPr>
      <w:rFonts w:ascii="Gill Sans MT" w:eastAsia="Times New Roman" w:hAnsi="Gill Sans MT" w:cs="Times New Roman"/>
      <w:sz w:val="20"/>
      <w:szCs w:val="20"/>
      <w:lang w:val="en-GB"/>
    </w:rPr>
  </w:style>
  <w:style w:type="paragraph" w:customStyle="1" w:styleId="Head4">
    <w:name w:val="Head 4"/>
    <w:basedOn w:val="Heading3"/>
    <w:uiPriority w:val="99"/>
    <w:rsid w:val="008A1A24"/>
    <w:pPr>
      <w:spacing w:before="120" w:after="240"/>
      <w:outlineLvl w:val="9"/>
    </w:pPr>
    <w:rPr>
      <w:b w:val="0"/>
      <w:smallCaps/>
      <w:sz w:val="22"/>
      <w:u w:val="single"/>
    </w:rPr>
  </w:style>
  <w:style w:type="paragraph" w:customStyle="1" w:styleId="Bodytxt">
    <w:name w:val="Body txt"/>
    <w:basedOn w:val="Normal"/>
    <w:uiPriority w:val="99"/>
    <w:rsid w:val="008A1A24"/>
    <w:pPr>
      <w:spacing w:line="320" w:lineRule="exact"/>
    </w:pPr>
  </w:style>
  <w:style w:type="paragraph" w:styleId="BodyText">
    <w:name w:val="Body Text"/>
    <w:basedOn w:val="Normal"/>
    <w:link w:val="BodyTextChar"/>
    <w:uiPriority w:val="99"/>
    <w:rsid w:val="008A1A2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A1A24"/>
    <w:rPr>
      <w:rFonts w:ascii="Gill Sans MT" w:eastAsia="Times New Roman" w:hAnsi="Gill Sans MT" w:cs="Times New Roman"/>
      <w:sz w:val="20"/>
      <w:szCs w:val="20"/>
      <w:lang w:val="en-GB"/>
    </w:rPr>
  </w:style>
  <w:style w:type="character" w:customStyle="1" w:styleId="CharChar">
    <w:name w:val="Char Char"/>
    <w:uiPriority w:val="99"/>
    <w:rsid w:val="008A1A24"/>
    <w:rPr>
      <w:rFonts w:ascii="Arial" w:hAnsi="Arial"/>
      <w:b/>
      <w:kern w:val="32"/>
      <w:sz w:val="32"/>
      <w:lang w:val="en-AU" w:eastAsia="en-US"/>
    </w:rPr>
  </w:style>
  <w:style w:type="paragraph" w:styleId="BodyTextIndent2">
    <w:name w:val="Body Text Indent 2"/>
    <w:basedOn w:val="Normal"/>
    <w:link w:val="BodyTextIndent2Char"/>
    <w:uiPriority w:val="99"/>
    <w:rsid w:val="008A1A2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A1A24"/>
    <w:rPr>
      <w:rFonts w:ascii="Gill Sans MT" w:eastAsia="Times New Roman" w:hAnsi="Gill Sans MT" w:cs="Times New Roman"/>
      <w:sz w:val="20"/>
      <w:szCs w:val="20"/>
      <w:lang w:val="en-GB"/>
    </w:rPr>
  </w:style>
  <w:style w:type="character" w:customStyle="1" w:styleId="CaptionChar">
    <w:name w:val="Caption Char"/>
    <w:uiPriority w:val="99"/>
    <w:rsid w:val="008A1A24"/>
    <w:rPr>
      <w:rFonts w:eastAsia="SimSun"/>
      <w:sz w:val="24"/>
      <w:lang w:val="en-GB" w:eastAsia="en-US"/>
    </w:rPr>
  </w:style>
  <w:style w:type="paragraph" w:styleId="BodyText2">
    <w:name w:val="Body Text 2"/>
    <w:basedOn w:val="Normal"/>
    <w:link w:val="BodyText2Char"/>
    <w:uiPriority w:val="99"/>
    <w:rsid w:val="008A1A24"/>
    <w:pPr>
      <w:spacing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rsid w:val="008A1A24"/>
    <w:rPr>
      <w:rFonts w:ascii="Times New Roman" w:eastAsia="Times New Roman" w:hAnsi="Times New Roman" w:cs="Times New Roman"/>
      <w:sz w:val="24"/>
      <w:szCs w:val="24"/>
    </w:rPr>
  </w:style>
  <w:style w:type="character" w:styleId="Emphasis">
    <w:name w:val="Emphasis"/>
    <w:basedOn w:val="DefaultParagraphFont"/>
    <w:uiPriority w:val="20"/>
    <w:qFormat/>
    <w:rsid w:val="008A1A24"/>
    <w:rPr>
      <w:rFonts w:cs="Times New Roman"/>
      <w:i/>
    </w:rPr>
  </w:style>
  <w:style w:type="character" w:customStyle="1" w:styleId="CharChar1">
    <w:name w:val="Char Char1"/>
    <w:uiPriority w:val="99"/>
    <w:rsid w:val="008A1A2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A1A24"/>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A1A24"/>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A1A24"/>
    <w:rPr>
      <w:b/>
      <w:bCs/>
    </w:rPr>
  </w:style>
  <w:style w:type="character" w:customStyle="1" w:styleId="CommentSubjectChar">
    <w:name w:val="Comment Subject Char"/>
    <w:basedOn w:val="CommentTextChar"/>
    <w:link w:val="CommentSubject"/>
    <w:uiPriority w:val="99"/>
    <w:semiHidden/>
    <w:rsid w:val="008A1A24"/>
    <w:rPr>
      <w:rFonts w:ascii="Gill Sans MT" w:eastAsia="Times New Roman" w:hAnsi="Gill Sans MT" w:cs="Times New Roman"/>
      <w:b/>
      <w:bCs/>
      <w:sz w:val="20"/>
      <w:szCs w:val="20"/>
      <w:lang w:eastAsia="en-AU"/>
    </w:rPr>
  </w:style>
  <w:style w:type="paragraph" w:styleId="Caption">
    <w:name w:val="caption"/>
    <w:aliases w:val="Fig title,Figures"/>
    <w:next w:val="Normal"/>
    <w:autoRedefine/>
    <w:uiPriority w:val="99"/>
    <w:qFormat/>
    <w:rsid w:val="0026052F"/>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pPr>
    <w:rPr>
      <w:rFonts w:ascii="Arial Narrow" w:eastAsia="SimSun" w:hAnsi="Arial Narrow" w:cs="Times New Roman"/>
      <w:sz w:val="20"/>
      <w:szCs w:val="24"/>
      <w:lang w:val="en-GB"/>
    </w:rPr>
  </w:style>
  <w:style w:type="paragraph" w:customStyle="1" w:styleId="Captions">
    <w:name w:val="Captions"/>
    <w:basedOn w:val="Normal"/>
    <w:uiPriority w:val="99"/>
    <w:semiHidden/>
    <w:rsid w:val="008A1A24"/>
    <w:rPr>
      <w:rFonts w:ascii="Times New Roman" w:hAnsi="Times New Roman"/>
      <w:i/>
      <w:sz w:val="24"/>
      <w:szCs w:val="24"/>
      <w:lang w:val="en-AU"/>
    </w:rPr>
  </w:style>
  <w:style w:type="paragraph" w:customStyle="1" w:styleId="Pa3">
    <w:name w:val="Pa3"/>
    <w:basedOn w:val="Normal"/>
    <w:next w:val="Normal"/>
    <w:uiPriority w:val="99"/>
    <w:rsid w:val="008A1A2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8A1A24"/>
    <w:rPr>
      <w:color w:val="221E1F"/>
      <w:sz w:val="22"/>
    </w:rPr>
  </w:style>
  <w:style w:type="paragraph" w:customStyle="1" w:styleId="default">
    <w:name w:val="default"/>
    <w:basedOn w:val="Normal"/>
    <w:uiPriority w:val="99"/>
    <w:rsid w:val="008A1A2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8A1A24"/>
  </w:style>
  <w:style w:type="paragraph" w:customStyle="1" w:styleId="table0">
    <w:name w:val="table"/>
    <w:basedOn w:val="Normal"/>
    <w:uiPriority w:val="99"/>
    <w:rsid w:val="008A1A24"/>
    <w:rPr>
      <w:rFonts w:ascii="Arial Narrow" w:hAnsi="Arial Narrow"/>
      <w:szCs w:val="22"/>
      <w:lang w:val="en-AU" w:eastAsia="en-AU"/>
    </w:rPr>
  </w:style>
  <w:style w:type="character" w:styleId="FootnoteReference">
    <w:name w:val="footnote reference"/>
    <w:basedOn w:val="DefaultParagraphFont"/>
    <w:uiPriority w:val="99"/>
    <w:semiHidden/>
    <w:rsid w:val="008A1A24"/>
    <w:rPr>
      <w:rFonts w:cs="Times New Roman"/>
      <w:vertAlign w:val="superscript"/>
    </w:rPr>
  </w:style>
  <w:style w:type="character" w:customStyle="1" w:styleId="authors5">
    <w:name w:val="authors5"/>
    <w:uiPriority w:val="99"/>
    <w:rsid w:val="008A1A24"/>
  </w:style>
  <w:style w:type="character" w:styleId="FollowedHyperlink">
    <w:name w:val="FollowedHyperlink"/>
    <w:basedOn w:val="DefaultParagraphFont"/>
    <w:uiPriority w:val="99"/>
    <w:rsid w:val="008A1A24"/>
    <w:rPr>
      <w:rFonts w:cs="Times New Roman"/>
      <w:color w:val="800080"/>
      <w:u w:val="single"/>
    </w:rPr>
  </w:style>
  <w:style w:type="paragraph" w:styleId="ListParagraph">
    <w:name w:val="List Paragraph"/>
    <w:basedOn w:val="Normal"/>
    <w:link w:val="ListParagraphChar"/>
    <w:uiPriority w:val="34"/>
    <w:qFormat/>
    <w:rsid w:val="008A1A24"/>
    <w:pPr>
      <w:ind w:left="720"/>
      <w:contextualSpacing/>
    </w:pPr>
    <w:rPr>
      <w:szCs w:val="24"/>
      <w:lang w:eastAsia="en-GB"/>
    </w:rPr>
  </w:style>
  <w:style w:type="paragraph" w:customStyle="1" w:styleId="Default0">
    <w:name w:val="Default"/>
    <w:rsid w:val="008A1A24"/>
    <w:pPr>
      <w:autoSpaceDE w:val="0"/>
      <w:autoSpaceDN w:val="0"/>
      <w:adjustRightInd w:val="0"/>
      <w:spacing w:after="0"/>
    </w:pPr>
    <w:rPr>
      <w:rFonts w:ascii="Calibri" w:eastAsia="Times New Roman" w:hAnsi="Calibri" w:cs="Calibri"/>
      <w:color w:val="000000"/>
      <w:sz w:val="24"/>
      <w:szCs w:val="24"/>
      <w:lang w:val="en-GB" w:eastAsia="en-GB"/>
    </w:rPr>
  </w:style>
  <w:style w:type="paragraph" w:styleId="Revision">
    <w:name w:val="Revision"/>
    <w:hidden/>
    <w:uiPriority w:val="99"/>
    <w:semiHidden/>
    <w:rsid w:val="008A1A24"/>
    <w:pPr>
      <w:spacing w:after="0"/>
    </w:pPr>
    <w:rPr>
      <w:rFonts w:ascii="Gill Sans MT" w:eastAsia="Times New Roman" w:hAnsi="Gill Sans MT" w:cs="Times New Roman"/>
      <w:szCs w:val="20"/>
      <w:lang w:val="en-GB"/>
    </w:rPr>
  </w:style>
  <w:style w:type="paragraph" w:styleId="NoSpacing">
    <w:name w:val="No Spacing"/>
    <w:uiPriority w:val="99"/>
    <w:qFormat/>
    <w:rsid w:val="008A1A24"/>
    <w:pPr>
      <w:spacing w:after="0"/>
    </w:pPr>
    <w:rPr>
      <w:rFonts w:ascii="Gill Sans MT" w:eastAsia="Times New Roman" w:hAnsi="Gill Sans MT" w:cs="Times New Roman"/>
      <w:szCs w:val="20"/>
      <w:lang w:val="en-GB"/>
    </w:rPr>
  </w:style>
  <w:style w:type="character" w:customStyle="1" w:styleId="Heading2Char1">
    <w:name w:val="Heading 2 Char1"/>
    <w:aliases w:val="h2 Char1"/>
    <w:basedOn w:val="DefaultParagraphFont"/>
    <w:link w:val="Heading2"/>
    <w:uiPriority w:val="99"/>
    <w:rsid w:val="008A1A24"/>
    <w:rPr>
      <w:rFonts w:ascii="Arial" w:eastAsiaTheme="majorEastAsia" w:hAnsi="Arial" w:cstheme="majorBidi"/>
      <w:b/>
      <w:bCs/>
      <w:color w:val="000000" w:themeColor="text1"/>
      <w:sz w:val="26"/>
      <w:szCs w:val="26"/>
      <w:lang w:val="en-GB"/>
    </w:rPr>
  </w:style>
  <w:style w:type="character" w:styleId="SubtleReference">
    <w:name w:val="Subtle Reference"/>
    <w:basedOn w:val="DefaultParagraphFont"/>
    <w:uiPriority w:val="31"/>
    <w:qFormat/>
    <w:rsid w:val="008A1A24"/>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8A1A24"/>
    <w:rPr>
      <w:rFonts w:ascii="Arial Narrow" w:eastAsia="Times New Roman" w:hAnsi="Arial Narrow" w:cs="Times New Roman"/>
      <w:b w:val="0"/>
      <w:bCs/>
      <w:caps w:val="0"/>
      <w:smallCaps w:val="0"/>
      <w:color w:val="000000" w:themeColor="text1"/>
      <w:spacing w:val="0"/>
      <w:w w:val="100"/>
      <w:sz w:val="20"/>
      <w:szCs w:val="20"/>
      <w:u w:val="none"/>
      <w:lang w:val="en-GB"/>
    </w:rPr>
  </w:style>
  <w:style w:type="character" w:customStyle="1" w:styleId="cit-issue1">
    <w:name w:val="cit-issue1"/>
    <w:basedOn w:val="DefaultParagraphFont"/>
    <w:rsid w:val="008A1A24"/>
    <w:rPr>
      <w:vanish/>
      <w:webHidden w:val="0"/>
      <w:specVanish w:val="0"/>
    </w:rPr>
  </w:style>
  <w:style w:type="character" w:customStyle="1" w:styleId="cit-vol2">
    <w:name w:val="cit-vol2"/>
    <w:basedOn w:val="DefaultParagraphFont"/>
    <w:rsid w:val="008A1A24"/>
  </w:style>
  <w:style w:type="character" w:customStyle="1" w:styleId="cit-elocation">
    <w:name w:val="cit-elocation"/>
    <w:basedOn w:val="DefaultParagraphFont"/>
    <w:rsid w:val="008A1A24"/>
  </w:style>
  <w:style w:type="character" w:customStyle="1" w:styleId="cit-sep2">
    <w:name w:val="cit-sep2"/>
    <w:basedOn w:val="DefaultParagraphFont"/>
    <w:rsid w:val="008A1A24"/>
  </w:style>
  <w:style w:type="character" w:customStyle="1" w:styleId="cit-doi3">
    <w:name w:val="cit-doi3"/>
    <w:basedOn w:val="DefaultParagraphFont"/>
    <w:rsid w:val="008A1A24"/>
  </w:style>
  <w:style w:type="character" w:customStyle="1" w:styleId="ListParagraphChar">
    <w:name w:val="List Paragraph Char"/>
    <w:basedOn w:val="DefaultParagraphFont"/>
    <w:link w:val="ListParagraph"/>
    <w:uiPriority w:val="34"/>
    <w:locked/>
    <w:rsid w:val="008A1A24"/>
    <w:rPr>
      <w:rFonts w:ascii="Arial" w:eastAsia="Times New Roman" w:hAnsi="Arial" w:cs="Times New Roman"/>
      <w:szCs w:val="24"/>
      <w:lang w:val="en-GB" w:eastAsia="en-GB"/>
    </w:rPr>
  </w:style>
  <w:style w:type="paragraph" w:styleId="Bibliography">
    <w:name w:val="Bibliography"/>
    <w:basedOn w:val="Normal"/>
    <w:next w:val="Normal"/>
    <w:uiPriority w:val="37"/>
    <w:semiHidden/>
    <w:unhideWhenUsed/>
    <w:rsid w:val="008A1A24"/>
  </w:style>
  <w:style w:type="paragraph" w:styleId="BlockText">
    <w:name w:val="Block Text"/>
    <w:basedOn w:val="Normal"/>
    <w:uiPriority w:val="99"/>
    <w:semiHidden/>
    <w:unhideWhenUsed/>
    <w:rsid w:val="008A1A2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unhideWhenUsed/>
    <w:rsid w:val="008A1A24"/>
    <w:rPr>
      <w:sz w:val="16"/>
      <w:szCs w:val="16"/>
    </w:rPr>
  </w:style>
  <w:style w:type="character" w:customStyle="1" w:styleId="BodyText3Char">
    <w:name w:val="Body Text 3 Char"/>
    <w:basedOn w:val="DefaultParagraphFont"/>
    <w:link w:val="BodyText3"/>
    <w:uiPriority w:val="99"/>
    <w:rsid w:val="008A1A24"/>
    <w:rPr>
      <w:rFonts w:ascii="Arial" w:eastAsia="Times New Roman" w:hAnsi="Arial" w:cs="Times New Roman"/>
      <w:sz w:val="16"/>
      <w:szCs w:val="16"/>
      <w:lang w:val="en-GB"/>
    </w:rPr>
  </w:style>
  <w:style w:type="paragraph" w:styleId="BodyTextFirstIndent">
    <w:name w:val="Body Text First Indent"/>
    <w:basedOn w:val="BodyText"/>
    <w:link w:val="BodyTextFirstIndentChar"/>
    <w:uiPriority w:val="99"/>
    <w:semiHidden/>
    <w:unhideWhenUsed/>
    <w:rsid w:val="008A1A24"/>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A1A24"/>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A1A24"/>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A1A24"/>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A1A24"/>
    <w:pPr>
      <w:ind w:left="4252"/>
    </w:pPr>
  </w:style>
  <w:style w:type="character" w:customStyle="1" w:styleId="ClosingChar">
    <w:name w:val="Closing Char"/>
    <w:basedOn w:val="DefaultParagraphFont"/>
    <w:link w:val="Closing"/>
    <w:uiPriority w:val="99"/>
    <w:semiHidden/>
    <w:rsid w:val="008A1A24"/>
    <w:rPr>
      <w:rFonts w:ascii="Arial" w:eastAsia="Times New Roman" w:hAnsi="Arial" w:cs="Times New Roman"/>
      <w:szCs w:val="20"/>
      <w:lang w:val="en-GB"/>
    </w:rPr>
  </w:style>
  <w:style w:type="paragraph" w:styleId="Date">
    <w:name w:val="Date"/>
    <w:basedOn w:val="Normal"/>
    <w:next w:val="Normal"/>
    <w:link w:val="DateChar"/>
    <w:uiPriority w:val="99"/>
    <w:semiHidden/>
    <w:unhideWhenUsed/>
    <w:rsid w:val="008A1A24"/>
  </w:style>
  <w:style w:type="character" w:customStyle="1" w:styleId="DateChar">
    <w:name w:val="Date Char"/>
    <w:basedOn w:val="DefaultParagraphFont"/>
    <w:link w:val="Date"/>
    <w:uiPriority w:val="99"/>
    <w:semiHidden/>
    <w:rsid w:val="008A1A24"/>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A1A24"/>
  </w:style>
  <w:style w:type="character" w:customStyle="1" w:styleId="E-mailSignatureChar">
    <w:name w:val="E-mail Signature Char"/>
    <w:basedOn w:val="DefaultParagraphFont"/>
    <w:link w:val="E-mailSignature"/>
    <w:uiPriority w:val="99"/>
    <w:semiHidden/>
    <w:rsid w:val="008A1A24"/>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A1A24"/>
    <w:rPr>
      <w:sz w:val="20"/>
    </w:rPr>
  </w:style>
  <w:style w:type="character" w:customStyle="1" w:styleId="EndnoteTextChar">
    <w:name w:val="Endnote Text Char"/>
    <w:basedOn w:val="DefaultParagraphFont"/>
    <w:link w:val="EndnoteText"/>
    <w:uiPriority w:val="99"/>
    <w:semiHidden/>
    <w:rsid w:val="008A1A24"/>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A1A24"/>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A1A24"/>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A1A24"/>
    <w:rPr>
      <w:i/>
      <w:iCs/>
    </w:rPr>
  </w:style>
  <w:style w:type="character" w:customStyle="1" w:styleId="HTMLAddressChar">
    <w:name w:val="HTML Address Char"/>
    <w:basedOn w:val="DefaultParagraphFont"/>
    <w:link w:val="HTMLAddress"/>
    <w:uiPriority w:val="99"/>
    <w:semiHidden/>
    <w:rsid w:val="008A1A24"/>
    <w:rPr>
      <w:rFonts w:ascii="Arial" w:eastAsia="Times New Roman" w:hAnsi="Arial" w:cs="Times New Roman"/>
      <w:i/>
      <w:iCs/>
      <w:szCs w:val="20"/>
      <w:lang w:val="en-GB"/>
    </w:rPr>
  </w:style>
  <w:style w:type="paragraph" w:styleId="HTMLPreformatted">
    <w:name w:val="HTML Preformatted"/>
    <w:basedOn w:val="Normal"/>
    <w:link w:val="HTMLPreformattedChar"/>
    <w:uiPriority w:val="99"/>
    <w:semiHidden/>
    <w:unhideWhenUsed/>
    <w:rsid w:val="008A1A24"/>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8A1A24"/>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A1A24"/>
    <w:pPr>
      <w:ind w:left="220" w:hanging="220"/>
    </w:pPr>
  </w:style>
  <w:style w:type="paragraph" w:styleId="Index2">
    <w:name w:val="index 2"/>
    <w:basedOn w:val="Normal"/>
    <w:next w:val="Normal"/>
    <w:autoRedefine/>
    <w:uiPriority w:val="99"/>
    <w:semiHidden/>
    <w:unhideWhenUsed/>
    <w:rsid w:val="008A1A24"/>
    <w:pPr>
      <w:ind w:left="440" w:hanging="220"/>
    </w:pPr>
  </w:style>
  <w:style w:type="paragraph" w:styleId="Index3">
    <w:name w:val="index 3"/>
    <w:basedOn w:val="Normal"/>
    <w:next w:val="Normal"/>
    <w:autoRedefine/>
    <w:uiPriority w:val="99"/>
    <w:semiHidden/>
    <w:unhideWhenUsed/>
    <w:rsid w:val="008A1A24"/>
    <w:pPr>
      <w:ind w:left="660" w:hanging="220"/>
    </w:pPr>
  </w:style>
  <w:style w:type="paragraph" w:styleId="Index4">
    <w:name w:val="index 4"/>
    <w:basedOn w:val="Normal"/>
    <w:next w:val="Normal"/>
    <w:autoRedefine/>
    <w:uiPriority w:val="99"/>
    <w:semiHidden/>
    <w:unhideWhenUsed/>
    <w:rsid w:val="008A1A24"/>
    <w:pPr>
      <w:ind w:left="880" w:hanging="220"/>
    </w:pPr>
  </w:style>
  <w:style w:type="paragraph" w:styleId="Index5">
    <w:name w:val="index 5"/>
    <w:basedOn w:val="Normal"/>
    <w:next w:val="Normal"/>
    <w:autoRedefine/>
    <w:uiPriority w:val="99"/>
    <w:semiHidden/>
    <w:unhideWhenUsed/>
    <w:rsid w:val="008A1A24"/>
    <w:pPr>
      <w:ind w:left="1100" w:hanging="220"/>
    </w:pPr>
  </w:style>
  <w:style w:type="paragraph" w:styleId="Index6">
    <w:name w:val="index 6"/>
    <w:basedOn w:val="Normal"/>
    <w:next w:val="Normal"/>
    <w:autoRedefine/>
    <w:uiPriority w:val="99"/>
    <w:semiHidden/>
    <w:unhideWhenUsed/>
    <w:rsid w:val="008A1A24"/>
    <w:pPr>
      <w:ind w:left="1320" w:hanging="220"/>
    </w:pPr>
  </w:style>
  <w:style w:type="paragraph" w:styleId="Index7">
    <w:name w:val="index 7"/>
    <w:basedOn w:val="Normal"/>
    <w:next w:val="Normal"/>
    <w:autoRedefine/>
    <w:uiPriority w:val="99"/>
    <w:semiHidden/>
    <w:unhideWhenUsed/>
    <w:rsid w:val="008A1A24"/>
    <w:pPr>
      <w:ind w:left="1540" w:hanging="220"/>
    </w:pPr>
  </w:style>
  <w:style w:type="paragraph" w:styleId="Index8">
    <w:name w:val="index 8"/>
    <w:basedOn w:val="Normal"/>
    <w:next w:val="Normal"/>
    <w:autoRedefine/>
    <w:uiPriority w:val="99"/>
    <w:semiHidden/>
    <w:unhideWhenUsed/>
    <w:rsid w:val="008A1A24"/>
    <w:pPr>
      <w:ind w:left="1760" w:hanging="220"/>
    </w:pPr>
  </w:style>
  <w:style w:type="paragraph" w:styleId="Index9">
    <w:name w:val="index 9"/>
    <w:basedOn w:val="Normal"/>
    <w:next w:val="Normal"/>
    <w:autoRedefine/>
    <w:uiPriority w:val="99"/>
    <w:semiHidden/>
    <w:unhideWhenUsed/>
    <w:rsid w:val="008A1A24"/>
    <w:pPr>
      <w:ind w:left="1980" w:hanging="220"/>
    </w:pPr>
  </w:style>
  <w:style w:type="paragraph" w:styleId="IndexHeading">
    <w:name w:val="index heading"/>
    <w:basedOn w:val="Normal"/>
    <w:next w:val="Index1"/>
    <w:uiPriority w:val="99"/>
    <w:semiHidden/>
    <w:unhideWhenUsed/>
    <w:rsid w:val="008A1A2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A1A2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A1A24"/>
    <w:rPr>
      <w:rFonts w:ascii="Arial" w:eastAsia="Times New Roman" w:hAnsi="Arial" w:cs="Times New Roman"/>
      <w:b/>
      <w:bCs/>
      <w:i/>
      <w:iCs/>
      <w:color w:val="4F81BD" w:themeColor="accent1"/>
      <w:szCs w:val="20"/>
      <w:lang w:val="en-GB"/>
    </w:rPr>
  </w:style>
  <w:style w:type="paragraph" w:styleId="List">
    <w:name w:val="List"/>
    <w:basedOn w:val="Normal"/>
    <w:uiPriority w:val="99"/>
    <w:semiHidden/>
    <w:unhideWhenUsed/>
    <w:rsid w:val="008A1A24"/>
    <w:pPr>
      <w:ind w:left="283" w:hanging="283"/>
      <w:contextualSpacing/>
    </w:pPr>
  </w:style>
  <w:style w:type="paragraph" w:styleId="List2">
    <w:name w:val="List 2"/>
    <w:basedOn w:val="Normal"/>
    <w:uiPriority w:val="99"/>
    <w:semiHidden/>
    <w:unhideWhenUsed/>
    <w:rsid w:val="008A1A24"/>
    <w:pPr>
      <w:ind w:left="566" w:hanging="283"/>
      <w:contextualSpacing/>
    </w:pPr>
  </w:style>
  <w:style w:type="paragraph" w:styleId="List3">
    <w:name w:val="List 3"/>
    <w:basedOn w:val="Normal"/>
    <w:uiPriority w:val="99"/>
    <w:semiHidden/>
    <w:unhideWhenUsed/>
    <w:rsid w:val="008A1A24"/>
    <w:pPr>
      <w:ind w:left="849" w:hanging="283"/>
      <w:contextualSpacing/>
    </w:pPr>
  </w:style>
  <w:style w:type="paragraph" w:styleId="List4">
    <w:name w:val="List 4"/>
    <w:basedOn w:val="Normal"/>
    <w:uiPriority w:val="99"/>
    <w:semiHidden/>
    <w:unhideWhenUsed/>
    <w:rsid w:val="008A1A24"/>
    <w:pPr>
      <w:ind w:left="1132" w:hanging="283"/>
      <w:contextualSpacing/>
    </w:pPr>
  </w:style>
  <w:style w:type="paragraph" w:styleId="List5">
    <w:name w:val="List 5"/>
    <w:basedOn w:val="Normal"/>
    <w:uiPriority w:val="99"/>
    <w:semiHidden/>
    <w:unhideWhenUsed/>
    <w:rsid w:val="008A1A24"/>
    <w:pPr>
      <w:ind w:left="1415" w:hanging="283"/>
      <w:contextualSpacing/>
    </w:pPr>
  </w:style>
  <w:style w:type="paragraph" w:styleId="ListBullet">
    <w:name w:val="List Bullet"/>
    <w:basedOn w:val="Normal"/>
    <w:uiPriority w:val="99"/>
    <w:semiHidden/>
    <w:unhideWhenUsed/>
    <w:rsid w:val="008A1A24"/>
    <w:pPr>
      <w:numPr>
        <w:numId w:val="5"/>
      </w:numPr>
      <w:contextualSpacing/>
    </w:pPr>
  </w:style>
  <w:style w:type="paragraph" w:styleId="ListBullet3">
    <w:name w:val="List Bullet 3"/>
    <w:basedOn w:val="Normal"/>
    <w:uiPriority w:val="99"/>
    <w:semiHidden/>
    <w:unhideWhenUsed/>
    <w:rsid w:val="008A1A24"/>
    <w:pPr>
      <w:numPr>
        <w:numId w:val="6"/>
      </w:numPr>
      <w:contextualSpacing/>
    </w:pPr>
  </w:style>
  <w:style w:type="paragraph" w:styleId="ListBullet4">
    <w:name w:val="List Bullet 4"/>
    <w:basedOn w:val="Normal"/>
    <w:uiPriority w:val="99"/>
    <w:semiHidden/>
    <w:unhideWhenUsed/>
    <w:rsid w:val="008A1A24"/>
    <w:pPr>
      <w:numPr>
        <w:numId w:val="7"/>
      </w:numPr>
      <w:contextualSpacing/>
    </w:pPr>
  </w:style>
  <w:style w:type="paragraph" w:styleId="ListBullet5">
    <w:name w:val="List Bullet 5"/>
    <w:basedOn w:val="Normal"/>
    <w:uiPriority w:val="99"/>
    <w:semiHidden/>
    <w:unhideWhenUsed/>
    <w:rsid w:val="008A1A24"/>
    <w:pPr>
      <w:numPr>
        <w:numId w:val="8"/>
      </w:numPr>
      <w:contextualSpacing/>
    </w:pPr>
  </w:style>
  <w:style w:type="paragraph" w:styleId="ListContinue">
    <w:name w:val="List Continue"/>
    <w:basedOn w:val="Normal"/>
    <w:uiPriority w:val="99"/>
    <w:semiHidden/>
    <w:unhideWhenUsed/>
    <w:rsid w:val="008A1A24"/>
    <w:pPr>
      <w:ind w:left="283"/>
      <w:contextualSpacing/>
    </w:pPr>
  </w:style>
  <w:style w:type="paragraph" w:styleId="ListContinue2">
    <w:name w:val="List Continue 2"/>
    <w:basedOn w:val="Normal"/>
    <w:uiPriority w:val="99"/>
    <w:semiHidden/>
    <w:unhideWhenUsed/>
    <w:rsid w:val="008A1A24"/>
    <w:pPr>
      <w:ind w:left="566"/>
      <w:contextualSpacing/>
    </w:pPr>
  </w:style>
  <w:style w:type="paragraph" w:styleId="ListContinue3">
    <w:name w:val="List Continue 3"/>
    <w:basedOn w:val="Normal"/>
    <w:uiPriority w:val="99"/>
    <w:semiHidden/>
    <w:unhideWhenUsed/>
    <w:rsid w:val="008A1A24"/>
    <w:pPr>
      <w:ind w:left="849"/>
      <w:contextualSpacing/>
    </w:pPr>
  </w:style>
  <w:style w:type="paragraph" w:styleId="ListContinue4">
    <w:name w:val="List Continue 4"/>
    <w:basedOn w:val="Normal"/>
    <w:uiPriority w:val="99"/>
    <w:semiHidden/>
    <w:unhideWhenUsed/>
    <w:rsid w:val="008A1A24"/>
    <w:pPr>
      <w:ind w:left="1132"/>
      <w:contextualSpacing/>
    </w:pPr>
  </w:style>
  <w:style w:type="paragraph" w:styleId="ListContinue5">
    <w:name w:val="List Continue 5"/>
    <w:basedOn w:val="Normal"/>
    <w:uiPriority w:val="99"/>
    <w:semiHidden/>
    <w:unhideWhenUsed/>
    <w:rsid w:val="008A1A24"/>
    <w:pPr>
      <w:ind w:left="1415"/>
      <w:contextualSpacing/>
    </w:pPr>
  </w:style>
  <w:style w:type="paragraph" w:styleId="ListNumber">
    <w:name w:val="List Number"/>
    <w:basedOn w:val="Normal"/>
    <w:uiPriority w:val="99"/>
    <w:semiHidden/>
    <w:unhideWhenUsed/>
    <w:rsid w:val="008A1A24"/>
    <w:pPr>
      <w:numPr>
        <w:numId w:val="9"/>
      </w:numPr>
      <w:contextualSpacing/>
    </w:pPr>
  </w:style>
  <w:style w:type="paragraph" w:styleId="ListNumber2">
    <w:name w:val="List Number 2"/>
    <w:basedOn w:val="Normal"/>
    <w:uiPriority w:val="99"/>
    <w:semiHidden/>
    <w:unhideWhenUsed/>
    <w:rsid w:val="008A1A24"/>
    <w:pPr>
      <w:numPr>
        <w:numId w:val="10"/>
      </w:numPr>
      <w:contextualSpacing/>
    </w:pPr>
  </w:style>
  <w:style w:type="paragraph" w:styleId="ListNumber3">
    <w:name w:val="List Number 3"/>
    <w:basedOn w:val="Normal"/>
    <w:uiPriority w:val="99"/>
    <w:semiHidden/>
    <w:unhideWhenUsed/>
    <w:rsid w:val="008A1A24"/>
    <w:pPr>
      <w:numPr>
        <w:numId w:val="11"/>
      </w:numPr>
      <w:contextualSpacing/>
    </w:pPr>
  </w:style>
  <w:style w:type="paragraph" w:styleId="ListNumber4">
    <w:name w:val="List Number 4"/>
    <w:basedOn w:val="Normal"/>
    <w:uiPriority w:val="99"/>
    <w:semiHidden/>
    <w:unhideWhenUsed/>
    <w:rsid w:val="008A1A24"/>
    <w:pPr>
      <w:numPr>
        <w:numId w:val="12"/>
      </w:numPr>
      <w:contextualSpacing/>
    </w:pPr>
  </w:style>
  <w:style w:type="paragraph" w:styleId="ListNumber5">
    <w:name w:val="List Number 5"/>
    <w:basedOn w:val="Normal"/>
    <w:uiPriority w:val="99"/>
    <w:semiHidden/>
    <w:unhideWhenUsed/>
    <w:rsid w:val="008A1A24"/>
    <w:pPr>
      <w:numPr>
        <w:numId w:val="13"/>
      </w:numPr>
      <w:contextualSpacing/>
    </w:pPr>
  </w:style>
  <w:style w:type="paragraph" w:styleId="MacroText">
    <w:name w:val="macro"/>
    <w:link w:val="MacroTextChar"/>
    <w:uiPriority w:val="99"/>
    <w:semiHidden/>
    <w:unhideWhenUsed/>
    <w:rsid w:val="008A1A24"/>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A1A24"/>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A1A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A1A24"/>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A1A24"/>
    <w:pPr>
      <w:ind w:left="720"/>
    </w:pPr>
  </w:style>
  <w:style w:type="paragraph" w:styleId="NoteHeading">
    <w:name w:val="Note Heading"/>
    <w:basedOn w:val="Normal"/>
    <w:next w:val="Normal"/>
    <w:link w:val="NoteHeadingChar"/>
    <w:uiPriority w:val="99"/>
    <w:semiHidden/>
    <w:unhideWhenUsed/>
    <w:rsid w:val="008A1A24"/>
  </w:style>
  <w:style w:type="character" w:customStyle="1" w:styleId="NoteHeadingChar">
    <w:name w:val="Note Heading Char"/>
    <w:basedOn w:val="DefaultParagraphFont"/>
    <w:link w:val="NoteHeading"/>
    <w:uiPriority w:val="99"/>
    <w:semiHidden/>
    <w:rsid w:val="008A1A24"/>
    <w:rPr>
      <w:rFonts w:ascii="Arial" w:eastAsia="Times New Roman" w:hAnsi="Arial" w:cs="Times New Roman"/>
      <w:szCs w:val="20"/>
      <w:lang w:val="en-GB"/>
    </w:rPr>
  </w:style>
  <w:style w:type="paragraph" w:styleId="Quote">
    <w:name w:val="Quote"/>
    <w:basedOn w:val="Normal"/>
    <w:next w:val="Normal"/>
    <w:link w:val="QuoteChar"/>
    <w:uiPriority w:val="29"/>
    <w:qFormat/>
    <w:rsid w:val="008A1A24"/>
    <w:rPr>
      <w:i/>
      <w:iCs/>
      <w:color w:val="000000" w:themeColor="text1"/>
    </w:rPr>
  </w:style>
  <w:style w:type="character" w:customStyle="1" w:styleId="QuoteChar">
    <w:name w:val="Quote Char"/>
    <w:basedOn w:val="DefaultParagraphFont"/>
    <w:link w:val="Quote"/>
    <w:uiPriority w:val="29"/>
    <w:rsid w:val="008A1A24"/>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A1A24"/>
  </w:style>
  <w:style w:type="character" w:customStyle="1" w:styleId="SalutationChar">
    <w:name w:val="Salutation Char"/>
    <w:basedOn w:val="DefaultParagraphFont"/>
    <w:link w:val="Salutation"/>
    <w:uiPriority w:val="99"/>
    <w:semiHidden/>
    <w:rsid w:val="008A1A24"/>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A1A24"/>
    <w:pPr>
      <w:ind w:left="4252"/>
    </w:pPr>
  </w:style>
  <w:style w:type="character" w:customStyle="1" w:styleId="SignatureChar">
    <w:name w:val="Signature Char"/>
    <w:basedOn w:val="DefaultParagraphFont"/>
    <w:link w:val="Signature"/>
    <w:uiPriority w:val="99"/>
    <w:semiHidden/>
    <w:rsid w:val="008A1A24"/>
    <w:rPr>
      <w:rFonts w:ascii="Arial" w:eastAsia="Times New Roman" w:hAnsi="Arial" w:cs="Times New Roman"/>
      <w:szCs w:val="20"/>
      <w:lang w:val="en-GB"/>
    </w:rPr>
  </w:style>
  <w:style w:type="paragraph" w:styleId="Subtitle">
    <w:name w:val="Subtitle"/>
    <w:basedOn w:val="Normal"/>
    <w:next w:val="Normal"/>
    <w:link w:val="SubtitleChar"/>
    <w:uiPriority w:val="99"/>
    <w:qFormat/>
    <w:rsid w:val="008A1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99"/>
    <w:rsid w:val="008A1A24"/>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8A1A24"/>
    <w:pPr>
      <w:ind w:left="220" w:hanging="220"/>
    </w:pPr>
  </w:style>
  <w:style w:type="paragraph" w:styleId="TOAHeading">
    <w:name w:val="toa heading"/>
    <w:basedOn w:val="Normal"/>
    <w:next w:val="Normal"/>
    <w:uiPriority w:val="99"/>
    <w:semiHidden/>
    <w:unhideWhenUsed/>
    <w:rsid w:val="008A1A24"/>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uiPriority w:val="39"/>
    <w:rsid w:val="008A1A24"/>
    <w:pPr>
      <w:spacing w:after="100"/>
      <w:ind w:left="1100"/>
    </w:pPr>
  </w:style>
  <w:style w:type="paragraph" w:styleId="TOC7">
    <w:name w:val="toc 7"/>
    <w:basedOn w:val="Normal"/>
    <w:next w:val="Normal"/>
    <w:link w:val="TOC7Char"/>
    <w:autoRedefine/>
    <w:uiPriority w:val="39"/>
    <w:rsid w:val="0038659A"/>
    <w:pPr>
      <w:tabs>
        <w:tab w:val="left" w:pos="709"/>
      </w:tabs>
    </w:pPr>
    <w:rPr>
      <w:sz w:val="20"/>
    </w:rPr>
  </w:style>
  <w:style w:type="paragraph" w:styleId="TOC8">
    <w:name w:val="toc 8"/>
    <w:basedOn w:val="Normal"/>
    <w:next w:val="Normal"/>
    <w:autoRedefine/>
    <w:uiPriority w:val="99"/>
    <w:rsid w:val="008A1A24"/>
    <w:pPr>
      <w:spacing w:after="100"/>
      <w:ind w:left="1540"/>
    </w:pPr>
  </w:style>
  <w:style w:type="paragraph" w:styleId="TOC9">
    <w:name w:val="toc 9"/>
    <w:basedOn w:val="Normal"/>
    <w:next w:val="Normal"/>
    <w:autoRedefine/>
    <w:uiPriority w:val="99"/>
    <w:rsid w:val="008A1A24"/>
    <w:pPr>
      <w:spacing w:after="100"/>
      <w:ind w:left="1760"/>
    </w:pPr>
  </w:style>
  <w:style w:type="paragraph" w:styleId="TOCHeading">
    <w:name w:val="TOC Heading"/>
    <w:basedOn w:val="Heading1"/>
    <w:next w:val="Normal"/>
    <w:uiPriority w:val="39"/>
    <w:unhideWhenUsed/>
    <w:qFormat/>
    <w:rsid w:val="008A1A24"/>
    <w:pPr>
      <w:keepLines/>
      <w:spacing w:before="480"/>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uiPriority w:val="99"/>
    <w:qFormat/>
    <w:rsid w:val="008A1A24"/>
    <w:pPr>
      <w:spacing w:after="40"/>
      <w:ind w:left="360" w:hanging="360"/>
    </w:pPr>
    <w:rPr>
      <w:rFonts w:ascii="Gill Sans MT" w:hAnsi="Gill Sans MT"/>
      <w:sz w:val="20"/>
      <w:lang w:val="en-AU"/>
    </w:rPr>
  </w:style>
  <w:style w:type="character" w:customStyle="1" w:styleId="math">
    <w:name w:val="math"/>
    <w:basedOn w:val="DefaultParagraphFont"/>
    <w:rsid w:val="008A1A24"/>
  </w:style>
  <w:style w:type="character" w:customStyle="1" w:styleId="st">
    <w:name w:val="st"/>
    <w:basedOn w:val="DefaultParagraphFont"/>
    <w:rsid w:val="008A1A24"/>
  </w:style>
  <w:style w:type="paragraph" w:customStyle="1" w:styleId="Imprint">
    <w:name w:val="Imprint"/>
    <w:basedOn w:val="Normal"/>
    <w:uiPriority w:val="99"/>
    <w:rsid w:val="008A1A24"/>
    <w:rPr>
      <w:rFonts w:cs="Arial"/>
      <w:sz w:val="18"/>
      <w:szCs w:val="18"/>
      <w:lang w:val="en-US"/>
    </w:rPr>
  </w:style>
  <w:style w:type="numbering" w:customStyle="1" w:styleId="NoList1">
    <w:name w:val="No List1"/>
    <w:next w:val="NoList"/>
    <w:uiPriority w:val="99"/>
    <w:semiHidden/>
    <w:unhideWhenUsed/>
    <w:rsid w:val="008A1A24"/>
  </w:style>
  <w:style w:type="table" w:customStyle="1" w:styleId="TableGrid1">
    <w:name w:val="Table Grid1"/>
    <w:basedOn w:val="TableNormal"/>
    <w:next w:val="TableGrid"/>
    <w:uiPriority w:val="59"/>
    <w:rsid w:val="008A1A2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8A1A24"/>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8A1A24"/>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8A1A24"/>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A1A24"/>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8A1A24"/>
  </w:style>
  <w:style w:type="paragraph" w:customStyle="1" w:styleId="DocDefaults">
    <w:name w:val="DocDefaults"/>
    <w:uiPriority w:val="99"/>
    <w:rsid w:val="008A1A24"/>
    <w:pPr>
      <w:spacing w:after="0"/>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A1A24"/>
  </w:style>
  <w:style w:type="character" w:customStyle="1" w:styleId="apple-converted-space">
    <w:name w:val="apple-converted-space"/>
    <w:basedOn w:val="DefaultParagraphFont"/>
    <w:rsid w:val="008A1A24"/>
  </w:style>
  <w:style w:type="paragraph" w:customStyle="1" w:styleId="CM51">
    <w:name w:val="CM51"/>
    <w:basedOn w:val="Default0"/>
    <w:next w:val="Default0"/>
    <w:uiPriority w:val="99"/>
    <w:rsid w:val="008A1A24"/>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A1A24"/>
    <w:rPr>
      <w:rFonts w:ascii="Arial" w:eastAsiaTheme="minorHAnsi" w:hAnsi="Arial" w:cs="Arial"/>
      <w:color w:val="auto"/>
      <w:lang w:val="en-AU" w:eastAsia="en-US"/>
    </w:rPr>
  </w:style>
  <w:style w:type="paragraph" w:customStyle="1" w:styleId="CM4">
    <w:name w:val="CM4"/>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A1A24"/>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A1A24"/>
    <w:rPr>
      <w:vertAlign w:val="superscript"/>
    </w:rPr>
  </w:style>
  <w:style w:type="character" w:customStyle="1" w:styleId="pbtocarticletitle1">
    <w:name w:val="pb_toc_article_title1"/>
    <w:basedOn w:val="DefaultParagraphFont"/>
    <w:rsid w:val="008A1A24"/>
    <w:rPr>
      <w:rFonts w:ascii="Verdana" w:hAnsi="Verdana" w:hint="default"/>
      <w:b/>
      <w:bCs/>
      <w:color w:val="000000"/>
    </w:rPr>
  </w:style>
  <w:style w:type="character" w:customStyle="1" w:styleId="pbtocauthors1">
    <w:name w:val="pb_toc_authors1"/>
    <w:basedOn w:val="DefaultParagraphFont"/>
    <w:rsid w:val="008A1A24"/>
    <w:rPr>
      <w:rFonts w:ascii="Verdana" w:hAnsi="Verdana" w:hint="default"/>
      <w:b w:val="0"/>
      <w:bCs w:val="0"/>
      <w:color w:val="000000"/>
    </w:rPr>
  </w:style>
  <w:style w:type="character" w:customStyle="1" w:styleId="pbtocpages1">
    <w:name w:val="pb_toc_pages1"/>
    <w:basedOn w:val="DefaultParagraphFont"/>
    <w:rsid w:val="008A1A24"/>
    <w:rPr>
      <w:rFonts w:ascii="Verdana" w:hAnsi="Verdana" w:hint="default"/>
      <w:b w:val="0"/>
      <w:bCs w:val="0"/>
      <w:color w:val="000000"/>
    </w:rPr>
  </w:style>
  <w:style w:type="character" w:customStyle="1" w:styleId="style1">
    <w:name w:val="style1"/>
    <w:basedOn w:val="DefaultParagraphFont"/>
    <w:rsid w:val="008A1A24"/>
    <w:rPr>
      <w:rFonts w:ascii="Arial" w:hAnsi="Arial" w:cs="Arial" w:hint="default"/>
      <w:b/>
      <w:bCs/>
      <w:i w:val="0"/>
      <w:iCs w:val="0"/>
    </w:rPr>
  </w:style>
  <w:style w:type="paragraph" w:customStyle="1" w:styleId="mainTOC">
    <w:name w:val="main TOC"/>
    <w:basedOn w:val="TOC3"/>
    <w:uiPriority w:val="99"/>
    <w:qFormat/>
    <w:rsid w:val="007A3D01"/>
    <w:pPr>
      <w:tabs>
        <w:tab w:val="left" w:pos="1320"/>
      </w:tabs>
    </w:pPr>
  </w:style>
  <w:style w:type="character" w:customStyle="1" w:styleId="TOC7Char">
    <w:name w:val="TOC 7 Char"/>
    <w:basedOn w:val="DefaultParagraphFont"/>
    <w:link w:val="TOC7"/>
    <w:uiPriority w:val="39"/>
    <w:rsid w:val="0038659A"/>
    <w:rPr>
      <w:rFonts w:ascii="Arial" w:eastAsia="Times New Roman" w:hAnsi="Arial" w:cs="Times New Roman"/>
      <w:sz w:val="20"/>
      <w:szCs w:val="20"/>
      <w:lang w:val="en-GB"/>
    </w:rPr>
  </w:style>
  <w:style w:type="character" w:customStyle="1" w:styleId="TableofFiguresChar">
    <w:name w:val="Table of Figures Char"/>
    <w:basedOn w:val="TOC7Char"/>
    <w:link w:val="TableofFigures"/>
    <w:uiPriority w:val="99"/>
    <w:rsid w:val="00E4136F"/>
    <w:rPr>
      <w:rFonts w:ascii="Arial" w:eastAsiaTheme="majorEastAsia" w:hAnsi="Arial" w:cs="Arial"/>
      <w:bCs/>
      <w:noProof/>
      <w:sz w:val="20"/>
      <w:szCs w:val="20"/>
      <w:lang w:val="en-GB"/>
    </w:rPr>
  </w:style>
  <w:style w:type="paragraph" w:customStyle="1" w:styleId="TOC-figs-tables">
    <w:name w:val="TOC-figs-tables"/>
    <w:basedOn w:val="Figure"/>
    <w:next w:val="TableofFigures"/>
    <w:uiPriority w:val="99"/>
    <w:qFormat/>
    <w:rsid w:val="00CF402D"/>
    <w:pPr>
      <w:tabs>
        <w:tab w:val="left" w:pos="1296"/>
      </w:tabs>
      <w:ind w:left="1296"/>
    </w:pPr>
  </w:style>
  <w:style w:type="paragraph" w:customStyle="1" w:styleId="font5">
    <w:name w:val="font5"/>
    <w:basedOn w:val="Normal"/>
    <w:uiPriority w:val="99"/>
    <w:rsid w:val="00AB651D"/>
    <w:pPr>
      <w:spacing w:before="100" w:beforeAutospacing="1" w:after="100" w:afterAutospacing="1"/>
    </w:pPr>
    <w:rPr>
      <w:rFonts w:ascii="Arial Narrow" w:hAnsi="Arial Narrow"/>
      <w:b/>
      <w:bCs/>
      <w:color w:val="000000"/>
      <w:sz w:val="18"/>
      <w:szCs w:val="18"/>
      <w:lang w:val="en-AU" w:eastAsia="en-AU"/>
    </w:rPr>
  </w:style>
  <w:style w:type="paragraph" w:customStyle="1" w:styleId="font6">
    <w:name w:val="font6"/>
    <w:basedOn w:val="Normal"/>
    <w:uiPriority w:val="99"/>
    <w:rsid w:val="00AB651D"/>
    <w:pPr>
      <w:spacing w:before="100" w:beforeAutospacing="1" w:after="100" w:afterAutospacing="1"/>
    </w:pPr>
    <w:rPr>
      <w:rFonts w:ascii="Cambria Math" w:hAnsi="Cambria Math"/>
      <w:b/>
      <w:bCs/>
      <w:color w:val="000000"/>
      <w:sz w:val="18"/>
      <w:szCs w:val="18"/>
      <w:lang w:val="en-AU" w:eastAsia="en-AU"/>
    </w:rPr>
  </w:style>
  <w:style w:type="paragraph" w:customStyle="1" w:styleId="xl67">
    <w:name w:val="xl67"/>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18"/>
      <w:szCs w:val="18"/>
      <w:lang w:val="en-AU" w:eastAsia="en-AU"/>
    </w:rPr>
  </w:style>
  <w:style w:type="paragraph" w:customStyle="1" w:styleId="xl68">
    <w:name w:val="xl68"/>
    <w:basedOn w:val="Normal"/>
    <w:rsid w:val="00AB651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pPr>
    <w:rPr>
      <w:rFonts w:ascii="Times New Roman" w:hAnsi="Times New Roman"/>
      <w:sz w:val="18"/>
      <w:szCs w:val="18"/>
      <w:lang w:val="en-AU" w:eastAsia="en-AU"/>
    </w:rPr>
  </w:style>
  <w:style w:type="paragraph" w:customStyle="1" w:styleId="xl69">
    <w:name w:val="xl69"/>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paragraph" w:customStyle="1" w:styleId="xl70">
    <w:name w:val="xl70"/>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numbering" w:customStyle="1" w:styleId="NoList3">
    <w:name w:val="No List3"/>
    <w:next w:val="NoList"/>
    <w:uiPriority w:val="99"/>
    <w:semiHidden/>
    <w:unhideWhenUsed/>
    <w:rsid w:val="00737850"/>
  </w:style>
  <w:style w:type="numbering" w:customStyle="1" w:styleId="NoList4">
    <w:name w:val="No List4"/>
    <w:next w:val="NoList"/>
    <w:uiPriority w:val="99"/>
    <w:semiHidden/>
    <w:unhideWhenUsed/>
    <w:rsid w:val="00737850"/>
  </w:style>
  <w:style w:type="numbering" w:customStyle="1" w:styleId="NoList5">
    <w:name w:val="No List5"/>
    <w:next w:val="NoList"/>
    <w:uiPriority w:val="99"/>
    <w:semiHidden/>
    <w:unhideWhenUsed/>
    <w:rsid w:val="00737850"/>
  </w:style>
  <w:style w:type="character" w:styleId="PlaceholderText">
    <w:name w:val="Placeholder Text"/>
    <w:basedOn w:val="DefaultParagraphFont"/>
    <w:uiPriority w:val="99"/>
    <w:semiHidden/>
    <w:rsid w:val="002B057C"/>
    <w:rPr>
      <w:color w:val="808080"/>
    </w:rPr>
  </w:style>
  <w:style w:type="paragraph" w:customStyle="1" w:styleId="AppendixFigures">
    <w:name w:val="Appendix Figures"/>
    <w:next w:val="Normal"/>
    <w:autoRedefine/>
    <w:qFormat/>
    <w:rsid w:val="00BF3FC5"/>
    <w:pPr>
      <w:spacing w:after="0"/>
      <w:ind w:left="426"/>
    </w:pPr>
    <w:rPr>
      <w:rFonts w:ascii="Arial Narrow" w:eastAsia="SimSun" w:hAnsi="Arial Narrow" w:cs="Times New Roman"/>
      <w:sz w:val="20"/>
      <w:szCs w:val="24"/>
      <w:lang w:val="en-GB"/>
    </w:rPr>
  </w:style>
  <w:style w:type="character" w:customStyle="1" w:styleId="Heading7Char1">
    <w:name w:val="Heading 7 Char1"/>
    <w:aliases w:val="Tables Char1"/>
    <w:basedOn w:val="DefaultParagraphFont"/>
    <w:uiPriority w:val="99"/>
    <w:semiHidden/>
    <w:rsid w:val="007372D2"/>
    <w:rPr>
      <w:rFonts w:asciiTheme="majorHAnsi" w:eastAsiaTheme="majorEastAsia" w:hAnsiTheme="majorHAnsi" w:cstheme="majorBidi"/>
      <w:i/>
      <w:iCs/>
      <w:color w:val="404040" w:themeColor="text1" w:themeTint="BF"/>
      <w:sz w:val="22"/>
      <w:szCs w:val="22"/>
    </w:rPr>
  </w:style>
  <w:style w:type="paragraph" w:customStyle="1" w:styleId="xl63">
    <w:name w:val="xl63"/>
    <w:basedOn w:val="Normal"/>
    <w:rsid w:val="00C63155"/>
    <w:pPr>
      <w:spacing w:before="100" w:beforeAutospacing="1" w:after="100" w:afterAutospacing="1"/>
    </w:pPr>
    <w:rPr>
      <w:rFonts w:ascii="Arial Narrow" w:hAnsi="Arial Narrow"/>
      <w:sz w:val="20"/>
      <w:lang w:val="en-AU" w:eastAsia="en-AU"/>
    </w:rPr>
  </w:style>
  <w:style w:type="paragraph" w:customStyle="1" w:styleId="xl64">
    <w:name w:val="xl64"/>
    <w:basedOn w:val="Normal"/>
    <w:rsid w:val="00C63155"/>
    <w:pPr>
      <w:spacing w:before="100" w:beforeAutospacing="1" w:after="100" w:afterAutospacing="1"/>
      <w:jc w:val="center"/>
      <w:textAlignment w:val="center"/>
    </w:pPr>
    <w:rPr>
      <w:rFonts w:ascii="Times New Roman" w:hAnsi="Times New Roman"/>
      <w:sz w:val="24"/>
      <w:szCs w:val="24"/>
      <w:lang w:val="en-AU" w:eastAsia="en-AU"/>
    </w:rPr>
  </w:style>
  <w:style w:type="paragraph" w:customStyle="1" w:styleId="xl71">
    <w:name w:val="xl71"/>
    <w:basedOn w:val="Normal"/>
    <w:rsid w:val="00C63155"/>
    <w:pPr>
      <w:spacing w:before="100" w:beforeAutospacing="1" w:after="100" w:afterAutospacing="1"/>
      <w:jc w:val="center"/>
      <w:textAlignment w:val="center"/>
    </w:pPr>
    <w:rPr>
      <w:rFonts w:ascii="Arial Narrow" w:hAnsi="Arial Narrow"/>
      <w:sz w:val="20"/>
      <w:lang w:val="en-AU" w:eastAsia="en-AU"/>
    </w:rPr>
  </w:style>
  <w:style w:type="paragraph" w:customStyle="1" w:styleId="xl72">
    <w:name w:val="xl72"/>
    <w:basedOn w:val="Normal"/>
    <w:rsid w:val="00C63155"/>
    <w:pPr>
      <w:spacing w:before="100" w:beforeAutospacing="1" w:after="100" w:afterAutospacing="1"/>
      <w:jc w:val="center"/>
      <w:textAlignment w:val="center"/>
    </w:pPr>
    <w:rPr>
      <w:rFonts w:ascii="Arial Narrow" w:hAnsi="Arial Narrow"/>
      <w:sz w:val="20"/>
      <w:lang w:val="en-AU" w:eastAsia="en-AU"/>
    </w:rPr>
  </w:style>
  <w:style w:type="paragraph" w:customStyle="1" w:styleId="xl73">
    <w:name w:val="xl73"/>
    <w:basedOn w:val="Normal"/>
    <w:rsid w:val="00A073D4"/>
    <w:pPr>
      <w:spacing w:before="100" w:beforeAutospacing="1" w:after="100" w:afterAutospacing="1"/>
      <w:jc w:val="center"/>
      <w:textAlignment w:val="center"/>
    </w:pPr>
    <w:rPr>
      <w:rFonts w:ascii="Arial Narrow" w:hAnsi="Arial Narrow"/>
      <w:sz w:val="20"/>
      <w:lang w:val="en-AU" w:eastAsia="en-AU"/>
    </w:rPr>
  </w:style>
  <w:style w:type="paragraph" w:customStyle="1" w:styleId="xl74">
    <w:name w:val="xl74"/>
    <w:basedOn w:val="Normal"/>
    <w:rsid w:val="00A073D4"/>
    <w:pPr>
      <w:spacing w:before="100" w:beforeAutospacing="1" w:after="100" w:afterAutospacing="1"/>
      <w:jc w:val="center"/>
      <w:textAlignment w:val="center"/>
    </w:pPr>
    <w:rPr>
      <w:rFonts w:ascii="Arial Narrow" w:hAnsi="Arial Narrow"/>
      <w:sz w:val="20"/>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425342">
      <w:bodyDiv w:val="1"/>
      <w:marLeft w:val="0"/>
      <w:marRight w:val="0"/>
      <w:marTop w:val="0"/>
      <w:marBottom w:val="0"/>
      <w:divBdr>
        <w:top w:val="none" w:sz="0" w:space="0" w:color="auto"/>
        <w:left w:val="none" w:sz="0" w:space="0" w:color="auto"/>
        <w:bottom w:val="none" w:sz="0" w:space="0" w:color="auto"/>
        <w:right w:val="none" w:sz="0" w:space="0" w:color="auto"/>
      </w:divBdr>
    </w:div>
    <w:div w:id="123432064">
      <w:bodyDiv w:val="1"/>
      <w:marLeft w:val="0"/>
      <w:marRight w:val="0"/>
      <w:marTop w:val="0"/>
      <w:marBottom w:val="0"/>
      <w:divBdr>
        <w:top w:val="none" w:sz="0" w:space="0" w:color="auto"/>
        <w:left w:val="none" w:sz="0" w:space="0" w:color="auto"/>
        <w:bottom w:val="none" w:sz="0" w:space="0" w:color="auto"/>
        <w:right w:val="none" w:sz="0" w:space="0" w:color="auto"/>
      </w:divBdr>
    </w:div>
    <w:div w:id="141773860">
      <w:bodyDiv w:val="1"/>
      <w:marLeft w:val="0"/>
      <w:marRight w:val="0"/>
      <w:marTop w:val="0"/>
      <w:marBottom w:val="0"/>
      <w:divBdr>
        <w:top w:val="none" w:sz="0" w:space="0" w:color="auto"/>
        <w:left w:val="none" w:sz="0" w:space="0" w:color="auto"/>
        <w:bottom w:val="none" w:sz="0" w:space="0" w:color="auto"/>
        <w:right w:val="none" w:sz="0" w:space="0" w:color="auto"/>
      </w:divBdr>
    </w:div>
    <w:div w:id="160586523">
      <w:bodyDiv w:val="1"/>
      <w:marLeft w:val="0"/>
      <w:marRight w:val="0"/>
      <w:marTop w:val="0"/>
      <w:marBottom w:val="0"/>
      <w:divBdr>
        <w:top w:val="none" w:sz="0" w:space="0" w:color="auto"/>
        <w:left w:val="none" w:sz="0" w:space="0" w:color="auto"/>
        <w:bottom w:val="none" w:sz="0" w:space="0" w:color="auto"/>
        <w:right w:val="none" w:sz="0" w:space="0" w:color="auto"/>
      </w:divBdr>
    </w:div>
    <w:div w:id="189732604">
      <w:bodyDiv w:val="1"/>
      <w:marLeft w:val="0"/>
      <w:marRight w:val="0"/>
      <w:marTop w:val="0"/>
      <w:marBottom w:val="0"/>
      <w:divBdr>
        <w:top w:val="none" w:sz="0" w:space="0" w:color="auto"/>
        <w:left w:val="none" w:sz="0" w:space="0" w:color="auto"/>
        <w:bottom w:val="none" w:sz="0" w:space="0" w:color="auto"/>
        <w:right w:val="none" w:sz="0" w:space="0" w:color="auto"/>
      </w:divBdr>
    </w:div>
    <w:div w:id="278076579">
      <w:bodyDiv w:val="1"/>
      <w:marLeft w:val="0"/>
      <w:marRight w:val="0"/>
      <w:marTop w:val="0"/>
      <w:marBottom w:val="0"/>
      <w:divBdr>
        <w:top w:val="none" w:sz="0" w:space="0" w:color="auto"/>
        <w:left w:val="none" w:sz="0" w:space="0" w:color="auto"/>
        <w:bottom w:val="none" w:sz="0" w:space="0" w:color="auto"/>
        <w:right w:val="none" w:sz="0" w:space="0" w:color="auto"/>
      </w:divBdr>
    </w:div>
    <w:div w:id="285047667">
      <w:bodyDiv w:val="1"/>
      <w:marLeft w:val="0"/>
      <w:marRight w:val="0"/>
      <w:marTop w:val="0"/>
      <w:marBottom w:val="0"/>
      <w:divBdr>
        <w:top w:val="none" w:sz="0" w:space="0" w:color="auto"/>
        <w:left w:val="none" w:sz="0" w:space="0" w:color="auto"/>
        <w:bottom w:val="none" w:sz="0" w:space="0" w:color="auto"/>
        <w:right w:val="none" w:sz="0" w:space="0" w:color="auto"/>
      </w:divBdr>
    </w:div>
    <w:div w:id="360519417">
      <w:bodyDiv w:val="1"/>
      <w:marLeft w:val="0"/>
      <w:marRight w:val="0"/>
      <w:marTop w:val="0"/>
      <w:marBottom w:val="0"/>
      <w:divBdr>
        <w:top w:val="none" w:sz="0" w:space="0" w:color="auto"/>
        <w:left w:val="none" w:sz="0" w:space="0" w:color="auto"/>
        <w:bottom w:val="none" w:sz="0" w:space="0" w:color="auto"/>
        <w:right w:val="none" w:sz="0" w:space="0" w:color="auto"/>
      </w:divBdr>
    </w:div>
    <w:div w:id="417214704">
      <w:bodyDiv w:val="1"/>
      <w:marLeft w:val="0"/>
      <w:marRight w:val="0"/>
      <w:marTop w:val="0"/>
      <w:marBottom w:val="0"/>
      <w:divBdr>
        <w:top w:val="none" w:sz="0" w:space="0" w:color="auto"/>
        <w:left w:val="none" w:sz="0" w:space="0" w:color="auto"/>
        <w:bottom w:val="none" w:sz="0" w:space="0" w:color="auto"/>
        <w:right w:val="none" w:sz="0" w:space="0" w:color="auto"/>
      </w:divBdr>
    </w:div>
    <w:div w:id="420680508">
      <w:bodyDiv w:val="1"/>
      <w:marLeft w:val="0"/>
      <w:marRight w:val="0"/>
      <w:marTop w:val="0"/>
      <w:marBottom w:val="0"/>
      <w:divBdr>
        <w:top w:val="none" w:sz="0" w:space="0" w:color="auto"/>
        <w:left w:val="none" w:sz="0" w:space="0" w:color="auto"/>
        <w:bottom w:val="none" w:sz="0" w:space="0" w:color="auto"/>
        <w:right w:val="none" w:sz="0" w:space="0" w:color="auto"/>
      </w:divBdr>
    </w:div>
    <w:div w:id="424612096">
      <w:bodyDiv w:val="1"/>
      <w:marLeft w:val="0"/>
      <w:marRight w:val="0"/>
      <w:marTop w:val="0"/>
      <w:marBottom w:val="0"/>
      <w:divBdr>
        <w:top w:val="none" w:sz="0" w:space="0" w:color="auto"/>
        <w:left w:val="none" w:sz="0" w:space="0" w:color="auto"/>
        <w:bottom w:val="none" w:sz="0" w:space="0" w:color="auto"/>
        <w:right w:val="none" w:sz="0" w:space="0" w:color="auto"/>
      </w:divBdr>
    </w:div>
    <w:div w:id="431164868">
      <w:bodyDiv w:val="1"/>
      <w:marLeft w:val="0"/>
      <w:marRight w:val="0"/>
      <w:marTop w:val="0"/>
      <w:marBottom w:val="0"/>
      <w:divBdr>
        <w:top w:val="none" w:sz="0" w:space="0" w:color="auto"/>
        <w:left w:val="none" w:sz="0" w:space="0" w:color="auto"/>
        <w:bottom w:val="none" w:sz="0" w:space="0" w:color="auto"/>
        <w:right w:val="none" w:sz="0" w:space="0" w:color="auto"/>
      </w:divBdr>
    </w:div>
    <w:div w:id="541790663">
      <w:bodyDiv w:val="1"/>
      <w:marLeft w:val="0"/>
      <w:marRight w:val="0"/>
      <w:marTop w:val="0"/>
      <w:marBottom w:val="0"/>
      <w:divBdr>
        <w:top w:val="none" w:sz="0" w:space="0" w:color="auto"/>
        <w:left w:val="none" w:sz="0" w:space="0" w:color="auto"/>
        <w:bottom w:val="none" w:sz="0" w:space="0" w:color="auto"/>
        <w:right w:val="none" w:sz="0" w:space="0" w:color="auto"/>
      </w:divBdr>
    </w:div>
    <w:div w:id="589511318">
      <w:bodyDiv w:val="1"/>
      <w:marLeft w:val="0"/>
      <w:marRight w:val="0"/>
      <w:marTop w:val="0"/>
      <w:marBottom w:val="0"/>
      <w:divBdr>
        <w:top w:val="none" w:sz="0" w:space="0" w:color="auto"/>
        <w:left w:val="none" w:sz="0" w:space="0" w:color="auto"/>
        <w:bottom w:val="none" w:sz="0" w:space="0" w:color="auto"/>
        <w:right w:val="none" w:sz="0" w:space="0" w:color="auto"/>
      </w:divBdr>
    </w:div>
    <w:div w:id="676538295">
      <w:bodyDiv w:val="1"/>
      <w:marLeft w:val="0"/>
      <w:marRight w:val="0"/>
      <w:marTop w:val="0"/>
      <w:marBottom w:val="0"/>
      <w:divBdr>
        <w:top w:val="none" w:sz="0" w:space="0" w:color="auto"/>
        <w:left w:val="none" w:sz="0" w:space="0" w:color="auto"/>
        <w:bottom w:val="none" w:sz="0" w:space="0" w:color="auto"/>
        <w:right w:val="none" w:sz="0" w:space="0" w:color="auto"/>
      </w:divBdr>
    </w:div>
    <w:div w:id="687028920">
      <w:bodyDiv w:val="1"/>
      <w:marLeft w:val="0"/>
      <w:marRight w:val="0"/>
      <w:marTop w:val="0"/>
      <w:marBottom w:val="0"/>
      <w:divBdr>
        <w:top w:val="none" w:sz="0" w:space="0" w:color="auto"/>
        <w:left w:val="none" w:sz="0" w:space="0" w:color="auto"/>
        <w:bottom w:val="none" w:sz="0" w:space="0" w:color="auto"/>
        <w:right w:val="none" w:sz="0" w:space="0" w:color="auto"/>
      </w:divBdr>
    </w:div>
    <w:div w:id="718675107">
      <w:bodyDiv w:val="1"/>
      <w:marLeft w:val="0"/>
      <w:marRight w:val="0"/>
      <w:marTop w:val="0"/>
      <w:marBottom w:val="0"/>
      <w:divBdr>
        <w:top w:val="none" w:sz="0" w:space="0" w:color="auto"/>
        <w:left w:val="none" w:sz="0" w:space="0" w:color="auto"/>
        <w:bottom w:val="none" w:sz="0" w:space="0" w:color="auto"/>
        <w:right w:val="none" w:sz="0" w:space="0" w:color="auto"/>
      </w:divBdr>
    </w:div>
    <w:div w:id="738862773">
      <w:bodyDiv w:val="1"/>
      <w:marLeft w:val="0"/>
      <w:marRight w:val="0"/>
      <w:marTop w:val="0"/>
      <w:marBottom w:val="0"/>
      <w:divBdr>
        <w:top w:val="none" w:sz="0" w:space="0" w:color="auto"/>
        <w:left w:val="none" w:sz="0" w:space="0" w:color="auto"/>
        <w:bottom w:val="none" w:sz="0" w:space="0" w:color="auto"/>
        <w:right w:val="none" w:sz="0" w:space="0" w:color="auto"/>
      </w:divBdr>
    </w:div>
    <w:div w:id="824055432">
      <w:bodyDiv w:val="1"/>
      <w:marLeft w:val="0"/>
      <w:marRight w:val="0"/>
      <w:marTop w:val="0"/>
      <w:marBottom w:val="0"/>
      <w:divBdr>
        <w:top w:val="none" w:sz="0" w:space="0" w:color="auto"/>
        <w:left w:val="none" w:sz="0" w:space="0" w:color="auto"/>
        <w:bottom w:val="none" w:sz="0" w:space="0" w:color="auto"/>
        <w:right w:val="none" w:sz="0" w:space="0" w:color="auto"/>
      </w:divBdr>
    </w:div>
    <w:div w:id="837766901">
      <w:bodyDiv w:val="1"/>
      <w:marLeft w:val="0"/>
      <w:marRight w:val="0"/>
      <w:marTop w:val="0"/>
      <w:marBottom w:val="0"/>
      <w:divBdr>
        <w:top w:val="none" w:sz="0" w:space="0" w:color="auto"/>
        <w:left w:val="none" w:sz="0" w:space="0" w:color="auto"/>
        <w:bottom w:val="none" w:sz="0" w:space="0" w:color="auto"/>
        <w:right w:val="none" w:sz="0" w:space="0" w:color="auto"/>
      </w:divBdr>
    </w:div>
    <w:div w:id="978994492">
      <w:bodyDiv w:val="1"/>
      <w:marLeft w:val="0"/>
      <w:marRight w:val="0"/>
      <w:marTop w:val="0"/>
      <w:marBottom w:val="0"/>
      <w:divBdr>
        <w:top w:val="none" w:sz="0" w:space="0" w:color="auto"/>
        <w:left w:val="none" w:sz="0" w:space="0" w:color="auto"/>
        <w:bottom w:val="none" w:sz="0" w:space="0" w:color="auto"/>
        <w:right w:val="none" w:sz="0" w:space="0" w:color="auto"/>
      </w:divBdr>
    </w:div>
    <w:div w:id="1085348410">
      <w:bodyDiv w:val="1"/>
      <w:marLeft w:val="0"/>
      <w:marRight w:val="0"/>
      <w:marTop w:val="0"/>
      <w:marBottom w:val="0"/>
      <w:divBdr>
        <w:top w:val="none" w:sz="0" w:space="0" w:color="auto"/>
        <w:left w:val="none" w:sz="0" w:space="0" w:color="auto"/>
        <w:bottom w:val="none" w:sz="0" w:space="0" w:color="auto"/>
        <w:right w:val="none" w:sz="0" w:space="0" w:color="auto"/>
      </w:divBdr>
    </w:div>
    <w:div w:id="1161196298">
      <w:bodyDiv w:val="1"/>
      <w:marLeft w:val="0"/>
      <w:marRight w:val="0"/>
      <w:marTop w:val="0"/>
      <w:marBottom w:val="0"/>
      <w:divBdr>
        <w:top w:val="none" w:sz="0" w:space="0" w:color="auto"/>
        <w:left w:val="none" w:sz="0" w:space="0" w:color="auto"/>
        <w:bottom w:val="none" w:sz="0" w:space="0" w:color="auto"/>
        <w:right w:val="none" w:sz="0" w:space="0" w:color="auto"/>
      </w:divBdr>
    </w:div>
    <w:div w:id="1175656388">
      <w:bodyDiv w:val="1"/>
      <w:marLeft w:val="0"/>
      <w:marRight w:val="0"/>
      <w:marTop w:val="0"/>
      <w:marBottom w:val="0"/>
      <w:divBdr>
        <w:top w:val="none" w:sz="0" w:space="0" w:color="auto"/>
        <w:left w:val="none" w:sz="0" w:space="0" w:color="auto"/>
        <w:bottom w:val="none" w:sz="0" w:space="0" w:color="auto"/>
        <w:right w:val="none" w:sz="0" w:space="0" w:color="auto"/>
      </w:divBdr>
    </w:div>
    <w:div w:id="1199852131">
      <w:bodyDiv w:val="1"/>
      <w:marLeft w:val="0"/>
      <w:marRight w:val="0"/>
      <w:marTop w:val="0"/>
      <w:marBottom w:val="0"/>
      <w:divBdr>
        <w:top w:val="none" w:sz="0" w:space="0" w:color="auto"/>
        <w:left w:val="none" w:sz="0" w:space="0" w:color="auto"/>
        <w:bottom w:val="none" w:sz="0" w:space="0" w:color="auto"/>
        <w:right w:val="none" w:sz="0" w:space="0" w:color="auto"/>
      </w:divBdr>
    </w:div>
    <w:div w:id="1274558550">
      <w:bodyDiv w:val="1"/>
      <w:marLeft w:val="0"/>
      <w:marRight w:val="0"/>
      <w:marTop w:val="0"/>
      <w:marBottom w:val="0"/>
      <w:divBdr>
        <w:top w:val="none" w:sz="0" w:space="0" w:color="auto"/>
        <w:left w:val="none" w:sz="0" w:space="0" w:color="auto"/>
        <w:bottom w:val="none" w:sz="0" w:space="0" w:color="auto"/>
        <w:right w:val="none" w:sz="0" w:space="0" w:color="auto"/>
      </w:divBdr>
      <w:divsChild>
        <w:div w:id="2004234555">
          <w:marLeft w:val="0"/>
          <w:marRight w:val="0"/>
          <w:marTop w:val="0"/>
          <w:marBottom w:val="0"/>
          <w:divBdr>
            <w:top w:val="none" w:sz="0" w:space="0" w:color="auto"/>
            <w:left w:val="none" w:sz="0" w:space="0" w:color="auto"/>
            <w:bottom w:val="none" w:sz="0" w:space="0" w:color="auto"/>
            <w:right w:val="none" w:sz="0" w:space="0" w:color="auto"/>
          </w:divBdr>
          <w:divsChild>
            <w:div w:id="1344819242">
              <w:marLeft w:val="0"/>
              <w:marRight w:val="0"/>
              <w:marTop w:val="0"/>
              <w:marBottom w:val="0"/>
              <w:divBdr>
                <w:top w:val="none" w:sz="0" w:space="0" w:color="auto"/>
                <w:left w:val="none" w:sz="0" w:space="0" w:color="auto"/>
                <w:bottom w:val="none" w:sz="0" w:space="0" w:color="auto"/>
                <w:right w:val="none" w:sz="0" w:space="0" w:color="auto"/>
              </w:divBdr>
              <w:divsChild>
                <w:div w:id="594827042">
                  <w:marLeft w:val="0"/>
                  <w:marRight w:val="0"/>
                  <w:marTop w:val="0"/>
                  <w:marBottom w:val="0"/>
                  <w:divBdr>
                    <w:top w:val="none" w:sz="0" w:space="0" w:color="auto"/>
                    <w:left w:val="none" w:sz="0" w:space="0" w:color="auto"/>
                    <w:bottom w:val="none" w:sz="0" w:space="0" w:color="auto"/>
                    <w:right w:val="none" w:sz="0" w:space="0" w:color="auto"/>
                  </w:divBdr>
                  <w:divsChild>
                    <w:div w:id="609357349">
                      <w:marLeft w:val="0"/>
                      <w:marRight w:val="0"/>
                      <w:marTop w:val="0"/>
                      <w:marBottom w:val="0"/>
                      <w:divBdr>
                        <w:top w:val="none" w:sz="0" w:space="0" w:color="auto"/>
                        <w:left w:val="none" w:sz="0" w:space="0" w:color="auto"/>
                        <w:bottom w:val="none" w:sz="0" w:space="0" w:color="auto"/>
                        <w:right w:val="none" w:sz="0" w:space="0" w:color="auto"/>
                      </w:divBdr>
                      <w:divsChild>
                        <w:div w:id="1629125264">
                          <w:marLeft w:val="0"/>
                          <w:marRight w:val="0"/>
                          <w:marTop w:val="0"/>
                          <w:marBottom w:val="0"/>
                          <w:divBdr>
                            <w:top w:val="none" w:sz="0" w:space="0" w:color="auto"/>
                            <w:left w:val="none" w:sz="0" w:space="0" w:color="auto"/>
                            <w:bottom w:val="none" w:sz="0" w:space="0" w:color="auto"/>
                            <w:right w:val="none" w:sz="0" w:space="0" w:color="auto"/>
                          </w:divBdr>
                          <w:divsChild>
                            <w:div w:id="193685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8794759">
      <w:bodyDiv w:val="1"/>
      <w:marLeft w:val="0"/>
      <w:marRight w:val="0"/>
      <w:marTop w:val="0"/>
      <w:marBottom w:val="0"/>
      <w:divBdr>
        <w:top w:val="none" w:sz="0" w:space="0" w:color="auto"/>
        <w:left w:val="none" w:sz="0" w:space="0" w:color="auto"/>
        <w:bottom w:val="none" w:sz="0" w:space="0" w:color="auto"/>
        <w:right w:val="none" w:sz="0" w:space="0" w:color="auto"/>
      </w:divBdr>
    </w:div>
    <w:div w:id="1475021055">
      <w:bodyDiv w:val="1"/>
      <w:marLeft w:val="0"/>
      <w:marRight w:val="0"/>
      <w:marTop w:val="0"/>
      <w:marBottom w:val="0"/>
      <w:divBdr>
        <w:top w:val="none" w:sz="0" w:space="0" w:color="auto"/>
        <w:left w:val="none" w:sz="0" w:space="0" w:color="auto"/>
        <w:bottom w:val="none" w:sz="0" w:space="0" w:color="auto"/>
        <w:right w:val="none" w:sz="0" w:space="0" w:color="auto"/>
      </w:divBdr>
    </w:div>
    <w:div w:id="1590852424">
      <w:bodyDiv w:val="1"/>
      <w:marLeft w:val="0"/>
      <w:marRight w:val="0"/>
      <w:marTop w:val="0"/>
      <w:marBottom w:val="0"/>
      <w:divBdr>
        <w:top w:val="none" w:sz="0" w:space="0" w:color="auto"/>
        <w:left w:val="none" w:sz="0" w:space="0" w:color="auto"/>
        <w:bottom w:val="none" w:sz="0" w:space="0" w:color="auto"/>
        <w:right w:val="none" w:sz="0" w:space="0" w:color="auto"/>
      </w:divBdr>
    </w:div>
    <w:div w:id="1636176716">
      <w:bodyDiv w:val="1"/>
      <w:marLeft w:val="0"/>
      <w:marRight w:val="0"/>
      <w:marTop w:val="0"/>
      <w:marBottom w:val="0"/>
      <w:divBdr>
        <w:top w:val="none" w:sz="0" w:space="0" w:color="auto"/>
        <w:left w:val="none" w:sz="0" w:space="0" w:color="auto"/>
        <w:bottom w:val="none" w:sz="0" w:space="0" w:color="auto"/>
        <w:right w:val="none" w:sz="0" w:space="0" w:color="auto"/>
      </w:divBdr>
    </w:div>
    <w:div w:id="1847280463">
      <w:bodyDiv w:val="1"/>
      <w:marLeft w:val="0"/>
      <w:marRight w:val="0"/>
      <w:marTop w:val="0"/>
      <w:marBottom w:val="0"/>
      <w:divBdr>
        <w:top w:val="none" w:sz="0" w:space="0" w:color="auto"/>
        <w:left w:val="none" w:sz="0" w:space="0" w:color="auto"/>
        <w:bottom w:val="none" w:sz="0" w:space="0" w:color="auto"/>
        <w:right w:val="none" w:sz="0" w:space="0" w:color="auto"/>
      </w:divBdr>
      <w:divsChild>
        <w:div w:id="2080902678">
          <w:marLeft w:val="0"/>
          <w:marRight w:val="0"/>
          <w:marTop w:val="0"/>
          <w:marBottom w:val="0"/>
          <w:divBdr>
            <w:top w:val="none" w:sz="0" w:space="0" w:color="auto"/>
            <w:left w:val="none" w:sz="0" w:space="0" w:color="auto"/>
            <w:bottom w:val="none" w:sz="0" w:space="0" w:color="auto"/>
            <w:right w:val="none" w:sz="0" w:space="0" w:color="auto"/>
          </w:divBdr>
          <w:divsChild>
            <w:div w:id="1889026963">
              <w:marLeft w:val="0"/>
              <w:marRight w:val="0"/>
              <w:marTop w:val="0"/>
              <w:marBottom w:val="0"/>
              <w:divBdr>
                <w:top w:val="none" w:sz="0" w:space="0" w:color="auto"/>
                <w:left w:val="none" w:sz="0" w:space="0" w:color="auto"/>
                <w:bottom w:val="none" w:sz="0" w:space="0" w:color="auto"/>
                <w:right w:val="none" w:sz="0" w:space="0" w:color="auto"/>
              </w:divBdr>
              <w:divsChild>
                <w:div w:id="1991253847">
                  <w:marLeft w:val="0"/>
                  <w:marRight w:val="0"/>
                  <w:marTop w:val="0"/>
                  <w:marBottom w:val="0"/>
                  <w:divBdr>
                    <w:top w:val="none" w:sz="0" w:space="0" w:color="auto"/>
                    <w:left w:val="none" w:sz="0" w:space="0" w:color="auto"/>
                    <w:bottom w:val="none" w:sz="0" w:space="0" w:color="auto"/>
                    <w:right w:val="none" w:sz="0" w:space="0" w:color="auto"/>
                  </w:divBdr>
                  <w:divsChild>
                    <w:div w:id="1712222409">
                      <w:marLeft w:val="0"/>
                      <w:marRight w:val="0"/>
                      <w:marTop w:val="0"/>
                      <w:marBottom w:val="0"/>
                      <w:divBdr>
                        <w:top w:val="none" w:sz="0" w:space="0" w:color="auto"/>
                        <w:left w:val="none" w:sz="0" w:space="0" w:color="auto"/>
                        <w:bottom w:val="none" w:sz="0" w:space="0" w:color="auto"/>
                        <w:right w:val="none" w:sz="0" w:space="0" w:color="auto"/>
                      </w:divBdr>
                      <w:divsChild>
                        <w:div w:id="542791018">
                          <w:marLeft w:val="0"/>
                          <w:marRight w:val="0"/>
                          <w:marTop w:val="0"/>
                          <w:marBottom w:val="0"/>
                          <w:divBdr>
                            <w:top w:val="none" w:sz="0" w:space="0" w:color="auto"/>
                            <w:left w:val="none" w:sz="0" w:space="0" w:color="auto"/>
                            <w:bottom w:val="none" w:sz="0" w:space="0" w:color="auto"/>
                            <w:right w:val="none" w:sz="0" w:space="0" w:color="auto"/>
                          </w:divBdr>
                          <w:divsChild>
                            <w:div w:id="88502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4138751">
      <w:bodyDiv w:val="1"/>
      <w:marLeft w:val="0"/>
      <w:marRight w:val="0"/>
      <w:marTop w:val="0"/>
      <w:marBottom w:val="0"/>
      <w:divBdr>
        <w:top w:val="none" w:sz="0" w:space="0" w:color="auto"/>
        <w:left w:val="none" w:sz="0" w:space="0" w:color="auto"/>
        <w:bottom w:val="none" w:sz="0" w:space="0" w:color="auto"/>
        <w:right w:val="none" w:sz="0" w:space="0" w:color="auto"/>
      </w:divBdr>
    </w:div>
    <w:div w:id="2091851453">
      <w:bodyDiv w:val="1"/>
      <w:marLeft w:val="0"/>
      <w:marRight w:val="0"/>
      <w:marTop w:val="0"/>
      <w:marBottom w:val="0"/>
      <w:divBdr>
        <w:top w:val="none" w:sz="0" w:space="0" w:color="auto"/>
        <w:left w:val="none" w:sz="0" w:space="0" w:color="auto"/>
        <w:bottom w:val="none" w:sz="0" w:space="0" w:color="auto"/>
        <w:right w:val="none" w:sz="0" w:space="0" w:color="auto"/>
      </w:divBdr>
    </w:div>
    <w:div w:id="2097089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6.xml"/><Relationship Id="rId21" Type="http://schemas.openxmlformats.org/officeDocument/2006/relationships/hyperlink" Target="mailto:a.thompson@aims.gov.au" TargetMode="External"/><Relationship Id="rId42" Type="http://schemas.openxmlformats.org/officeDocument/2006/relationships/image" Target="media/image10.png"/><Relationship Id="rId47" Type="http://schemas.openxmlformats.org/officeDocument/2006/relationships/image" Target="media/image15.png"/><Relationship Id="rId63" Type="http://schemas.openxmlformats.org/officeDocument/2006/relationships/hyperlink" Target="http://www.bom.gov.au/environment/activities/reeftemp/documents/Garde_JOO_2014.pdf" TargetMode="External"/><Relationship Id="rId68" Type="http://schemas.openxmlformats.org/officeDocument/2006/relationships/footer" Target="footer5.xml"/><Relationship Id="rId84" Type="http://schemas.openxmlformats.org/officeDocument/2006/relationships/image" Target="media/image42.png"/><Relationship Id="rId89" Type="http://schemas.openxmlformats.org/officeDocument/2006/relationships/image" Target="media/image45.png"/><Relationship Id="rId16" Type="http://schemas.openxmlformats.org/officeDocument/2006/relationships/header" Target="header1.xml"/><Relationship Id="rId11" Type="http://schemas.openxmlformats.org/officeDocument/2006/relationships/webSettings" Target="webSettings.xml"/><Relationship Id="rId32" Type="http://schemas.openxmlformats.org/officeDocument/2006/relationships/image" Target="media/image5.png"/><Relationship Id="rId37" Type="http://schemas.openxmlformats.org/officeDocument/2006/relationships/hyperlink" Target="http://www.odysseydatarecording.com/" TargetMode="External"/><Relationship Id="rId53" Type="http://schemas.openxmlformats.org/officeDocument/2006/relationships/image" Target="media/image21.png"/><Relationship Id="rId58" Type="http://schemas.openxmlformats.org/officeDocument/2006/relationships/image" Target="media/image26.png"/><Relationship Id="rId74" Type="http://schemas.openxmlformats.org/officeDocument/2006/relationships/image" Target="media/image32.png"/><Relationship Id="rId79" Type="http://schemas.openxmlformats.org/officeDocument/2006/relationships/image" Target="media/image37.png"/><Relationship Id="rId5" Type="http://schemas.openxmlformats.org/officeDocument/2006/relationships/customXml" Target="../customXml/item4.xml"/><Relationship Id="rId90" Type="http://schemas.openxmlformats.org/officeDocument/2006/relationships/image" Target="media/image46.png"/><Relationship Id="rId95" Type="http://schemas.openxmlformats.org/officeDocument/2006/relationships/image" Target="media/image51.png"/><Relationship Id="rId22" Type="http://schemas.openxmlformats.org/officeDocument/2006/relationships/hyperlink" Target="http://www.aims.gov.au/" TargetMode="External"/><Relationship Id="rId27" Type="http://schemas.openxmlformats.org/officeDocument/2006/relationships/header" Target="header7.xml"/><Relationship Id="rId43" Type="http://schemas.openxmlformats.org/officeDocument/2006/relationships/image" Target="media/image11.png"/><Relationship Id="rId48" Type="http://schemas.openxmlformats.org/officeDocument/2006/relationships/image" Target="media/image16.png"/><Relationship Id="rId64" Type="http://schemas.openxmlformats.org/officeDocument/2006/relationships/hyperlink" Target="http://CRAN.R-project.org/package=vegan" TargetMode="External"/><Relationship Id="rId69" Type="http://schemas.openxmlformats.org/officeDocument/2006/relationships/image" Target="media/image27.png"/><Relationship Id="rId80" Type="http://schemas.openxmlformats.org/officeDocument/2006/relationships/image" Target="media/image38.png"/><Relationship Id="rId85" Type="http://schemas.openxmlformats.org/officeDocument/2006/relationships/image" Target="media/image43.png"/><Relationship Id="rId3" Type="http://schemas.openxmlformats.org/officeDocument/2006/relationships/customXml" Target="../customXml/item2.xml"/><Relationship Id="rId12" Type="http://schemas.openxmlformats.org/officeDocument/2006/relationships/footnotes" Target="footnotes.xml"/><Relationship Id="rId17" Type="http://schemas.openxmlformats.org/officeDocument/2006/relationships/footer" Target="footer1.xml"/><Relationship Id="rId25" Type="http://schemas.openxmlformats.org/officeDocument/2006/relationships/header" Target="header5.xml"/><Relationship Id="rId33" Type="http://schemas.openxmlformats.org/officeDocument/2006/relationships/hyperlink" Target="http://www.gbrmpa.gov.au/managing-the-reef/how-the-reefs-managed/reef-2050-marine-monitoring-program" TargetMode="External"/><Relationship Id="rId38" Type="http://schemas.openxmlformats.org/officeDocument/2006/relationships/hyperlink" Target="http://reefnet.ca/products/sensus/" TargetMode="External"/><Relationship Id="rId46" Type="http://schemas.openxmlformats.org/officeDocument/2006/relationships/image" Target="media/image14.png"/><Relationship Id="rId59" Type="http://schemas.openxmlformats.org/officeDocument/2006/relationships/hyperlink" Target="http://www.reefplan.qld.gov.au/" TargetMode="External"/><Relationship Id="rId67" Type="http://schemas.openxmlformats.org/officeDocument/2006/relationships/hyperlink" Target="http://CRAN.R-project.org/package=R2jags" TargetMode="External"/><Relationship Id="rId20" Type="http://schemas.openxmlformats.org/officeDocument/2006/relationships/footer" Target="footer3.xml"/><Relationship Id="rId41" Type="http://schemas.openxmlformats.org/officeDocument/2006/relationships/image" Target="media/image9.png"/><Relationship Id="rId54" Type="http://schemas.openxmlformats.org/officeDocument/2006/relationships/image" Target="media/image22.png"/><Relationship Id="rId62" Type="http://schemas.openxmlformats.org/officeDocument/2006/relationships/hyperlink" Target="http://www.derm.qld.gov.au/" TargetMode="External"/><Relationship Id="rId70" Type="http://schemas.openxmlformats.org/officeDocument/2006/relationships/image" Target="media/image28.png"/><Relationship Id="rId75" Type="http://schemas.openxmlformats.org/officeDocument/2006/relationships/image" Target="media/image33.png"/><Relationship Id="rId83" Type="http://schemas.openxmlformats.org/officeDocument/2006/relationships/image" Target="media/image41.png"/><Relationship Id="rId88" Type="http://schemas.openxmlformats.org/officeDocument/2006/relationships/header" Target="header9.xml"/><Relationship Id="rId91" Type="http://schemas.openxmlformats.org/officeDocument/2006/relationships/image" Target="media/image47.png"/><Relationship Id="rId96" Type="http://schemas.openxmlformats.org/officeDocument/2006/relationships/fontTable" Target="fontTable.xml"/><Relationship Id="rId1" Type="http://schemas.microsoft.com/office/2006/relationships/keyMapCustomizations" Target="customizations.xml"/><Relationship Id="rId6"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header" Target="header3.xml"/><Relationship Id="rId28" Type="http://schemas.openxmlformats.org/officeDocument/2006/relationships/footer" Target="footer4.xml"/><Relationship Id="rId36" Type="http://schemas.openxmlformats.org/officeDocument/2006/relationships/image" Target="media/image6.jpg"/><Relationship Id="rId49" Type="http://schemas.openxmlformats.org/officeDocument/2006/relationships/image" Target="media/image17.png"/><Relationship Id="rId57" Type="http://schemas.openxmlformats.org/officeDocument/2006/relationships/image" Target="media/image25.png"/><Relationship Id="rId10" Type="http://schemas.openxmlformats.org/officeDocument/2006/relationships/settings" Target="settings.xml"/><Relationship Id="rId31" Type="http://schemas.openxmlformats.org/officeDocument/2006/relationships/image" Target="media/image4.png"/><Relationship Id="rId44" Type="http://schemas.openxmlformats.org/officeDocument/2006/relationships/image" Target="media/image12.png"/><Relationship Id="rId52" Type="http://schemas.openxmlformats.org/officeDocument/2006/relationships/image" Target="media/image20.png"/><Relationship Id="rId60" Type="http://schemas.openxmlformats.org/officeDocument/2006/relationships/hyperlink" Target="http://www.reefplan.qld.gov.au/" TargetMode="External"/><Relationship Id="rId65" Type="http://schemas.openxmlformats.org/officeDocument/2006/relationships/hyperlink" Target="file:///C:/Users/athompso/Desktop/.%20http:/CRAN.R-project.org/doc/Rnews/" TargetMode="External"/><Relationship Id="rId73" Type="http://schemas.openxmlformats.org/officeDocument/2006/relationships/image" Target="media/image31.png"/><Relationship Id="rId78" Type="http://schemas.openxmlformats.org/officeDocument/2006/relationships/image" Target="media/image36.png"/><Relationship Id="rId81" Type="http://schemas.openxmlformats.org/officeDocument/2006/relationships/image" Target="media/image39.png"/><Relationship Id="rId86" Type="http://schemas.openxmlformats.org/officeDocument/2006/relationships/image" Target="media/image44.jpeg"/><Relationship Id="rId94" Type="http://schemas.openxmlformats.org/officeDocument/2006/relationships/image" Target="media/image50.png"/><Relationship Id="rId4" Type="http://schemas.openxmlformats.org/officeDocument/2006/relationships/customXml" Target="../customXml/item3.xml"/><Relationship Id="rId9" Type="http://schemas.microsoft.com/office/2007/relationships/stylesWithEffects" Target="stylesWithEffects.xml"/><Relationship Id="rId13" Type="http://schemas.openxmlformats.org/officeDocument/2006/relationships/endnotes" Target="endnotes.xml"/><Relationship Id="rId18" Type="http://schemas.openxmlformats.org/officeDocument/2006/relationships/footer" Target="footer2.xml"/><Relationship Id="rId39" Type="http://schemas.openxmlformats.org/officeDocument/2006/relationships/image" Target="media/image7.png"/><Relationship Id="rId34" Type="http://schemas.openxmlformats.org/officeDocument/2006/relationships/hyperlink" Target="http://e-atlas.org.au/rrmmp" TargetMode="External"/><Relationship Id="rId50" Type="http://schemas.openxmlformats.org/officeDocument/2006/relationships/image" Target="media/image18.png"/><Relationship Id="rId55" Type="http://schemas.openxmlformats.org/officeDocument/2006/relationships/image" Target="media/image23.png"/><Relationship Id="rId76" Type="http://schemas.openxmlformats.org/officeDocument/2006/relationships/image" Target="media/image34.png"/><Relationship Id="rId97" Type="http://schemas.openxmlformats.org/officeDocument/2006/relationships/theme" Target="theme/theme1.xml"/><Relationship Id="rId7" Type="http://schemas.openxmlformats.org/officeDocument/2006/relationships/numbering" Target="numbering.xml"/><Relationship Id="rId71" Type="http://schemas.openxmlformats.org/officeDocument/2006/relationships/image" Target="media/image29.png"/><Relationship Id="rId92" Type="http://schemas.openxmlformats.org/officeDocument/2006/relationships/image" Target="media/image48.png"/><Relationship Id="rId2" Type="http://schemas.openxmlformats.org/officeDocument/2006/relationships/customXml" Target="../customXml/item1.xml"/><Relationship Id="rId29" Type="http://schemas.openxmlformats.org/officeDocument/2006/relationships/header" Target="header8.xml"/><Relationship Id="rId24" Type="http://schemas.openxmlformats.org/officeDocument/2006/relationships/header" Target="header4.xml"/><Relationship Id="rId40" Type="http://schemas.openxmlformats.org/officeDocument/2006/relationships/image" Target="media/image8.png"/><Relationship Id="rId45" Type="http://schemas.openxmlformats.org/officeDocument/2006/relationships/image" Target="media/image13.png"/><Relationship Id="rId66" Type="http://schemas.openxmlformats.org/officeDocument/2006/relationships/hyperlink" Target="http://www.saedsayad.com/docs/gbm2.pdf" TargetMode="External"/><Relationship Id="rId87" Type="http://schemas.openxmlformats.org/officeDocument/2006/relationships/footer" Target="footer6.xml"/><Relationship Id="rId61" Type="http://schemas.openxmlformats.org/officeDocument/2006/relationships/hyperlink" Target="http://www.reefplan.qld.gov.au/measuring-success/report-cards/2014/assets/gbr-2014report-card.pdf" TargetMode="External"/><Relationship Id="rId82" Type="http://schemas.openxmlformats.org/officeDocument/2006/relationships/image" Target="media/image40.png"/><Relationship Id="rId19" Type="http://schemas.openxmlformats.org/officeDocument/2006/relationships/header" Target="header2.xml"/><Relationship Id="rId14" Type="http://schemas.openxmlformats.org/officeDocument/2006/relationships/image" Target="media/image1.jpeg"/><Relationship Id="rId30" Type="http://schemas.openxmlformats.org/officeDocument/2006/relationships/image" Target="media/image3.png"/><Relationship Id="rId35" Type="http://schemas.openxmlformats.org/officeDocument/2006/relationships/hyperlink" Target="http://www.reefplan.qld.gov.au/" TargetMode="External"/><Relationship Id="rId56" Type="http://schemas.openxmlformats.org/officeDocument/2006/relationships/image" Target="media/image24.png"/><Relationship Id="rId77" Type="http://schemas.openxmlformats.org/officeDocument/2006/relationships/image" Target="media/image35.png"/><Relationship Id="rId8" Type="http://schemas.openxmlformats.org/officeDocument/2006/relationships/styles" Target="styles.xml"/><Relationship Id="rId51" Type="http://schemas.openxmlformats.org/officeDocument/2006/relationships/image" Target="media/image19.png"/><Relationship Id="rId72" Type="http://schemas.openxmlformats.org/officeDocument/2006/relationships/image" Target="media/image30.png"/><Relationship Id="rId93" Type="http://schemas.openxmlformats.org/officeDocument/2006/relationships/image" Target="media/image49.png"/></Relationships>
</file>

<file path=word/_rels/footnotes.xml.rels><?xml version="1.0" encoding="UTF-8" standalone="yes"?>
<Relationships xmlns="http://schemas.openxmlformats.org/package/2006/relationships"><Relationship Id="rId1" Type="http://schemas.openxmlformats.org/officeDocument/2006/relationships/hyperlink" Target="http://www.csiro.au/connie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327E09C02E23CC42979C0B8A7B77AF06" ma:contentTypeVersion="6" ma:contentTypeDescription="" ma:contentTypeScope="" ma:versionID="347e7943890435bc17380d89d994f2fb">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a131c0f63ee7c9a738e507168861589a"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Value>3</Value>
    </TaxCatchAll>
    <a2118650a77a4a97b805ceb1a6b3e3dc xmlns="8ccc4631-9afc-4718-b120-5e2e37a03cc7">
      <Terms xmlns="http://schemas.microsoft.com/office/infopath/2007/PartnerControls">
        <TermInfo xmlns="http://schemas.microsoft.com/office/infopath/2007/PartnerControls">
          <TermName>Finalise</TermName>
          <TermId>6b5bfe78-1288-4ab6-8e22-c299117e2677</TermId>
        </TermInfo>
      </Terms>
    </a2118650a77a4a97b805ceb1a6b3e3dc>
    <_dlc_DocId xmlns="8ccc4631-9afc-4718-b120-5e2e37a03cc7">PROJ-213-259</_dlc_DocId>
    <_dlc_DocIdUrl xmlns="8ccc4631-9afc-4718-b120-5e2e37a03cc7">
      <Url>http://thedock.gbrmpa.gov.au/sites/Projects/P000056/_layouts/DocIdRedir.aspx?ID=PROJ-213-259</Url>
      <Description>PROJ-213-259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0FFC3D-8A04-4427-BD85-41C833A40F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E2CFD2-AA61-4CC6-A703-232B2A836D3B}">
  <ds:schemaRefs>
    <ds:schemaRef ds:uri="http://schemas.microsoft.com/sharepoint/events"/>
  </ds:schemaRefs>
</ds:datastoreItem>
</file>

<file path=customXml/itemProps3.xml><?xml version="1.0" encoding="utf-8"?>
<ds:datastoreItem xmlns:ds="http://schemas.openxmlformats.org/officeDocument/2006/customXml" ds:itemID="{96669298-3FE4-4037-9ED4-38A26CF1E7A4}">
  <ds:schemaRefs>
    <ds:schemaRef ds:uri="http://schemas.microsoft.com/sharepoint/v3/contenttype/forms"/>
  </ds:schemaRefs>
</ds:datastoreItem>
</file>

<file path=customXml/itemProps4.xml><?xml version="1.0" encoding="utf-8"?>
<ds:datastoreItem xmlns:ds="http://schemas.openxmlformats.org/officeDocument/2006/customXml" ds:itemID="{38BC7552-7955-4D70-A162-D3C7D8C90730}">
  <ds:schemaRefs>
    <ds:schemaRef ds:uri="http://schemas.microsoft.com/office/2006/metadata/properties"/>
    <ds:schemaRef ds:uri="http://schemas.microsoft.com/office/infopath/2007/PartnerControls"/>
    <ds:schemaRef ds:uri="http://schemas.microsoft.com/sharepoint/v4"/>
    <ds:schemaRef ds:uri="8ccc4631-9afc-4718-b120-5e2e37a03cc7"/>
  </ds:schemaRefs>
</ds:datastoreItem>
</file>

<file path=customXml/itemProps5.xml><?xml version="1.0" encoding="utf-8"?>
<ds:datastoreItem xmlns:ds="http://schemas.openxmlformats.org/officeDocument/2006/customXml" ds:itemID="{EA5F2EAD-C364-407B-960F-A0749E2EA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138</Pages>
  <Words>50304</Words>
  <Characters>286736</Characters>
  <Application>Microsoft Office Word</Application>
  <DocSecurity>0</DocSecurity>
  <Lines>2389</Lines>
  <Paragraphs>672</Paragraphs>
  <ScaleCrop>false</ScaleCrop>
  <HeadingPairs>
    <vt:vector size="2" baseType="variant">
      <vt:variant>
        <vt:lpstr>Title</vt:lpstr>
      </vt:variant>
      <vt:variant>
        <vt:i4>1</vt:i4>
      </vt:variant>
    </vt:vector>
  </HeadingPairs>
  <TitlesOfParts>
    <vt:vector size="1" baseType="lpstr">
      <vt:lpstr>Coral Annual Report 2014-15</vt:lpstr>
    </vt:vector>
  </TitlesOfParts>
  <Company>Australian Institute of Marine Science</Company>
  <LinksUpToDate>false</LinksUpToDate>
  <CharactersWithSpaces>336368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Coral Annual Report 2014-15</dc:title>
  <dc:creator>Sharon Barnwell</dc:creator>
  <cp:lastModifiedBy>Joanna Ruxton</cp:lastModifiedBy>
  <cp:revision>3</cp:revision>
  <cp:lastPrinted>2016-09-25T22:51:00Z</cp:lastPrinted>
  <dcterms:created xsi:type="dcterms:W3CDTF">2016-09-28T02:30:00Z</dcterms:created>
  <dcterms:modified xsi:type="dcterms:W3CDTF">2016-09-28T02:34:00Z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2058781840</vt:i4>
  </property>
  <property fmtid="{D5CDD505-2E9C-101B-9397-08002B2CF9AE}" pid="3" name="ContentTypeId">
    <vt:lpwstr>0x010100441936E5D27A4AF2935B3316DA024CF200B1A9D9972D1440619AFD507BD907ADAB00327E09C02E23CC42979C0B8A7B77AF06</vt:lpwstr>
  </property>
  <property fmtid="{D5CDD505-2E9C-101B-9397-08002B2CF9AE}" pid="4" name="ProjectPhase">
    <vt:lpwstr>3;#Finalise|6b5bfe78-1288-4ab6-8e22-c299117e2677</vt:lpwstr>
  </property>
  <property fmtid="{D5CDD505-2E9C-101B-9397-08002B2CF9AE}" pid="5" name="_dlc_DocIdItemGuid">
    <vt:lpwstr>11cbfc79-67b2-4408-aa93-aeaf6dea0411</vt:lpwstr>
  </property>
  <property fmtid="{D5CDD505-2E9C-101B-9397-08002B2CF9AE}" pid="6" name="RecordPoint_WorkflowType">
    <vt:lpwstr>ActiveSubmit</vt:lpwstr>
  </property>
  <property fmtid="{D5CDD505-2E9C-101B-9397-08002B2CF9AE}" pid="7" name="RecordPoint_ActiveItemSiteId">
    <vt:lpwstr>{8ce9eba2-d4a5-4da0-9276-1d47a92e9210}</vt:lpwstr>
  </property>
  <property fmtid="{D5CDD505-2E9C-101B-9397-08002B2CF9AE}" pid="8" name="RecordPoint_ActiveItemListId">
    <vt:lpwstr>{4b37b1f1-1864-45c7-8f8d-9f91400467f1}</vt:lpwstr>
  </property>
  <property fmtid="{D5CDD505-2E9C-101B-9397-08002B2CF9AE}" pid="9" name="RecordPoint_ActiveItemUniqueId">
    <vt:lpwstr>{11cbfc79-67b2-4408-aa93-aeaf6dea0411}</vt:lpwstr>
  </property>
  <property fmtid="{D5CDD505-2E9C-101B-9397-08002B2CF9AE}" pid="10" name="RecordPoint_ActiveItemWebId">
    <vt:lpwstr>{e7821751-c451-45dc-b45e-82cfe574dc6e}</vt:lpwstr>
  </property>
  <property fmtid="{D5CDD505-2E9C-101B-9397-08002B2CF9AE}" pid="11" name="RecordPoint_RecordNumberSubmitted">
    <vt:lpwstr>R0000321901</vt:lpwstr>
  </property>
  <property fmtid="{D5CDD505-2E9C-101B-9397-08002B2CF9AE}" pid="12" name="RecordPoint_SubmissionCompleted">
    <vt:lpwstr>2016-09-15T13:54:49.1500855+10:00</vt:lpwstr>
  </property>
</Properties>
</file>